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20CA36" w14:textId="77777777" w:rsidR="009F7A3D" w:rsidRDefault="009F7A3D">
      <w:pPr>
        <w:spacing w:before="0"/>
        <w:rPr>
          <w:rFonts w:ascii="Arial" w:eastAsia="Arial" w:hAnsi="Arial" w:cs="Arial"/>
          <w:sz w:val="22"/>
          <w:szCs w:val="22"/>
        </w:rPr>
      </w:pPr>
    </w:p>
    <w:p w14:paraId="3DFA2A79" w14:textId="77777777" w:rsidR="009F7A3D" w:rsidRDefault="00000000">
      <w:pPr>
        <w:spacing w:before="0"/>
        <w:jc w:val="center"/>
        <w:rPr>
          <w:rFonts w:ascii="Arial" w:eastAsia="Arial" w:hAnsi="Arial" w:cs="Arial"/>
          <w:b/>
          <w:bCs/>
          <w:sz w:val="32"/>
          <w:szCs w:val="32"/>
        </w:rPr>
      </w:pPr>
      <w:r>
        <w:rPr>
          <w:noProof/>
        </w:rPr>
        <w:drawing>
          <wp:inline distT="0" distB="0" distL="0" distR="0" wp14:anchorId="399E377D" wp14:editId="05C389F6">
            <wp:extent cx="3317240" cy="1382395"/>
            <wp:effectExtent l="0" t="0" r="0" b="0"/>
            <wp:docPr id="1" name="image1.png" descr="University of Wales Trinity Saint David launches new digital ..."/>
            <wp:cNvGraphicFramePr/>
            <a:graphic xmlns:a="http://schemas.openxmlformats.org/drawingml/2006/main">
              <a:graphicData uri="http://schemas.openxmlformats.org/drawingml/2006/picture">
                <pic:pic xmlns:pic="http://schemas.openxmlformats.org/drawingml/2006/picture">
                  <pic:nvPicPr>
                    <pic:cNvPr id="0" name="image1.png" descr="University of Wales Trinity Saint David launches new digital ..."/>
                    <pic:cNvPicPr preferRelativeResize="0"/>
                  </pic:nvPicPr>
                  <pic:blipFill>
                    <a:blip r:embed="rId8"/>
                    <a:srcRect/>
                    <a:stretch>
                      <a:fillRect/>
                    </a:stretch>
                  </pic:blipFill>
                  <pic:spPr>
                    <a:xfrm>
                      <a:off x="0" y="0"/>
                      <a:ext cx="3317240" cy="1382395"/>
                    </a:xfrm>
                    <a:prstGeom prst="rect">
                      <a:avLst/>
                    </a:prstGeom>
                    <a:ln/>
                  </pic:spPr>
                </pic:pic>
              </a:graphicData>
            </a:graphic>
          </wp:inline>
        </w:drawing>
      </w:r>
    </w:p>
    <w:p w14:paraId="413C27EB" w14:textId="77777777" w:rsidR="009F7A3D" w:rsidRDefault="00000000">
      <w:pPr>
        <w:spacing w:before="0"/>
        <w:jc w:val="center"/>
        <w:rPr>
          <w:rFonts w:ascii="Arial" w:eastAsia="Arial" w:hAnsi="Arial" w:cs="Arial"/>
          <w:b/>
          <w:bCs/>
          <w:sz w:val="32"/>
          <w:szCs w:val="32"/>
        </w:rPr>
      </w:pPr>
      <w:r>
        <w:rPr>
          <w:rFonts w:ascii="Arial" w:eastAsia="Arial" w:hAnsi="Arial" w:cs="Arial"/>
          <w:b/>
          <w:bCs/>
          <w:sz w:val="32"/>
          <w:szCs w:val="32"/>
        </w:rPr>
        <w:t>MSc Public Health and Social Care in Practice</w:t>
      </w:r>
    </w:p>
    <w:p w14:paraId="3BD4328C" w14:textId="77777777" w:rsidR="009F7A3D" w:rsidRDefault="00000000">
      <w:pPr>
        <w:spacing w:before="0"/>
        <w:jc w:val="center"/>
        <w:rPr>
          <w:rFonts w:ascii="Arial" w:eastAsia="Arial" w:hAnsi="Arial" w:cs="Arial"/>
          <w:b/>
          <w:bCs/>
          <w:sz w:val="32"/>
          <w:szCs w:val="32"/>
        </w:rPr>
      </w:pPr>
      <w:r>
        <w:rPr>
          <w:rFonts w:ascii="Arial" w:eastAsia="Arial" w:hAnsi="Arial" w:cs="Arial"/>
          <w:b/>
          <w:bCs/>
          <w:sz w:val="32"/>
          <w:szCs w:val="32"/>
        </w:rPr>
        <w:t>Module Code and Title: Practice-Based Research (LCHS7008)</w:t>
      </w:r>
    </w:p>
    <w:p w14:paraId="56A3E5F9" w14:textId="47E3F6F1" w:rsidR="009F7A3D" w:rsidRDefault="00000000">
      <w:pPr>
        <w:spacing w:before="0"/>
        <w:jc w:val="center"/>
        <w:rPr>
          <w:rFonts w:ascii="Arial" w:eastAsia="Arial" w:hAnsi="Arial" w:cs="Arial"/>
          <w:b/>
          <w:bCs/>
          <w:sz w:val="32"/>
          <w:szCs w:val="32"/>
        </w:rPr>
      </w:pPr>
      <w:bookmarkStart w:id="0" w:name="_heading=h.djvc73vei9tm" w:colFirst="0" w:colLast="0"/>
      <w:bookmarkEnd w:id="0"/>
      <w:r>
        <w:rPr>
          <w:rFonts w:ascii="Arial" w:eastAsia="Arial" w:hAnsi="Arial" w:cs="Arial"/>
          <w:b/>
          <w:bCs/>
          <w:sz w:val="32"/>
          <w:szCs w:val="32"/>
        </w:rPr>
        <w:t xml:space="preserve">Lecturer’s Name: </w:t>
      </w:r>
      <w:r w:rsidR="001A4A9D">
        <w:rPr>
          <w:rFonts w:ascii="Arial" w:hAnsi="Arial" w:cs="Arial"/>
          <w:b/>
          <w:sz w:val="32"/>
          <w:szCs w:val="32"/>
        </w:rPr>
        <w:t>Muhammed Khan</w:t>
      </w:r>
    </w:p>
    <w:p w14:paraId="68BA5560" w14:textId="77777777" w:rsidR="009F7A3D" w:rsidRDefault="009F7A3D">
      <w:pPr>
        <w:spacing w:before="0"/>
        <w:jc w:val="center"/>
        <w:rPr>
          <w:rFonts w:ascii="Arial" w:eastAsia="Arial" w:hAnsi="Arial" w:cs="Arial"/>
          <w:b/>
          <w:bCs/>
          <w:sz w:val="32"/>
          <w:szCs w:val="32"/>
        </w:rPr>
      </w:pPr>
    </w:p>
    <w:p w14:paraId="4F6A2E7F" w14:textId="77777777" w:rsidR="009F7A3D" w:rsidRDefault="00000000">
      <w:pPr>
        <w:spacing w:before="0"/>
        <w:jc w:val="center"/>
        <w:rPr>
          <w:rFonts w:ascii="Arial" w:eastAsia="Arial" w:hAnsi="Arial" w:cs="Arial"/>
          <w:b/>
          <w:bCs/>
          <w:i/>
          <w:iCs/>
          <w:sz w:val="32"/>
          <w:szCs w:val="32"/>
        </w:rPr>
      </w:pPr>
      <w:r>
        <w:rPr>
          <w:rFonts w:ascii="Arial" w:eastAsia="Arial" w:hAnsi="Arial" w:cs="Arial"/>
          <w:b/>
          <w:bCs/>
          <w:i/>
          <w:iCs/>
          <w:sz w:val="32"/>
          <w:szCs w:val="32"/>
        </w:rPr>
        <w:t xml:space="preserve">A Systematic Review of Factors Influencing Disease Management and Health Outcomes Among Adults with Type 1 Diabetes in </w:t>
      </w:r>
      <w:proofErr w:type="gramStart"/>
      <w:r>
        <w:rPr>
          <w:rFonts w:ascii="Arial" w:eastAsia="Arial" w:hAnsi="Arial" w:cs="Arial"/>
          <w:b/>
          <w:bCs/>
          <w:i/>
          <w:iCs/>
          <w:sz w:val="32"/>
          <w:szCs w:val="32"/>
        </w:rPr>
        <w:t>The</w:t>
      </w:r>
      <w:proofErr w:type="gramEnd"/>
      <w:r>
        <w:rPr>
          <w:rFonts w:ascii="Arial" w:eastAsia="Arial" w:hAnsi="Arial" w:cs="Arial"/>
          <w:b/>
          <w:bCs/>
          <w:i/>
          <w:iCs/>
          <w:sz w:val="32"/>
          <w:szCs w:val="32"/>
        </w:rPr>
        <w:t xml:space="preserve"> UK</w:t>
      </w:r>
    </w:p>
    <w:p w14:paraId="3786AA2F" w14:textId="77777777" w:rsidR="009F7A3D" w:rsidRDefault="009F7A3D">
      <w:pPr>
        <w:spacing w:before="0"/>
        <w:jc w:val="center"/>
        <w:rPr>
          <w:rFonts w:ascii="Arial" w:eastAsia="Arial" w:hAnsi="Arial" w:cs="Arial"/>
          <w:b/>
          <w:bCs/>
          <w:sz w:val="32"/>
          <w:szCs w:val="32"/>
        </w:rPr>
      </w:pPr>
    </w:p>
    <w:p w14:paraId="443BA411" w14:textId="77777777" w:rsidR="009F7A3D" w:rsidRDefault="00000000">
      <w:pPr>
        <w:spacing w:before="0"/>
        <w:jc w:val="center"/>
        <w:rPr>
          <w:rFonts w:ascii="Arial" w:eastAsia="Arial" w:hAnsi="Arial" w:cs="Arial"/>
          <w:b/>
          <w:bCs/>
          <w:sz w:val="32"/>
          <w:szCs w:val="32"/>
        </w:rPr>
      </w:pPr>
      <w:r>
        <w:rPr>
          <w:rFonts w:ascii="Arial" w:eastAsia="Arial" w:hAnsi="Arial" w:cs="Arial"/>
          <w:b/>
          <w:bCs/>
          <w:sz w:val="32"/>
          <w:szCs w:val="32"/>
        </w:rPr>
        <w:t xml:space="preserve">Student Name: </w:t>
      </w:r>
      <w:proofErr w:type="spellStart"/>
      <w:r>
        <w:rPr>
          <w:rFonts w:ascii="Arial" w:eastAsia="Arial" w:hAnsi="Arial" w:cs="Arial"/>
          <w:b/>
          <w:bCs/>
          <w:sz w:val="32"/>
          <w:szCs w:val="32"/>
        </w:rPr>
        <w:t>Kashyapkumar</w:t>
      </w:r>
      <w:proofErr w:type="spellEnd"/>
      <w:r>
        <w:rPr>
          <w:rFonts w:ascii="Arial" w:eastAsia="Arial" w:hAnsi="Arial" w:cs="Arial"/>
          <w:b/>
          <w:bCs/>
          <w:sz w:val="32"/>
          <w:szCs w:val="32"/>
        </w:rPr>
        <w:t xml:space="preserve"> </w:t>
      </w:r>
      <w:proofErr w:type="spellStart"/>
      <w:r>
        <w:rPr>
          <w:rFonts w:ascii="Arial" w:eastAsia="Arial" w:hAnsi="Arial" w:cs="Arial"/>
          <w:b/>
          <w:bCs/>
          <w:sz w:val="32"/>
          <w:szCs w:val="32"/>
        </w:rPr>
        <w:t>Jaiminkumar</w:t>
      </w:r>
      <w:proofErr w:type="spellEnd"/>
      <w:r>
        <w:rPr>
          <w:rFonts w:ascii="Arial" w:eastAsia="Arial" w:hAnsi="Arial" w:cs="Arial"/>
          <w:b/>
          <w:bCs/>
          <w:sz w:val="32"/>
          <w:szCs w:val="32"/>
        </w:rPr>
        <w:t xml:space="preserve"> Kansara</w:t>
      </w:r>
    </w:p>
    <w:p w14:paraId="3F11F598" w14:textId="77777777" w:rsidR="009F7A3D" w:rsidRDefault="00000000">
      <w:pPr>
        <w:spacing w:before="0"/>
        <w:jc w:val="center"/>
        <w:rPr>
          <w:rFonts w:ascii="Arial" w:eastAsia="Arial" w:hAnsi="Arial" w:cs="Arial"/>
          <w:b/>
          <w:bCs/>
          <w:sz w:val="32"/>
          <w:szCs w:val="32"/>
        </w:rPr>
      </w:pPr>
      <w:r>
        <w:rPr>
          <w:rFonts w:ascii="Arial" w:eastAsia="Arial" w:hAnsi="Arial" w:cs="Arial"/>
          <w:b/>
          <w:bCs/>
          <w:sz w:val="32"/>
          <w:szCs w:val="32"/>
        </w:rPr>
        <w:t>Student Number: 2505251</w:t>
      </w:r>
    </w:p>
    <w:p w14:paraId="2F07A4C2" w14:textId="77777777" w:rsidR="009F7A3D" w:rsidRDefault="00000000">
      <w:pPr>
        <w:rPr>
          <w:rFonts w:ascii="Arial" w:eastAsia="Arial" w:hAnsi="Arial" w:cs="Arial"/>
          <w:b/>
          <w:bCs/>
          <w:sz w:val="32"/>
          <w:szCs w:val="32"/>
        </w:rPr>
      </w:pPr>
      <w:r>
        <w:br w:type="page"/>
      </w:r>
    </w:p>
    <w:p w14:paraId="53486677" w14:textId="77777777" w:rsidR="009F7A3D" w:rsidRDefault="00000000">
      <w:pPr>
        <w:keepNext/>
        <w:keepLines/>
        <w:pBdr>
          <w:top w:val="nil"/>
          <w:left w:val="nil"/>
          <w:bottom w:val="nil"/>
          <w:right w:val="nil"/>
          <w:between w:val="nil"/>
        </w:pBdr>
        <w:spacing w:before="0"/>
        <w:jc w:val="center"/>
        <w:rPr>
          <w:rFonts w:ascii="Arial" w:eastAsia="Arial" w:hAnsi="Arial" w:cs="Arial"/>
          <w:b/>
          <w:bCs/>
          <w:color w:val="000000"/>
          <w:sz w:val="28"/>
          <w:szCs w:val="28"/>
        </w:rPr>
      </w:pPr>
      <w:r>
        <w:rPr>
          <w:rFonts w:ascii="Arial" w:eastAsia="Arial" w:hAnsi="Arial" w:cs="Arial"/>
          <w:b/>
          <w:bCs/>
          <w:color w:val="000000"/>
          <w:sz w:val="28"/>
          <w:szCs w:val="28"/>
        </w:rPr>
        <w:lastRenderedPageBreak/>
        <w:t>Table of Contents</w:t>
      </w:r>
    </w:p>
    <w:sdt>
      <w:sdtPr>
        <w:id w:val="296184297"/>
        <w:docPartObj>
          <w:docPartGallery w:val="Table of Contents"/>
          <w:docPartUnique/>
        </w:docPartObj>
      </w:sdtPr>
      <w:sdtContent>
        <w:p w14:paraId="1B8FC1B8" w14:textId="77777777" w:rsidR="009F7A3D" w:rsidRDefault="00000000">
          <w:pPr>
            <w:pBdr>
              <w:top w:val="nil"/>
              <w:left w:val="nil"/>
              <w:bottom w:val="nil"/>
              <w:right w:val="nil"/>
              <w:between w:val="nil"/>
            </w:pBdr>
            <w:tabs>
              <w:tab w:val="right" w:leader="dot" w:pos="9350"/>
            </w:tabs>
            <w:spacing w:before="0" w:after="0" w:line="240" w:lineRule="auto"/>
            <w:rPr>
              <w:rFonts w:ascii="Arial" w:eastAsia="Arial" w:hAnsi="Arial" w:cs="Arial"/>
              <w:color w:val="000000"/>
              <w:sz w:val="22"/>
              <w:szCs w:val="22"/>
            </w:rPr>
          </w:pPr>
          <w:r>
            <w:fldChar w:fldCharType="begin"/>
          </w:r>
          <w:r>
            <w:instrText xml:space="preserve"> TOC \h \u \z \t "Heading 1,1,Heading 2,2,Heading 3,3,"</w:instrText>
          </w:r>
          <w:r>
            <w:fldChar w:fldCharType="separate"/>
          </w:r>
          <w:hyperlink w:anchor="_heading=h.b0friuxralo">
            <w:r w:rsidR="009F7A3D">
              <w:rPr>
                <w:rFonts w:ascii="Arial" w:eastAsia="Arial" w:hAnsi="Arial" w:cs="Arial"/>
                <w:color w:val="000000"/>
              </w:rPr>
              <w:t>1. Prevalence and Public Health Burden in the UK</w:t>
            </w:r>
            <w:r w:rsidR="009F7A3D">
              <w:rPr>
                <w:rFonts w:ascii="Arial" w:eastAsia="Arial" w:hAnsi="Arial" w:cs="Arial"/>
                <w:color w:val="000000"/>
              </w:rPr>
              <w:tab/>
              <w:t>3</w:t>
            </w:r>
          </w:hyperlink>
        </w:p>
        <w:p w14:paraId="75076531" w14:textId="77777777" w:rsidR="009F7A3D" w:rsidRDefault="009F7A3D">
          <w:pPr>
            <w:pBdr>
              <w:top w:val="nil"/>
              <w:left w:val="nil"/>
              <w:bottom w:val="nil"/>
              <w:right w:val="nil"/>
              <w:between w:val="nil"/>
            </w:pBdr>
            <w:tabs>
              <w:tab w:val="right" w:leader="dot" w:pos="9350"/>
            </w:tabs>
            <w:spacing w:before="0" w:after="0" w:line="240" w:lineRule="auto"/>
            <w:rPr>
              <w:rFonts w:ascii="Arial" w:eastAsia="Arial" w:hAnsi="Arial" w:cs="Arial"/>
              <w:color w:val="000000"/>
              <w:sz w:val="22"/>
              <w:szCs w:val="22"/>
            </w:rPr>
          </w:pPr>
          <w:hyperlink w:anchor="_heading=h.um5ew254iqk6">
            <w:r>
              <w:rPr>
                <w:rFonts w:ascii="Arial" w:eastAsia="Arial" w:hAnsi="Arial" w:cs="Arial"/>
                <w:color w:val="000000"/>
              </w:rPr>
              <w:t>2. Introduction and Literature-Based Background to the Study</w:t>
            </w:r>
            <w:r>
              <w:rPr>
                <w:rFonts w:ascii="Arial" w:eastAsia="Arial" w:hAnsi="Arial" w:cs="Arial"/>
                <w:color w:val="000000"/>
              </w:rPr>
              <w:tab/>
              <w:t>3</w:t>
            </w:r>
          </w:hyperlink>
        </w:p>
        <w:p w14:paraId="37C1EF3B" w14:textId="77777777" w:rsidR="009F7A3D" w:rsidRDefault="009F7A3D">
          <w:pPr>
            <w:pBdr>
              <w:top w:val="nil"/>
              <w:left w:val="nil"/>
              <w:bottom w:val="nil"/>
              <w:right w:val="nil"/>
              <w:between w:val="nil"/>
            </w:pBdr>
            <w:tabs>
              <w:tab w:val="right" w:leader="dot" w:pos="9350"/>
            </w:tabs>
            <w:spacing w:before="0" w:after="0" w:line="240" w:lineRule="auto"/>
            <w:ind w:left="240"/>
            <w:rPr>
              <w:rFonts w:ascii="Arial" w:eastAsia="Arial" w:hAnsi="Arial" w:cs="Arial"/>
              <w:color w:val="000000"/>
              <w:sz w:val="22"/>
              <w:szCs w:val="22"/>
            </w:rPr>
          </w:pPr>
          <w:hyperlink w:anchor="_heading=h.8qswmnq6e8mm">
            <w:r>
              <w:rPr>
                <w:rFonts w:ascii="Arial" w:eastAsia="Arial" w:hAnsi="Arial" w:cs="Arial"/>
                <w:color w:val="000000"/>
              </w:rPr>
              <w:t>Inequalities and Management Challenges</w:t>
            </w:r>
            <w:r>
              <w:rPr>
                <w:rFonts w:ascii="Arial" w:eastAsia="Arial" w:hAnsi="Arial" w:cs="Arial"/>
                <w:color w:val="000000"/>
              </w:rPr>
              <w:tab/>
              <w:t>4</w:t>
            </w:r>
          </w:hyperlink>
        </w:p>
        <w:p w14:paraId="2603699A" w14:textId="77777777" w:rsidR="009F7A3D" w:rsidRDefault="009F7A3D">
          <w:pPr>
            <w:pBdr>
              <w:top w:val="nil"/>
              <w:left w:val="nil"/>
              <w:bottom w:val="nil"/>
              <w:right w:val="nil"/>
              <w:between w:val="nil"/>
            </w:pBdr>
            <w:tabs>
              <w:tab w:val="right" w:leader="dot" w:pos="9350"/>
            </w:tabs>
            <w:spacing w:before="0" w:after="0" w:line="240" w:lineRule="auto"/>
            <w:ind w:left="240"/>
            <w:rPr>
              <w:rFonts w:ascii="Arial" w:eastAsia="Arial" w:hAnsi="Arial" w:cs="Arial"/>
              <w:color w:val="000000"/>
              <w:sz w:val="22"/>
              <w:szCs w:val="22"/>
            </w:rPr>
          </w:pPr>
          <w:hyperlink w:anchor="_heading=h.n49obusly0ms">
            <w:r>
              <w:rPr>
                <w:rFonts w:ascii="Arial" w:eastAsia="Arial" w:hAnsi="Arial" w:cs="Arial"/>
                <w:color w:val="000000"/>
              </w:rPr>
              <w:t>Literature-Based Background</w:t>
            </w:r>
            <w:r>
              <w:rPr>
                <w:rFonts w:ascii="Arial" w:eastAsia="Arial" w:hAnsi="Arial" w:cs="Arial"/>
                <w:color w:val="000000"/>
              </w:rPr>
              <w:tab/>
              <w:t>5</w:t>
            </w:r>
          </w:hyperlink>
        </w:p>
        <w:p w14:paraId="6BF6F124" w14:textId="77777777" w:rsidR="009F7A3D" w:rsidRDefault="009F7A3D">
          <w:pPr>
            <w:pBdr>
              <w:top w:val="nil"/>
              <w:left w:val="nil"/>
              <w:bottom w:val="nil"/>
              <w:right w:val="nil"/>
              <w:between w:val="nil"/>
            </w:pBdr>
            <w:tabs>
              <w:tab w:val="right" w:leader="dot" w:pos="9350"/>
            </w:tabs>
            <w:spacing w:before="0" w:after="0" w:line="240" w:lineRule="auto"/>
            <w:ind w:left="240"/>
            <w:rPr>
              <w:rFonts w:ascii="Arial" w:eastAsia="Arial" w:hAnsi="Arial" w:cs="Arial"/>
              <w:color w:val="000000"/>
              <w:sz w:val="22"/>
              <w:szCs w:val="22"/>
            </w:rPr>
          </w:pPr>
          <w:hyperlink w:anchor="_heading=h.54gmmvdowog3">
            <w:r>
              <w:rPr>
                <w:rFonts w:ascii="Arial" w:eastAsia="Arial" w:hAnsi="Arial" w:cs="Arial"/>
                <w:color w:val="000000"/>
              </w:rPr>
              <w:t>Disease Management Approaches</w:t>
            </w:r>
            <w:r>
              <w:rPr>
                <w:rFonts w:ascii="Arial" w:eastAsia="Arial" w:hAnsi="Arial" w:cs="Arial"/>
                <w:color w:val="000000"/>
              </w:rPr>
              <w:tab/>
              <w:t>5</w:t>
            </w:r>
          </w:hyperlink>
        </w:p>
        <w:p w14:paraId="7B8DD4C1" w14:textId="77777777" w:rsidR="009F7A3D" w:rsidRDefault="009F7A3D">
          <w:pPr>
            <w:pBdr>
              <w:top w:val="nil"/>
              <w:left w:val="nil"/>
              <w:bottom w:val="nil"/>
              <w:right w:val="nil"/>
              <w:between w:val="nil"/>
            </w:pBdr>
            <w:tabs>
              <w:tab w:val="right" w:leader="dot" w:pos="9350"/>
            </w:tabs>
            <w:spacing w:before="0" w:after="0" w:line="240" w:lineRule="auto"/>
            <w:ind w:left="240"/>
            <w:rPr>
              <w:rFonts w:ascii="Arial" w:eastAsia="Arial" w:hAnsi="Arial" w:cs="Arial"/>
              <w:color w:val="000000"/>
              <w:sz w:val="22"/>
              <w:szCs w:val="22"/>
            </w:rPr>
          </w:pPr>
          <w:hyperlink w:anchor="_heading=h.8rmtw25qkpcc">
            <w:r>
              <w:rPr>
                <w:rFonts w:ascii="Arial" w:eastAsia="Arial" w:hAnsi="Arial" w:cs="Arial"/>
                <w:color w:val="000000"/>
              </w:rPr>
              <w:t>Quality of Life &amp; Psychosocial Impact</w:t>
            </w:r>
            <w:r>
              <w:rPr>
                <w:rFonts w:ascii="Arial" w:eastAsia="Arial" w:hAnsi="Arial" w:cs="Arial"/>
                <w:color w:val="000000"/>
              </w:rPr>
              <w:tab/>
              <w:t>6</w:t>
            </w:r>
          </w:hyperlink>
        </w:p>
        <w:p w14:paraId="0B27F8DC" w14:textId="77777777" w:rsidR="009F7A3D" w:rsidRDefault="009F7A3D">
          <w:pPr>
            <w:pBdr>
              <w:top w:val="nil"/>
              <w:left w:val="nil"/>
              <w:bottom w:val="nil"/>
              <w:right w:val="nil"/>
              <w:between w:val="nil"/>
            </w:pBdr>
            <w:tabs>
              <w:tab w:val="right" w:leader="dot" w:pos="9350"/>
            </w:tabs>
            <w:spacing w:before="0" w:after="0" w:line="240" w:lineRule="auto"/>
            <w:ind w:left="240"/>
            <w:rPr>
              <w:rFonts w:ascii="Arial" w:eastAsia="Arial" w:hAnsi="Arial" w:cs="Arial"/>
              <w:color w:val="000000"/>
              <w:sz w:val="22"/>
              <w:szCs w:val="22"/>
            </w:rPr>
          </w:pPr>
          <w:hyperlink w:anchor="_heading=h.5ett3pxa45s4">
            <w:r>
              <w:rPr>
                <w:rFonts w:ascii="Arial" w:eastAsia="Arial" w:hAnsi="Arial" w:cs="Arial"/>
                <w:color w:val="000000"/>
              </w:rPr>
              <w:t>Health Inequalities</w:t>
            </w:r>
            <w:r>
              <w:rPr>
                <w:rFonts w:ascii="Arial" w:eastAsia="Arial" w:hAnsi="Arial" w:cs="Arial"/>
                <w:color w:val="000000"/>
              </w:rPr>
              <w:tab/>
              <w:t>6</w:t>
            </w:r>
          </w:hyperlink>
        </w:p>
        <w:p w14:paraId="1782D66F" w14:textId="77777777" w:rsidR="009F7A3D" w:rsidRDefault="009F7A3D">
          <w:pPr>
            <w:pBdr>
              <w:top w:val="nil"/>
              <w:left w:val="nil"/>
              <w:bottom w:val="nil"/>
              <w:right w:val="nil"/>
              <w:between w:val="nil"/>
            </w:pBdr>
            <w:tabs>
              <w:tab w:val="right" w:leader="dot" w:pos="9350"/>
            </w:tabs>
            <w:spacing w:before="0" w:after="0" w:line="240" w:lineRule="auto"/>
            <w:ind w:left="240"/>
            <w:rPr>
              <w:rFonts w:ascii="Arial" w:eastAsia="Arial" w:hAnsi="Arial" w:cs="Arial"/>
              <w:color w:val="000000"/>
              <w:sz w:val="22"/>
              <w:szCs w:val="22"/>
            </w:rPr>
          </w:pPr>
          <w:hyperlink w:anchor="_heading=h.ok4e53n0hzwk">
            <w:r>
              <w:rPr>
                <w:rFonts w:ascii="Arial" w:eastAsia="Arial" w:hAnsi="Arial" w:cs="Arial"/>
                <w:color w:val="000000"/>
              </w:rPr>
              <w:t>Policy Context (UK)NICE guidelines</w:t>
            </w:r>
            <w:r>
              <w:rPr>
                <w:rFonts w:ascii="Arial" w:eastAsia="Arial" w:hAnsi="Arial" w:cs="Arial"/>
                <w:color w:val="000000"/>
              </w:rPr>
              <w:tab/>
              <w:t>7</w:t>
            </w:r>
          </w:hyperlink>
        </w:p>
        <w:p w14:paraId="116910E2" w14:textId="77777777" w:rsidR="009F7A3D" w:rsidRDefault="009F7A3D">
          <w:pPr>
            <w:pBdr>
              <w:top w:val="nil"/>
              <w:left w:val="nil"/>
              <w:bottom w:val="nil"/>
              <w:right w:val="nil"/>
              <w:between w:val="nil"/>
            </w:pBdr>
            <w:tabs>
              <w:tab w:val="right" w:leader="dot" w:pos="9350"/>
            </w:tabs>
            <w:spacing w:before="0" w:after="0" w:line="240" w:lineRule="auto"/>
            <w:rPr>
              <w:rFonts w:ascii="Arial" w:eastAsia="Arial" w:hAnsi="Arial" w:cs="Arial"/>
              <w:color w:val="000000"/>
              <w:sz w:val="22"/>
              <w:szCs w:val="22"/>
            </w:rPr>
          </w:pPr>
          <w:hyperlink w:anchor="_heading=h.lb2ycapuuv0y">
            <w:r>
              <w:rPr>
                <w:rFonts w:ascii="Arial" w:eastAsia="Arial" w:hAnsi="Arial" w:cs="Arial"/>
                <w:color w:val="000000"/>
              </w:rPr>
              <w:t>3. Rationale &amp; Research Question/Aims</w:t>
            </w:r>
            <w:r>
              <w:rPr>
                <w:rFonts w:ascii="Arial" w:eastAsia="Arial" w:hAnsi="Arial" w:cs="Arial"/>
                <w:color w:val="000000"/>
              </w:rPr>
              <w:tab/>
              <w:t>7</w:t>
            </w:r>
          </w:hyperlink>
        </w:p>
        <w:p w14:paraId="06B95631" w14:textId="77777777" w:rsidR="009F7A3D" w:rsidRDefault="009F7A3D">
          <w:pPr>
            <w:pBdr>
              <w:top w:val="nil"/>
              <w:left w:val="nil"/>
              <w:bottom w:val="nil"/>
              <w:right w:val="nil"/>
              <w:between w:val="nil"/>
            </w:pBdr>
            <w:tabs>
              <w:tab w:val="right" w:leader="dot" w:pos="9350"/>
            </w:tabs>
            <w:spacing w:before="0" w:after="0" w:line="240" w:lineRule="auto"/>
            <w:ind w:left="240"/>
            <w:rPr>
              <w:rFonts w:ascii="Arial" w:eastAsia="Arial" w:hAnsi="Arial" w:cs="Arial"/>
              <w:color w:val="000000"/>
              <w:sz w:val="22"/>
              <w:szCs w:val="22"/>
            </w:rPr>
          </w:pPr>
          <w:hyperlink w:anchor="_heading=h.7k6h6mkftos6">
            <w:r>
              <w:rPr>
                <w:rFonts w:ascii="Arial" w:eastAsia="Arial" w:hAnsi="Arial" w:cs="Arial"/>
                <w:color w:val="000000"/>
              </w:rPr>
              <w:t>Rationale</w:t>
            </w:r>
            <w:r>
              <w:rPr>
                <w:rFonts w:ascii="Arial" w:eastAsia="Arial" w:hAnsi="Arial" w:cs="Arial"/>
                <w:color w:val="000000"/>
              </w:rPr>
              <w:tab/>
              <w:t>7</w:t>
            </w:r>
          </w:hyperlink>
        </w:p>
        <w:p w14:paraId="0F2C5019" w14:textId="77777777" w:rsidR="009F7A3D" w:rsidRDefault="009F7A3D">
          <w:pPr>
            <w:pBdr>
              <w:top w:val="nil"/>
              <w:left w:val="nil"/>
              <w:bottom w:val="nil"/>
              <w:right w:val="nil"/>
              <w:between w:val="nil"/>
            </w:pBdr>
            <w:tabs>
              <w:tab w:val="right" w:leader="dot" w:pos="9350"/>
            </w:tabs>
            <w:spacing w:before="0" w:after="0" w:line="240" w:lineRule="auto"/>
            <w:ind w:left="240"/>
            <w:rPr>
              <w:rFonts w:ascii="Arial" w:eastAsia="Arial" w:hAnsi="Arial" w:cs="Arial"/>
              <w:color w:val="000000"/>
              <w:sz w:val="22"/>
              <w:szCs w:val="22"/>
            </w:rPr>
          </w:pPr>
          <w:hyperlink w:anchor="_heading=h.qetrx26crg29">
            <w:r>
              <w:rPr>
                <w:rFonts w:ascii="Arial" w:eastAsia="Arial" w:hAnsi="Arial" w:cs="Arial"/>
                <w:color w:val="000000"/>
              </w:rPr>
              <w:t>Research Question</w:t>
            </w:r>
            <w:r>
              <w:rPr>
                <w:rFonts w:ascii="Arial" w:eastAsia="Arial" w:hAnsi="Arial" w:cs="Arial"/>
                <w:color w:val="000000"/>
              </w:rPr>
              <w:tab/>
              <w:t>8</w:t>
            </w:r>
          </w:hyperlink>
        </w:p>
        <w:p w14:paraId="32098EB3" w14:textId="77777777" w:rsidR="009F7A3D" w:rsidRDefault="009F7A3D">
          <w:pPr>
            <w:pBdr>
              <w:top w:val="nil"/>
              <w:left w:val="nil"/>
              <w:bottom w:val="nil"/>
              <w:right w:val="nil"/>
              <w:between w:val="nil"/>
            </w:pBdr>
            <w:tabs>
              <w:tab w:val="right" w:leader="dot" w:pos="9350"/>
            </w:tabs>
            <w:spacing w:before="0" w:after="0" w:line="240" w:lineRule="auto"/>
            <w:ind w:left="240"/>
            <w:rPr>
              <w:rFonts w:ascii="Arial" w:eastAsia="Arial" w:hAnsi="Arial" w:cs="Arial"/>
              <w:color w:val="000000"/>
              <w:sz w:val="22"/>
              <w:szCs w:val="22"/>
            </w:rPr>
          </w:pPr>
          <w:hyperlink w:anchor="_heading=h.3ga0uwhauomd">
            <w:r>
              <w:rPr>
                <w:rFonts w:ascii="Arial" w:eastAsia="Arial" w:hAnsi="Arial" w:cs="Arial"/>
                <w:color w:val="000000"/>
              </w:rPr>
              <w:t>Aim</w:t>
            </w:r>
            <w:r>
              <w:rPr>
                <w:rFonts w:ascii="Arial" w:eastAsia="Arial" w:hAnsi="Arial" w:cs="Arial"/>
                <w:color w:val="000000"/>
              </w:rPr>
              <w:tab/>
              <w:t>8</w:t>
            </w:r>
          </w:hyperlink>
        </w:p>
        <w:p w14:paraId="33B424AC" w14:textId="77777777" w:rsidR="009F7A3D" w:rsidRDefault="009F7A3D">
          <w:pPr>
            <w:pBdr>
              <w:top w:val="nil"/>
              <w:left w:val="nil"/>
              <w:bottom w:val="nil"/>
              <w:right w:val="nil"/>
              <w:between w:val="nil"/>
            </w:pBdr>
            <w:tabs>
              <w:tab w:val="right" w:leader="dot" w:pos="9350"/>
            </w:tabs>
            <w:spacing w:before="0" w:after="0" w:line="240" w:lineRule="auto"/>
            <w:ind w:left="240"/>
            <w:rPr>
              <w:rFonts w:ascii="Arial" w:eastAsia="Arial" w:hAnsi="Arial" w:cs="Arial"/>
              <w:color w:val="000000"/>
              <w:sz w:val="22"/>
              <w:szCs w:val="22"/>
            </w:rPr>
          </w:pPr>
          <w:hyperlink w:anchor="_heading=h.4physx2mr0tj">
            <w:r>
              <w:rPr>
                <w:rFonts w:ascii="Arial" w:eastAsia="Arial" w:hAnsi="Arial" w:cs="Arial"/>
                <w:color w:val="000000"/>
              </w:rPr>
              <w:t>Objectives</w:t>
            </w:r>
            <w:r>
              <w:rPr>
                <w:rFonts w:ascii="Arial" w:eastAsia="Arial" w:hAnsi="Arial" w:cs="Arial"/>
                <w:color w:val="000000"/>
              </w:rPr>
              <w:tab/>
              <w:t>8</w:t>
            </w:r>
          </w:hyperlink>
        </w:p>
        <w:p w14:paraId="20EFA471" w14:textId="77777777" w:rsidR="009F7A3D" w:rsidRDefault="009F7A3D">
          <w:pPr>
            <w:pBdr>
              <w:top w:val="nil"/>
              <w:left w:val="nil"/>
              <w:bottom w:val="nil"/>
              <w:right w:val="nil"/>
              <w:between w:val="nil"/>
            </w:pBdr>
            <w:tabs>
              <w:tab w:val="right" w:leader="dot" w:pos="9350"/>
            </w:tabs>
            <w:spacing w:before="0" w:after="0" w:line="240" w:lineRule="auto"/>
            <w:rPr>
              <w:rFonts w:ascii="Arial" w:eastAsia="Arial" w:hAnsi="Arial" w:cs="Arial"/>
              <w:color w:val="000000"/>
              <w:sz w:val="22"/>
              <w:szCs w:val="22"/>
            </w:rPr>
          </w:pPr>
          <w:hyperlink w:anchor="_heading=h.lv63tvyw045u">
            <w:r>
              <w:rPr>
                <w:rFonts w:ascii="Arial" w:eastAsia="Arial" w:hAnsi="Arial" w:cs="Arial"/>
                <w:color w:val="000000"/>
              </w:rPr>
              <w:t>4. Research Methodology</w:t>
            </w:r>
            <w:r>
              <w:rPr>
                <w:rFonts w:ascii="Arial" w:eastAsia="Arial" w:hAnsi="Arial" w:cs="Arial"/>
                <w:color w:val="000000"/>
              </w:rPr>
              <w:tab/>
              <w:t>9</w:t>
            </w:r>
          </w:hyperlink>
        </w:p>
        <w:p w14:paraId="2484413E" w14:textId="77777777" w:rsidR="009F7A3D" w:rsidRDefault="009F7A3D">
          <w:pPr>
            <w:pBdr>
              <w:top w:val="nil"/>
              <w:left w:val="nil"/>
              <w:bottom w:val="nil"/>
              <w:right w:val="nil"/>
              <w:between w:val="nil"/>
            </w:pBdr>
            <w:tabs>
              <w:tab w:val="right" w:leader="dot" w:pos="9350"/>
            </w:tabs>
            <w:spacing w:before="0" w:after="0" w:line="240" w:lineRule="auto"/>
            <w:rPr>
              <w:rFonts w:ascii="Arial" w:eastAsia="Arial" w:hAnsi="Arial" w:cs="Arial"/>
              <w:color w:val="000000"/>
              <w:sz w:val="22"/>
              <w:szCs w:val="22"/>
            </w:rPr>
          </w:pPr>
          <w:hyperlink w:anchor="_heading=h.8e2yjssq8jw2">
            <w:r>
              <w:rPr>
                <w:rFonts w:ascii="Arial" w:eastAsia="Arial" w:hAnsi="Arial" w:cs="Arial"/>
                <w:color w:val="000000"/>
              </w:rPr>
              <w:t>5. Research Design</w:t>
            </w:r>
            <w:r>
              <w:rPr>
                <w:rFonts w:ascii="Arial" w:eastAsia="Arial" w:hAnsi="Arial" w:cs="Arial"/>
                <w:color w:val="000000"/>
              </w:rPr>
              <w:tab/>
              <w:t>10</w:t>
            </w:r>
          </w:hyperlink>
        </w:p>
        <w:p w14:paraId="00C7B83A" w14:textId="77777777" w:rsidR="009F7A3D" w:rsidRDefault="009F7A3D">
          <w:pPr>
            <w:pBdr>
              <w:top w:val="nil"/>
              <w:left w:val="nil"/>
              <w:bottom w:val="nil"/>
              <w:right w:val="nil"/>
              <w:between w:val="nil"/>
            </w:pBdr>
            <w:tabs>
              <w:tab w:val="right" w:leader="dot" w:pos="9350"/>
            </w:tabs>
            <w:spacing w:before="0" w:after="0" w:line="240" w:lineRule="auto"/>
            <w:rPr>
              <w:rFonts w:ascii="Arial" w:eastAsia="Arial" w:hAnsi="Arial" w:cs="Arial"/>
              <w:color w:val="000000"/>
              <w:sz w:val="22"/>
              <w:szCs w:val="22"/>
            </w:rPr>
          </w:pPr>
          <w:hyperlink w:anchor="_heading=h.nusvfph6wif7">
            <w:r>
              <w:rPr>
                <w:rFonts w:ascii="Arial" w:eastAsia="Arial" w:hAnsi="Arial" w:cs="Arial"/>
                <w:color w:val="000000"/>
              </w:rPr>
              <w:t>6. Recruitment, Sampling &amp; Study Participants</w:t>
            </w:r>
            <w:r>
              <w:rPr>
                <w:rFonts w:ascii="Arial" w:eastAsia="Arial" w:hAnsi="Arial" w:cs="Arial"/>
                <w:color w:val="000000"/>
              </w:rPr>
              <w:tab/>
              <w:t>10</w:t>
            </w:r>
          </w:hyperlink>
        </w:p>
        <w:p w14:paraId="08F32E3D" w14:textId="77777777" w:rsidR="009F7A3D" w:rsidRDefault="009F7A3D">
          <w:pPr>
            <w:pBdr>
              <w:top w:val="nil"/>
              <w:left w:val="nil"/>
              <w:bottom w:val="nil"/>
              <w:right w:val="nil"/>
              <w:between w:val="nil"/>
            </w:pBdr>
            <w:tabs>
              <w:tab w:val="right" w:leader="dot" w:pos="9350"/>
            </w:tabs>
            <w:spacing w:before="0" w:after="0" w:line="240" w:lineRule="auto"/>
            <w:rPr>
              <w:rFonts w:ascii="Arial" w:eastAsia="Arial" w:hAnsi="Arial" w:cs="Arial"/>
              <w:color w:val="000000"/>
              <w:sz w:val="22"/>
              <w:szCs w:val="22"/>
            </w:rPr>
          </w:pPr>
          <w:hyperlink w:anchor="_heading=h.qc1n03btzsr5">
            <w:r>
              <w:rPr>
                <w:rFonts w:ascii="Arial" w:eastAsia="Arial" w:hAnsi="Arial" w:cs="Arial"/>
                <w:color w:val="000000"/>
              </w:rPr>
              <w:t>7. Data Collection Method</w:t>
            </w:r>
            <w:r>
              <w:rPr>
                <w:rFonts w:ascii="Arial" w:eastAsia="Arial" w:hAnsi="Arial" w:cs="Arial"/>
                <w:color w:val="000000"/>
              </w:rPr>
              <w:tab/>
              <w:t>11</w:t>
            </w:r>
          </w:hyperlink>
        </w:p>
        <w:p w14:paraId="7441913B" w14:textId="77777777" w:rsidR="009F7A3D" w:rsidRDefault="009F7A3D">
          <w:pPr>
            <w:pBdr>
              <w:top w:val="nil"/>
              <w:left w:val="nil"/>
              <w:bottom w:val="nil"/>
              <w:right w:val="nil"/>
              <w:between w:val="nil"/>
            </w:pBdr>
            <w:tabs>
              <w:tab w:val="right" w:leader="dot" w:pos="9350"/>
            </w:tabs>
            <w:spacing w:before="0" w:after="0" w:line="240" w:lineRule="auto"/>
            <w:rPr>
              <w:rFonts w:ascii="Arial" w:eastAsia="Arial" w:hAnsi="Arial" w:cs="Arial"/>
              <w:color w:val="000000"/>
              <w:sz w:val="22"/>
              <w:szCs w:val="22"/>
            </w:rPr>
          </w:pPr>
          <w:hyperlink w:anchor="_heading=h.j600unipe5ct">
            <w:r>
              <w:rPr>
                <w:rFonts w:ascii="Arial" w:eastAsia="Arial" w:hAnsi="Arial" w:cs="Arial"/>
                <w:color w:val="000000"/>
              </w:rPr>
              <w:t>8. Data Analysis Technique</w:t>
            </w:r>
            <w:r>
              <w:rPr>
                <w:rFonts w:ascii="Arial" w:eastAsia="Arial" w:hAnsi="Arial" w:cs="Arial"/>
                <w:color w:val="000000"/>
              </w:rPr>
              <w:tab/>
              <w:t>11</w:t>
            </w:r>
          </w:hyperlink>
        </w:p>
        <w:p w14:paraId="126D7D2F" w14:textId="77777777" w:rsidR="009F7A3D" w:rsidRDefault="009F7A3D">
          <w:pPr>
            <w:pBdr>
              <w:top w:val="nil"/>
              <w:left w:val="nil"/>
              <w:bottom w:val="nil"/>
              <w:right w:val="nil"/>
              <w:between w:val="nil"/>
            </w:pBdr>
            <w:tabs>
              <w:tab w:val="right" w:leader="dot" w:pos="9350"/>
            </w:tabs>
            <w:spacing w:before="0" w:after="0" w:line="240" w:lineRule="auto"/>
            <w:rPr>
              <w:rFonts w:ascii="Arial" w:eastAsia="Arial" w:hAnsi="Arial" w:cs="Arial"/>
              <w:color w:val="000000"/>
              <w:sz w:val="22"/>
              <w:szCs w:val="22"/>
            </w:rPr>
          </w:pPr>
          <w:hyperlink w:anchor="_heading=h.bsfw4lqa0xz6">
            <w:r>
              <w:rPr>
                <w:rFonts w:ascii="Arial" w:eastAsia="Arial" w:hAnsi="Arial" w:cs="Arial"/>
                <w:color w:val="000000"/>
              </w:rPr>
              <w:t>9. Ethical Considerations</w:t>
            </w:r>
            <w:r>
              <w:rPr>
                <w:rFonts w:ascii="Arial" w:eastAsia="Arial" w:hAnsi="Arial" w:cs="Arial"/>
                <w:color w:val="000000"/>
              </w:rPr>
              <w:tab/>
              <w:t>12</w:t>
            </w:r>
          </w:hyperlink>
        </w:p>
        <w:p w14:paraId="0D682FCC" w14:textId="77777777" w:rsidR="009F7A3D" w:rsidRDefault="009F7A3D">
          <w:pPr>
            <w:pBdr>
              <w:top w:val="nil"/>
              <w:left w:val="nil"/>
              <w:bottom w:val="nil"/>
              <w:right w:val="nil"/>
              <w:between w:val="nil"/>
            </w:pBdr>
            <w:tabs>
              <w:tab w:val="right" w:leader="dot" w:pos="9350"/>
            </w:tabs>
            <w:spacing w:before="0" w:after="0" w:line="240" w:lineRule="auto"/>
            <w:rPr>
              <w:rFonts w:ascii="Arial" w:eastAsia="Arial" w:hAnsi="Arial" w:cs="Arial"/>
              <w:color w:val="000000"/>
              <w:sz w:val="22"/>
              <w:szCs w:val="22"/>
            </w:rPr>
          </w:pPr>
          <w:hyperlink w:anchor="_heading=h.fui5s88bsfzd">
            <w:r>
              <w:rPr>
                <w:rFonts w:ascii="Arial" w:eastAsia="Arial" w:hAnsi="Arial" w:cs="Arial"/>
                <w:color w:val="000000"/>
              </w:rPr>
              <w:t>10. Implications of Research</w:t>
            </w:r>
            <w:r>
              <w:rPr>
                <w:rFonts w:ascii="Arial" w:eastAsia="Arial" w:hAnsi="Arial" w:cs="Arial"/>
                <w:color w:val="000000"/>
              </w:rPr>
              <w:tab/>
              <w:t>12</w:t>
            </w:r>
          </w:hyperlink>
        </w:p>
        <w:p w14:paraId="70FE4FAA" w14:textId="77777777" w:rsidR="009F7A3D" w:rsidRDefault="009F7A3D">
          <w:pPr>
            <w:pBdr>
              <w:top w:val="nil"/>
              <w:left w:val="nil"/>
              <w:bottom w:val="nil"/>
              <w:right w:val="nil"/>
              <w:between w:val="nil"/>
            </w:pBdr>
            <w:tabs>
              <w:tab w:val="right" w:leader="dot" w:pos="9350"/>
            </w:tabs>
            <w:spacing w:before="0" w:after="0" w:line="240" w:lineRule="auto"/>
            <w:rPr>
              <w:rFonts w:ascii="Arial" w:eastAsia="Arial" w:hAnsi="Arial" w:cs="Arial"/>
              <w:color w:val="000000"/>
              <w:sz w:val="22"/>
              <w:szCs w:val="22"/>
            </w:rPr>
          </w:pPr>
          <w:hyperlink w:anchor="_heading=h.ptelr599pul0">
            <w:r>
              <w:rPr>
                <w:rFonts w:ascii="Arial" w:eastAsia="Arial" w:hAnsi="Arial" w:cs="Arial"/>
                <w:color w:val="000000"/>
              </w:rPr>
              <w:t>11. Plan of Work and Time Schedule</w:t>
            </w:r>
            <w:r>
              <w:rPr>
                <w:rFonts w:ascii="Arial" w:eastAsia="Arial" w:hAnsi="Arial" w:cs="Arial"/>
                <w:color w:val="000000"/>
              </w:rPr>
              <w:tab/>
              <w:t>13</w:t>
            </w:r>
          </w:hyperlink>
        </w:p>
        <w:p w14:paraId="6743338D" w14:textId="77777777" w:rsidR="009F7A3D" w:rsidRDefault="009F7A3D">
          <w:pPr>
            <w:pBdr>
              <w:top w:val="nil"/>
              <w:left w:val="nil"/>
              <w:bottom w:val="nil"/>
              <w:right w:val="nil"/>
              <w:between w:val="nil"/>
            </w:pBdr>
            <w:tabs>
              <w:tab w:val="right" w:leader="dot" w:pos="9350"/>
            </w:tabs>
            <w:spacing w:before="0" w:after="0" w:line="240" w:lineRule="auto"/>
            <w:rPr>
              <w:rFonts w:ascii="Cambria" w:eastAsia="Cambria" w:hAnsi="Cambria" w:cs="Cambria"/>
              <w:color w:val="000000"/>
              <w:sz w:val="22"/>
              <w:szCs w:val="22"/>
            </w:rPr>
          </w:pPr>
          <w:hyperlink w:anchor="_heading=h.bx7ov3irhjfz">
            <w:r>
              <w:rPr>
                <w:rFonts w:ascii="Arial" w:eastAsia="Arial" w:hAnsi="Arial" w:cs="Arial"/>
                <w:color w:val="000000"/>
              </w:rPr>
              <w:t>References</w:t>
            </w:r>
            <w:r>
              <w:rPr>
                <w:rFonts w:ascii="Arial" w:eastAsia="Arial" w:hAnsi="Arial" w:cs="Arial"/>
                <w:color w:val="000000"/>
              </w:rPr>
              <w:tab/>
              <w:t>15</w:t>
            </w:r>
          </w:hyperlink>
        </w:p>
        <w:p w14:paraId="181D9FBC" w14:textId="77777777" w:rsidR="009F7A3D" w:rsidRDefault="00000000">
          <w:pPr>
            <w:spacing w:before="0"/>
          </w:pPr>
          <w:r>
            <w:fldChar w:fldCharType="end"/>
          </w:r>
        </w:p>
      </w:sdtContent>
    </w:sdt>
    <w:p w14:paraId="4385BE45" w14:textId="77777777" w:rsidR="009F7A3D" w:rsidRDefault="00000000">
      <w:pPr>
        <w:spacing w:before="0"/>
        <w:rPr>
          <w:rFonts w:ascii="Arial" w:eastAsia="Arial" w:hAnsi="Arial" w:cs="Arial"/>
          <w:b/>
          <w:bCs/>
          <w:color w:val="000000"/>
        </w:rPr>
      </w:pPr>
      <w:r>
        <w:br w:type="page"/>
      </w:r>
    </w:p>
    <w:p w14:paraId="7CE14823" w14:textId="77777777" w:rsidR="009F7A3D" w:rsidRDefault="00000000">
      <w:pPr>
        <w:pStyle w:val="Heading1"/>
      </w:pPr>
      <w:bookmarkStart w:id="1" w:name="_heading=h.b0friuxralo" w:colFirst="0" w:colLast="0"/>
      <w:bookmarkEnd w:id="1"/>
      <w:r>
        <w:lastRenderedPageBreak/>
        <w:t>1. Prevalence and Public Health Burden in the UK</w:t>
      </w:r>
    </w:p>
    <w:p w14:paraId="69995635" w14:textId="77777777" w:rsidR="009F7A3D" w:rsidRDefault="00000000">
      <w:pPr>
        <w:spacing w:before="0"/>
        <w:rPr>
          <w:rFonts w:ascii="Arial" w:eastAsia="Arial" w:hAnsi="Arial" w:cs="Arial"/>
          <w:color w:val="000000"/>
          <w:sz w:val="22"/>
          <w:szCs w:val="22"/>
        </w:rPr>
      </w:pPr>
      <w:r>
        <w:rPr>
          <w:rFonts w:ascii="Arial" w:eastAsia="Arial" w:hAnsi="Arial" w:cs="Arial"/>
          <w:sz w:val="22"/>
          <w:szCs w:val="22"/>
        </w:rPr>
        <w:t xml:space="preserve">The UK has over 400,000 Type 1 Diabetes with a prevalence rate that is rising year after year making it a significant public health problem in the country. Gregory </w:t>
      </w:r>
      <w:r>
        <w:rPr>
          <w:rFonts w:ascii="Arial" w:eastAsia="Arial" w:hAnsi="Arial" w:cs="Arial"/>
          <w:i/>
          <w:iCs/>
          <w:sz w:val="22"/>
          <w:szCs w:val="22"/>
        </w:rPr>
        <w:t>et al.,</w:t>
      </w:r>
      <w:r>
        <w:rPr>
          <w:rFonts w:ascii="Arial" w:eastAsia="Arial" w:hAnsi="Arial" w:cs="Arial"/>
          <w:sz w:val="22"/>
          <w:szCs w:val="22"/>
        </w:rPr>
        <w:t xml:space="preserve"> (2021) national audits reveal that the percentage of adults who attain the suggested HbA1c goals is less than 30% which means that the population lacks glycaemic control. The monetary price is enormous, and complications linked with diabetes impose approximately 10% of the total NHS expenditure, a significant portion of which is linked to unnecessary readmission to hospitals. It has severe complications such as cardiovascular disease, kidney failure, diabetic ketoacidosis (DKA), and vision impairment that contribute to morbidity and mortality (Boden </w:t>
      </w:r>
      <w:r>
        <w:rPr>
          <w:rFonts w:ascii="Arial" w:eastAsia="Arial" w:hAnsi="Arial" w:cs="Arial"/>
          <w:i/>
          <w:iCs/>
          <w:sz w:val="22"/>
          <w:szCs w:val="22"/>
        </w:rPr>
        <w:t>et al.,</w:t>
      </w:r>
      <w:r>
        <w:rPr>
          <w:rFonts w:ascii="Arial" w:eastAsia="Arial" w:hAnsi="Arial" w:cs="Arial"/>
          <w:sz w:val="22"/>
          <w:szCs w:val="22"/>
        </w:rPr>
        <w:t xml:space="preserve"> 2022). </w:t>
      </w:r>
    </w:p>
    <w:p w14:paraId="3A8D13E2" w14:textId="77777777" w:rsidR="009F7A3D" w:rsidRDefault="00000000">
      <w:pPr>
        <w:spacing w:before="0"/>
        <w:jc w:val="center"/>
        <w:rPr>
          <w:rFonts w:ascii="Arial" w:eastAsia="Arial" w:hAnsi="Arial" w:cs="Arial"/>
          <w:color w:val="000000"/>
          <w:sz w:val="22"/>
          <w:szCs w:val="22"/>
        </w:rPr>
      </w:pPr>
      <w:r>
        <w:rPr>
          <w:rFonts w:ascii="Arial" w:eastAsia="Arial" w:hAnsi="Arial" w:cs="Arial"/>
          <w:noProof/>
          <w:color w:val="000000"/>
          <w:sz w:val="22"/>
          <w:szCs w:val="22"/>
        </w:rPr>
        <w:drawing>
          <wp:inline distT="114300" distB="114300" distL="114300" distR="114300" wp14:anchorId="399043C9" wp14:editId="39D26B0C">
            <wp:extent cx="4779832" cy="2444543"/>
            <wp:effectExtent l="76200" t="76200" r="135255" b="127635"/>
            <wp:docPr id="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a:stretch>
                      <a:fillRect/>
                    </a:stretch>
                  </pic:blipFill>
                  <pic:spPr>
                    <a:xfrm>
                      <a:off x="0" y="0"/>
                      <a:ext cx="4779832" cy="244454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1409CC4" w14:textId="77777777" w:rsidR="009F7A3D" w:rsidRPr="00393B58" w:rsidRDefault="00000000" w:rsidP="00393B58">
      <w:pPr>
        <w:jc w:val="center"/>
        <w:rPr>
          <w:rFonts w:ascii="Arial" w:eastAsia="Arial" w:hAnsi="Arial" w:cs="Arial"/>
          <w:b/>
          <w:bCs/>
          <w:i/>
          <w:iCs/>
          <w:sz w:val="22"/>
          <w:szCs w:val="22"/>
        </w:rPr>
      </w:pPr>
      <w:bookmarkStart w:id="2" w:name="_heading=h.fw116k7o7die" w:colFirst="0" w:colLast="0"/>
      <w:bookmarkEnd w:id="2"/>
      <w:r w:rsidRPr="00393B58">
        <w:rPr>
          <w:rFonts w:ascii="Arial" w:eastAsia="Arial" w:hAnsi="Arial" w:cs="Arial"/>
          <w:b/>
          <w:bCs/>
          <w:i/>
          <w:iCs/>
          <w:sz w:val="22"/>
          <w:szCs w:val="22"/>
        </w:rPr>
        <w:t>Figure 1: Trend of T1D prevalence in the UK (last 10 years)</w:t>
      </w:r>
    </w:p>
    <w:p w14:paraId="36CAF8F9" w14:textId="77777777" w:rsidR="009F7A3D" w:rsidRDefault="00000000">
      <w:pPr>
        <w:spacing w:before="0"/>
        <w:jc w:val="center"/>
        <w:rPr>
          <w:rFonts w:ascii="Arial" w:eastAsia="Arial" w:hAnsi="Arial" w:cs="Arial"/>
          <w:color w:val="000000"/>
          <w:sz w:val="22"/>
          <w:szCs w:val="22"/>
        </w:rPr>
      </w:pPr>
      <w:r>
        <w:rPr>
          <w:rFonts w:ascii="Arial" w:eastAsia="Arial" w:hAnsi="Arial" w:cs="Arial"/>
          <w:color w:val="000000"/>
          <w:sz w:val="22"/>
          <w:szCs w:val="22"/>
        </w:rPr>
        <w:t>(</w:t>
      </w:r>
      <w:r>
        <w:rPr>
          <w:rFonts w:ascii="Arial" w:eastAsia="Arial" w:hAnsi="Arial" w:cs="Arial"/>
          <w:b/>
          <w:bCs/>
          <w:color w:val="000000"/>
          <w:sz w:val="22"/>
          <w:szCs w:val="22"/>
        </w:rPr>
        <w:t>Source:</w:t>
      </w:r>
      <w:r>
        <w:rPr>
          <w:rFonts w:ascii="Arial" w:eastAsia="Arial" w:hAnsi="Arial" w:cs="Arial"/>
          <w:color w:val="000000"/>
          <w:sz w:val="22"/>
          <w:szCs w:val="22"/>
        </w:rPr>
        <w:t xml:space="preserve"> Sze May Ng and Soni, 2023)</w:t>
      </w:r>
    </w:p>
    <w:p w14:paraId="23BE4645" w14:textId="77777777" w:rsidR="009F7A3D" w:rsidRDefault="00000000">
      <w:pPr>
        <w:pStyle w:val="Heading1"/>
      </w:pPr>
      <w:bookmarkStart w:id="3" w:name="_heading=h.um5ew254iqk6" w:colFirst="0" w:colLast="0"/>
      <w:bookmarkEnd w:id="3"/>
      <w:r>
        <w:t>2. Introduction and Literature-Based Background to the Study</w:t>
      </w:r>
    </w:p>
    <w:p w14:paraId="559A886D" w14:textId="77777777" w:rsidR="009F7A3D" w:rsidRDefault="00000000">
      <w:pPr>
        <w:spacing w:before="0"/>
        <w:rPr>
          <w:rFonts w:ascii="Arial" w:eastAsia="Arial" w:hAnsi="Arial" w:cs="Arial"/>
          <w:color w:val="000000"/>
          <w:sz w:val="22"/>
          <w:szCs w:val="22"/>
        </w:rPr>
      </w:pPr>
      <w:r>
        <w:rPr>
          <w:rFonts w:ascii="Arial" w:eastAsia="Arial" w:hAnsi="Arial" w:cs="Arial"/>
          <w:color w:val="000000"/>
          <w:sz w:val="22"/>
          <w:szCs w:val="22"/>
        </w:rPr>
        <w:t xml:space="preserve">Type 1 Diabetes (T1D) is defined as an insulin production that is small or absent and which has to be managed in the long-term by insulin therapy and monitoring (Quattrin </w:t>
      </w:r>
      <w:r>
        <w:rPr>
          <w:rFonts w:ascii="Arial" w:eastAsia="Arial" w:hAnsi="Arial" w:cs="Arial"/>
          <w:i/>
          <w:iCs/>
          <w:color w:val="000000"/>
          <w:sz w:val="22"/>
          <w:szCs w:val="22"/>
        </w:rPr>
        <w:t>et al</w:t>
      </w:r>
      <w:r>
        <w:rPr>
          <w:rFonts w:ascii="Arial" w:eastAsia="Arial" w:hAnsi="Arial" w:cs="Arial"/>
          <w:color w:val="000000"/>
          <w:sz w:val="22"/>
          <w:szCs w:val="22"/>
        </w:rPr>
        <w:t xml:space="preserve">., 2023). This state is coupled with complicated daily self-management behaviours, such as blood glucose control, dietary, and physical activity, which play a significant role in health outcomes (Shiel </w:t>
      </w:r>
      <w:r>
        <w:rPr>
          <w:rFonts w:ascii="Arial" w:eastAsia="Arial" w:hAnsi="Arial" w:cs="Arial"/>
          <w:i/>
          <w:iCs/>
          <w:color w:val="000000"/>
          <w:sz w:val="22"/>
          <w:szCs w:val="22"/>
        </w:rPr>
        <w:t>et al</w:t>
      </w:r>
      <w:r>
        <w:rPr>
          <w:rFonts w:ascii="Arial" w:eastAsia="Arial" w:hAnsi="Arial" w:cs="Arial"/>
          <w:color w:val="000000"/>
          <w:sz w:val="22"/>
          <w:szCs w:val="22"/>
        </w:rPr>
        <w:t xml:space="preserve">., 2023). It is shown that poor self-management can lead to an increased risk of serious complications and worse quality of life in the long term (Farooqi </w:t>
      </w:r>
      <w:r>
        <w:rPr>
          <w:rFonts w:ascii="Arial" w:eastAsia="Arial" w:hAnsi="Arial" w:cs="Arial"/>
          <w:i/>
          <w:iCs/>
          <w:color w:val="000000"/>
          <w:sz w:val="22"/>
          <w:szCs w:val="22"/>
        </w:rPr>
        <w:t>et al</w:t>
      </w:r>
      <w:r>
        <w:rPr>
          <w:rFonts w:ascii="Arial" w:eastAsia="Arial" w:hAnsi="Arial" w:cs="Arial"/>
          <w:color w:val="000000"/>
          <w:sz w:val="22"/>
          <w:szCs w:val="22"/>
        </w:rPr>
        <w:t>., 2022).</w:t>
      </w:r>
    </w:p>
    <w:p w14:paraId="2470A2C1" w14:textId="77777777" w:rsidR="009F7A3D" w:rsidRDefault="00000000">
      <w:pPr>
        <w:spacing w:before="0"/>
        <w:jc w:val="center"/>
        <w:rPr>
          <w:rFonts w:ascii="Arial" w:eastAsia="Arial" w:hAnsi="Arial" w:cs="Arial"/>
          <w:color w:val="000000"/>
          <w:sz w:val="22"/>
          <w:szCs w:val="22"/>
        </w:rPr>
      </w:pPr>
      <w:r>
        <w:rPr>
          <w:rFonts w:ascii="Arial" w:eastAsia="Arial" w:hAnsi="Arial" w:cs="Arial"/>
          <w:noProof/>
          <w:color w:val="000000"/>
          <w:sz w:val="22"/>
          <w:szCs w:val="22"/>
        </w:rPr>
        <w:lastRenderedPageBreak/>
        <w:drawing>
          <wp:inline distT="114300" distB="114300" distL="114300" distR="114300" wp14:anchorId="0B66BBD2" wp14:editId="770D8DE7">
            <wp:extent cx="4971998" cy="2117197"/>
            <wp:effectExtent l="76200" t="76200" r="133985" b="13081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971998" cy="211719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02081D6" w14:textId="77777777" w:rsidR="009F7A3D" w:rsidRPr="00393B58" w:rsidRDefault="00000000" w:rsidP="00393B58">
      <w:pPr>
        <w:jc w:val="center"/>
        <w:rPr>
          <w:rFonts w:eastAsia="Arial"/>
          <w:b/>
          <w:bCs/>
          <w:i/>
          <w:iCs/>
          <w:sz w:val="22"/>
          <w:szCs w:val="22"/>
        </w:rPr>
      </w:pPr>
      <w:bookmarkStart w:id="4" w:name="_heading=h.z3jzl2xtmqud" w:colFirst="0" w:colLast="0"/>
      <w:bookmarkEnd w:id="4"/>
      <w:r w:rsidRPr="00393B58">
        <w:rPr>
          <w:rFonts w:eastAsia="Arial"/>
          <w:b/>
          <w:bCs/>
          <w:i/>
          <w:iCs/>
          <w:sz w:val="22"/>
          <w:szCs w:val="22"/>
        </w:rPr>
        <w:t>Figure 2: Daily Self-Management Components in T1D (Monitoring, Insulin, Diet, Activity)</w:t>
      </w:r>
    </w:p>
    <w:p w14:paraId="4A21994D" w14:textId="77777777" w:rsidR="009F7A3D" w:rsidRDefault="00000000">
      <w:pPr>
        <w:spacing w:before="0"/>
        <w:jc w:val="center"/>
        <w:rPr>
          <w:rFonts w:ascii="Arial" w:eastAsia="Arial" w:hAnsi="Arial" w:cs="Arial"/>
          <w:color w:val="000000"/>
          <w:sz w:val="22"/>
          <w:szCs w:val="22"/>
        </w:rPr>
      </w:pPr>
      <w:r>
        <w:rPr>
          <w:rFonts w:ascii="Arial" w:eastAsia="Arial" w:hAnsi="Arial" w:cs="Arial"/>
          <w:color w:val="000000"/>
          <w:sz w:val="22"/>
          <w:szCs w:val="22"/>
        </w:rPr>
        <w:t>(</w:t>
      </w:r>
      <w:r>
        <w:rPr>
          <w:rFonts w:ascii="Arial" w:eastAsia="Arial" w:hAnsi="Arial" w:cs="Arial"/>
          <w:b/>
          <w:bCs/>
          <w:color w:val="000000"/>
          <w:sz w:val="22"/>
          <w:szCs w:val="22"/>
        </w:rPr>
        <w:t>Source:</w:t>
      </w:r>
      <w:r>
        <w:rPr>
          <w:rFonts w:ascii="Arial" w:eastAsia="Arial" w:hAnsi="Arial" w:cs="Arial"/>
          <w:color w:val="000000"/>
          <w:sz w:val="22"/>
          <w:szCs w:val="22"/>
        </w:rPr>
        <w:t xml:space="preserve"> Zhu </w:t>
      </w:r>
      <w:r>
        <w:rPr>
          <w:rFonts w:ascii="Arial" w:eastAsia="Arial" w:hAnsi="Arial" w:cs="Arial"/>
          <w:i/>
          <w:iCs/>
          <w:color w:val="000000"/>
          <w:sz w:val="22"/>
          <w:szCs w:val="22"/>
        </w:rPr>
        <w:t>et al</w:t>
      </w:r>
      <w:r>
        <w:rPr>
          <w:rFonts w:ascii="Arial" w:eastAsia="Arial" w:hAnsi="Arial" w:cs="Arial"/>
          <w:color w:val="000000"/>
          <w:sz w:val="22"/>
          <w:szCs w:val="22"/>
        </w:rPr>
        <w:t>., 2022)</w:t>
      </w:r>
    </w:p>
    <w:p w14:paraId="0602FF69" w14:textId="77777777" w:rsidR="009F7A3D" w:rsidRDefault="00000000">
      <w:pPr>
        <w:pStyle w:val="Heading2"/>
        <w:spacing w:before="0" w:after="240"/>
        <w:rPr>
          <w:sz w:val="22"/>
          <w:szCs w:val="22"/>
        </w:rPr>
      </w:pPr>
      <w:bookmarkStart w:id="5" w:name="_heading=h.8qswmnq6e8mm" w:colFirst="0" w:colLast="0"/>
      <w:bookmarkEnd w:id="5"/>
      <w:r>
        <w:t>Inequalities and Management Challenges</w:t>
      </w:r>
    </w:p>
    <w:p w14:paraId="3C0D09DB" w14:textId="77777777" w:rsidR="009F7A3D" w:rsidRDefault="00000000">
      <w:pPr>
        <w:spacing w:before="0"/>
        <w:rPr>
          <w:rFonts w:ascii="Arial" w:eastAsia="Arial" w:hAnsi="Arial" w:cs="Arial"/>
          <w:color w:val="000000"/>
          <w:sz w:val="22"/>
          <w:szCs w:val="22"/>
        </w:rPr>
      </w:pPr>
      <w:r>
        <w:rPr>
          <w:rFonts w:ascii="Arial" w:eastAsia="Arial" w:hAnsi="Arial" w:cs="Arial"/>
          <w:color w:val="000000"/>
          <w:sz w:val="22"/>
          <w:szCs w:val="22"/>
        </w:rPr>
        <w:t xml:space="preserve">Socioeconomic and structural inequalities are impacting the health outcomes of T1D, access to care, education, and improved technologies like continuous glucose monitoring (Song and Lee, 2021). People with a deprived background have a higher probability of poor glycaemic control and hospitalisation, which is a manifestation of inequality in access to healthcare and support. Even with improvements in therapy and policy models, there are still major disparities between clinical guidelines and clinical outcomes, which means that there are still issues with managing the disease in practice (Chan </w:t>
      </w:r>
      <w:r>
        <w:rPr>
          <w:rFonts w:ascii="Arial" w:eastAsia="Arial" w:hAnsi="Arial" w:cs="Arial"/>
          <w:i/>
          <w:iCs/>
          <w:color w:val="000000"/>
          <w:sz w:val="22"/>
          <w:szCs w:val="22"/>
        </w:rPr>
        <w:t>et al</w:t>
      </w:r>
      <w:r>
        <w:rPr>
          <w:rFonts w:ascii="Arial" w:eastAsia="Arial" w:hAnsi="Arial" w:cs="Arial"/>
          <w:color w:val="000000"/>
          <w:sz w:val="22"/>
          <w:szCs w:val="22"/>
        </w:rPr>
        <w:t>., 2021).</w:t>
      </w:r>
    </w:p>
    <w:p w14:paraId="5B3FDE90" w14:textId="77777777" w:rsidR="009F7A3D" w:rsidRDefault="00000000">
      <w:pPr>
        <w:spacing w:before="0"/>
        <w:jc w:val="center"/>
        <w:rPr>
          <w:rFonts w:ascii="Arial" w:eastAsia="Arial" w:hAnsi="Arial" w:cs="Arial"/>
          <w:color w:val="000000"/>
          <w:sz w:val="22"/>
          <w:szCs w:val="22"/>
        </w:rPr>
      </w:pPr>
      <w:r>
        <w:rPr>
          <w:rFonts w:ascii="Arial" w:eastAsia="Arial" w:hAnsi="Arial" w:cs="Arial"/>
          <w:noProof/>
          <w:color w:val="000000"/>
          <w:sz w:val="22"/>
          <w:szCs w:val="22"/>
        </w:rPr>
        <w:drawing>
          <wp:inline distT="114300" distB="114300" distL="114300" distR="114300" wp14:anchorId="5B498C1D" wp14:editId="52197ECC">
            <wp:extent cx="4657725" cy="1935480"/>
            <wp:effectExtent l="76200" t="76200" r="142875" b="14097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4657725" cy="19354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C4A2982" w14:textId="77777777" w:rsidR="009F7A3D" w:rsidRPr="00393B58" w:rsidRDefault="00000000" w:rsidP="00393B58">
      <w:pPr>
        <w:jc w:val="center"/>
        <w:rPr>
          <w:rFonts w:ascii="Arial" w:eastAsia="Arial" w:hAnsi="Arial" w:cs="Arial"/>
          <w:b/>
          <w:bCs/>
          <w:sz w:val="22"/>
          <w:szCs w:val="22"/>
        </w:rPr>
      </w:pPr>
      <w:bookmarkStart w:id="6" w:name="_heading=h.freqwgvt3dyz" w:colFirst="0" w:colLast="0"/>
      <w:bookmarkEnd w:id="6"/>
      <w:r w:rsidRPr="00393B58">
        <w:rPr>
          <w:rFonts w:ascii="Arial" w:eastAsia="Arial" w:hAnsi="Arial" w:cs="Arial"/>
          <w:b/>
          <w:bCs/>
          <w:sz w:val="22"/>
          <w:szCs w:val="22"/>
        </w:rPr>
        <w:t>Figure 3: Percentage of Children and Young People with T1DM and T2DM</w:t>
      </w:r>
    </w:p>
    <w:p w14:paraId="042728FC" w14:textId="77777777" w:rsidR="009F7A3D" w:rsidRDefault="00000000">
      <w:pPr>
        <w:spacing w:before="0"/>
        <w:jc w:val="center"/>
        <w:rPr>
          <w:rFonts w:ascii="Arial" w:eastAsia="Arial" w:hAnsi="Arial" w:cs="Arial"/>
          <w:b/>
          <w:bCs/>
          <w:color w:val="000000"/>
          <w:sz w:val="22"/>
          <w:szCs w:val="22"/>
        </w:rPr>
      </w:pPr>
      <w:bookmarkStart w:id="7" w:name="_heading=h.8m1ol5uj8dqg" w:colFirst="0" w:colLast="0"/>
      <w:bookmarkEnd w:id="7"/>
      <w:r>
        <w:rPr>
          <w:rFonts w:ascii="Arial" w:eastAsia="Arial" w:hAnsi="Arial" w:cs="Arial"/>
          <w:b/>
          <w:bCs/>
          <w:color w:val="000000"/>
          <w:sz w:val="22"/>
          <w:szCs w:val="22"/>
        </w:rPr>
        <w:lastRenderedPageBreak/>
        <w:t xml:space="preserve">(Source: </w:t>
      </w:r>
      <w:r>
        <w:rPr>
          <w:rFonts w:ascii="Arial" w:eastAsia="Arial" w:hAnsi="Arial" w:cs="Arial"/>
          <w:color w:val="000000"/>
          <w:sz w:val="22"/>
          <w:szCs w:val="22"/>
        </w:rPr>
        <w:t>Catherine, Russell and Peter, 2021</w:t>
      </w:r>
      <w:r>
        <w:rPr>
          <w:rFonts w:ascii="Arial" w:eastAsia="Arial" w:hAnsi="Arial" w:cs="Arial"/>
          <w:b/>
          <w:bCs/>
          <w:color w:val="000000"/>
          <w:sz w:val="22"/>
          <w:szCs w:val="22"/>
        </w:rPr>
        <w:t>)</w:t>
      </w:r>
    </w:p>
    <w:p w14:paraId="6D5C0D55" w14:textId="77777777" w:rsidR="009F7A3D" w:rsidRDefault="00000000">
      <w:pPr>
        <w:pStyle w:val="Heading2"/>
      </w:pPr>
      <w:bookmarkStart w:id="8" w:name="_heading=h.n49obusly0ms" w:colFirst="0" w:colLast="0"/>
      <w:bookmarkEnd w:id="8"/>
      <w:r>
        <w:t>Literature-Based Background</w:t>
      </w:r>
    </w:p>
    <w:p w14:paraId="7F786226" w14:textId="77777777" w:rsidR="009F7A3D" w:rsidRDefault="00000000">
      <w:pPr>
        <w:pStyle w:val="Heading2"/>
        <w:spacing w:before="0" w:after="240"/>
        <w:rPr>
          <w:sz w:val="24"/>
          <w:szCs w:val="24"/>
        </w:rPr>
      </w:pPr>
      <w:bookmarkStart w:id="9" w:name="_heading=h.54gmmvdowog3" w:colFirst="0" w:colLast="0"/>
      <w:bookmarkEnd w:id="9"/>
      <w:r>
        <w:rPr>
          <w:sz w:val="24"/>
          <w:szCs w:val="24"/>
        </w:rPr>
        <w:t>Disease Management Approaches</w:t>
      </w:r>
    </w:p>
    <w:p w14:paraId="485A37C7" w14:textId="77777777" w:rsidR="009F7A3D" w:rsidRDefault="00000000">
      <w:pPr>
        <w:spacing w:before="0"/>
        <w:rPr>
          <w:rFonts w:ascii="Arial" w:eastAsia="Arial" w:hAnsi="Arial" w:cs="Arial"/>
          <w:color w:val="000000"/>
          <w:sz w:val="22"/>
          <w:szCs w:val="22"/>
        </w:rPr>
      </w:pPr>
      <w:r>
        <w:rPr>
          <w:rFonts w:ascii="Arial" w:eastAsia="Arial" w:hAnsi="Arial" w:cs="Arial"/>
          <w:color w:val="000000"/>
          <w:sz w:val="22"/>
          <w:szCs w:val="22"/>
        </w:rPr>
        <w:t xml:space="preserve">The management of disease in Type 1 Diabetes is mainly based on insulin therapy that instrumental in the maintenance of glycaemic control and the prevention of acute complications (Chiavaroli </w:t>
      </w:r>
      <w:r>
        <w:rPr>
          <w:rFonts w:ascii="Arial" w:eastAsia="Arial" w:hAnsi="Arial" w:cs="Arial"/>
          <w:i/>
          <w:iCs/>
          <w:color w:val="000000"/>
          <w:sz w:val="22"/>
          <w:szCs w:val="22"/>
        </w:rPr>
        <w:t>et al</w:t>
      </w:r>
      <w:r>
        <w:rPr>
          <w:rFonts w:ascii="Arial" w:eastAsia="Arial" w:hAnsi="Arial" w:cs="Arial"/>
          <w:color w:val="000000"/>
          <w:sz w:val="22"/>
          <w:szCs w:val="22"/>
        </w:rPr>
        <w:t xml:space="preserve">., 2021). New technologies like Continuous Glucose Monitoring (CGM) are demonstrated to raise the HbA1c levels by about 0.5-1.0% and decrease the number of hypoglycaemic events with real-time glucose measurements (Jacob </w:t>
      </w:r>
      <w:r>
        <w:rPr>
          <w:rFonts w:ascii="Arial" w:eastAsia="Arial" w:hAnsi="Arial" w:cs="Arial"/>
          <w:i/>
          <w:iCs/>
          <w:color w:val="000000"/>
          <w:sz w:val="22"/>
          <w:szCs w:val="22"/>
        </w:rPr>
        <w:t>et al.,</w:t>
      </w:r>
      <w:r>
        <w:rPr>
          <w:rFonts w:ascii="Arial" w:eastAsia="Arial" w:hAnsi="Arial" w:cs="Arial"/>
          <w:color w:val="000000"/>
          <w:sz w:val="22"/>
          <w:szCs w:val="22"/>
        </w:rPr>
        <w:t xml:space="preserve"> 2022). </w:t>
      </w:r>
      <w:r>
        <w:rPr>
          <w:rFonts w:ascii="Arial" w:eastAsia="Arial" w:hAnsi="Arial" w:cs="Arial"/>
          <w:sz w:val="23"/>
          <w:szCs w:val="23"/>
        </w:rPr>
        <w:t xml:space="preserve">Self-management education programmes are recognized as the crucial things in achieving patient compliance, decision-making, and long-term outcomes with the assistance of digital health interventions (Xiong </w:t>
      </w:r>
      <w:r>
        <w:rPr>
          <w:rFonts w:ascii="Arial" w:eastAsia="Arial" w:hAnsi="Arial" w:cs="Arial"/>
          <w:i/>
          <w:iCs/>
          <w:sz w:val="22"/>
          <w:szCs w:val="22"/>
        </w:rPr>
        <w:t>et al.,</w:t>
      </w:r>
      <w:r>
        <w:rPr>
          <w:rFonts w:ascii="Arial" w:eastAsia="Arial" w:hAnsi="Arial" w:cs="Arial"/>
          <w:sz w:val="23"/>
          <w:szCs w:val="23"/>
        </w:rPr>
        <w:t xml:space="preserve"> 2023).</w:t>
      </w:r>
    </w:p>
    <w:p w14:paraId="481A9D64" w14:textId="77777777" w:rsidR="009F7A3D" w:rsidRDefault="00000000">
      <w:pPr>
        <w:spacing w:before="0"/>
        <w:jc w:val="center"/>
        <w:rPr>
          <w:rFonts w:ascii="Arial" w:eastAsia="Arial" w:hAnsi="Arial" w:cs="Arial"/>
          <w:color w:val="000000"/>
          <w:sz w:val="22"/>
          <w:szCs w:val="22"/>
        </w:rPr>
      </w:pPr>
      <w:r>
        <w:rPr>
          <w:rFonts w:ascii="Arial" w:eastAsia="Arial" w:hAnsi="Arial" w:cs="Arial"/>
          <w:noProof/>
          <w:color w:val="000000"/>
          <w:sz w:val="22"/>
          <w:szCs w:val="22"/>
        </w:rPr>
        <w:drawing>
          <wp:inline distT="114300" distB="114300" distL="114300" distR="114300" wp14:anchorId="6B5FC4DB" wp14:editId="2518D8B9">
            <wp:extent cx="4339734" cy="2874903"/>
            <wp:effectExtent l="76200" t="76200" r="137160" b="135255"/>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4339734" cy="287490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014E5D6" w14:textId="77777777" w:rsidR="009F7A3D" w:rsidRPr="00393B58" w:rsidRDefault="00000000" w:rsidP="00393B58">
      <w:pPr>
        <w:jc w:val="center"/>
        <w:rPr>
          <w:rFonts w:ascii="Arial" w:eastAsia="Arial" w:hAnsi="Arial" w:cs="Arial"/>
          <w:b/>
          <w:bCs/>
          <w:i/>
          <w:iCs/>
          <w:sz w:val="22"/>
          <w:szCs w:val="22"/>
        </w:rPr>
      </w:pPr>
      <w:bookmarkStart w:id="10" w:name="_heading=h.m3vys5tgjhay" w:colFirst="0" w:colLast="0"/>
      <w:bookmarkEnd w:id="10"/>
      <w:r w:rsidRPr="00393B58">
        <w:rPr>
          <w:rFonts w:ascii="Arial" w:eastAsia="Arial" w:hAnsi="Arial" w:cs="Arial"/>
          <w:b/>
          <w:bCs/>
          <w:i/>
          <w:iCs/>
          <w:sz w:val="22"/>
          <w:szCs w:val="22"/>
        </w:rPr>
        <w:t>Figure 4: HbA1c Reduction</w:t>
      </w:r>
    </w:p>
    <w:p w14:paraId="7CC21AC8" w14:textId="77777777" w:rsidR="009F7A3D" w:rsidRDefault="00000000">
      <w:pPr>
        <w:spacing w:before="0"/>
        <w:jc w:val="center"/>
        <w:rPr>
          <w:rFonts w:ascii="Arial" w:eastAsia="Arial" w:hAnsi="Arial" w:cs="Arial"/>
          <w:color w:val="000000"/>
          <w:sz w:val="22"/>
          <w:szCs w:val="22"/>
        </w:rPr>
      </w:pPr>
      <w:r>
        <w:rPr>
          <w:rFonts w:ascii="Arial" w:eastAsia="Arial" w:hAnsi="Arial" w:cs="Arial"/>
          <w:color w:val="000000"/>
          <w:sz w:val="22"/>
          <w:szCs w:val="22"/>
        </w:rPr>
        <w:t>(</w:t>
      </w:r>
      <w:r>
        <w:rPr>
          <w:rFonts w:ascii="Arial" w:eastAsia="Arial" w:hAnsi="Arial" w:cs="Arial"/>
          <w:b/>
          <w:bCs/>
          <w:color w:val="000000"/>
          <w:sz w:val="22"/>
          <w:szCs w:val="22"/>
        </w:rPr>
        <w:t>Source:</w:t>
      </w:r>
      <w:r>
        <w:rPr>
          <w:rFonts w:ascii="Arial" w:eastAsia="Arial" w:hAnsi="Arial" w:cs="Arial"/>
          <w:color w:val="000000"/>
          <w:sz w:val="22"/>
          <w:szCs w:val="22"/>
        </w:rPr>
        <w:t xml:space="preserve"> Liebl </w:t>
      </w:r>
      <w:r>
        <w:rPr>
          <w:rFonts w:ascii="Arial" w:eastAsia="Arial" w:hAnsi="Arial" w:cs="Arial"/>
          <w:i/>
          <w:iCs/>
          <w:color w:val="000000"/>
          <w:sz w:val="22"/>
          <w:szCs w:val="22"/>
        </w:rPr>
        <w:t>et al</w:t>
      </w:r>
      <w:r>
        <w:rPr>
          <w:rFonts w:ascii="Arial" w:eastAsia="Arial" w:hAnsi="Arial" w:cs="Arial"/>
          <w:color w:val="000000"/>
          <w:sz w:val="22"/>
          <w:szCs w:val="22"/>
        </w:rPr>
        <w:t>., 2013)</w:t>
      </w:r>
    </w:p>
    <w:p w14:paraId="3D8A54E8" w14:textId="77777777" w:rsidR="009F7A3D" w:rsidRDefault="00000000">
      <w:pPr>
        <w:pStyle w:val="Heading2"/>
        <w:spacing w:before="0" w:after="240"/>
        <w:rPr>
          <w:sz w:val="24"/>
          <w:szCs w:val="24"/>
        </w:rPr>
      </w:pPr>
      <w:bookmarkStart w:id="11" w:name="_heading=h.8rmtw25qkpcc" w:colFirst="0" w:colLast="0"/>
      <w:bookmarkEnd w:id="11"/>
      <w:r>
        <w:rPr>
          <w:sz w:val="24"/>
          <w:szCs w:val="24"/>
        </w:rPr>
        <w:t>Quality of Life &amp; Psychosocial Impact</w:t>
      </w:r>
    </w:p>
    <w:p w14:paraId="7EE811A2" w14:textId="77777777" w:rsidR="009F7A3D" w:rsidRDefault="00000000">
      <w:pPr>
        <w:spacing w:before="0"/>
        <w:rPr>
          <w:rFonts w:ascii="Arial" w:eastAsia="Arial" w:hAnsi="Arial" w:cs="Arial"/>
          <w:color w:val="000000"/>
          <w:sz w:val="22"/>
          <w:szCs w:val="22"/>
        </w:rPr>
      </w:pPr>
      <w:r>
        <w:rPr>
          <w:rFonts w:ascii="Arial" w:eastAsia="Arial" w:hAnsi="Arial" w:cs="Arial"/>
          <w:sz w:val="22"/>
          <w:szCs w:val="22"/>
        </w:rPr>
        <w:t xml:space="preserve">There is a significant psychosocial load of Type 1 Diabetes, as patients have to endure unceasing stress connected with glucose levels, insulin intake, and fear of complications (Farooqi </w:t>
      </w:r>
      <w:r>
        <w:rPr>
          <w:rFonts w:ascii="Arial" w:eastAsia="Arial" w:hAnsi="Arial" w:cs="Arial"/>
          <w:i/>
          <w:iCs/>
          <w:sz w:val="22"/>
          <w:szCs w:val="22"/>
        </w:rPr>
        <w:t>et al.,</w:t>
      </w:r>
      <w:r>
        <w:rPr>
          <w:rFonts w:ascii="Arial" w:eastAsia="Arial" w:hAnsi="Arial" w:cs="Arial"/>
          <w:sz w:val="22"/>
          <w:szCs w:val="22"/>
        </w:rPr>
        <w:t xml:space="preserve"> </w:t>
      </w:r>
      <w:r>
        <w:rPr>
          <w:rFonts w:ascii="Arial" w:eastAsia="Arial" w:hAnsi="Arial" w:cs="Arial"/>
          <w:sz w:val="22"/>
          <w:szCs w:val="22"/>
        </w:rPr>
        <w:lastRenderedPageBreak/>
        <w:t>2022). The burnout and anxiety related to diabetes have adverse effects on adherence to treatment, resulting in worse glycaemic control and poorer quality of life (</w:t>
      </w:r>
      <w:proofErr w:type="spellStart"/>
      <w:r>
        <w:rPr>
          <w:rFonts w:ascii="Arial" w:eastAsia="Arial" w:hAnsi="Arial" w:cs="Arial"/>
          <w:sz w:val="22"/>
          <w:szCs w:val="22"/>
        </w:rPr>
        <w:t>Regeer</w:t>
      </w:r>
      <w:proofErr w:type="spellEnd"/>
      <w:r>
        <w:rPr>
          <w:rFonts w:ascii="Arial" w:eastAsia="Arial" w:hAnsi="Arial" w:cs="Arial"/>
          <w:sz w:val="22"/>
          <w:szCs w:val="22"/>
        </w:rPr>
        <w:t xml:space="preserve"> </w:t>
      </w:r>
      <w:r>
        <w:rPr>
          <w:rFonts w:ascii="Arial" w:eastAsia="Arial" w:hAnsi="Arial" w:cs="Arial"/>
          <w:i/>
          <w:iCs/>
          <w:sz w:val="22"/>
          <w:szCs w:val="22"/>
        </w:rPr>
        <w:t>et al.</w:t>
      </w:r>
      <w:r>
        <w:rPr>
          <w:rFonts w:ascii="Arial" w:eastAsia="Arial" w:hAnsi="Arial" w:cs="Arial"/>
          <w:sz w:val="22"/>
          <w:szCs w:val="22"/>
        </w:rPr>
        <w:t xml:space="preserve">, 2022). The emotional burden and social constraints among adults with the condition are also increased by lifestyle restrictions, such as dietary control and physical activity management (Bennett </w:t>
      </w:r>
      <w:r>
        <w:rPr>
          <w:rFonts w:ascii="Arial" w:eastAsia="Arial" w:hAnsi="Arial" w:cs="Arial"/>
          <w:i/>
          <w:iCs/>
          <w:sz w:val="22"/>
          <w:szCs w:val="22"/>
        </w:rPr>
        <w:t>et al.,</w:t>
      </w:r>
      <w:r>
        <w:rPr>
          <w:rFonts w:ascii="Arial" w:eastAsia="Arial" w:hAnsi="Arial" w:cs="Arial"/>
          <w:sz w:val="22"/>
          <w:szCs w:val="22"/>
        </w:rPr>
        <w:t xml:space="preserve"> 2022).</w:t>
      </w:r>
    </w:p>
    <w:p w14:paraId="27F96D63" w14:textId="77777777" w:rsidR="009F7A3D" w:rsidRDefault="00000000">
      <w:pPr>
        <w:spacing w:before="0"/>
        <w:jc w:val="center"/>
        <w:rPr>
          <w:rFonts w:ascii="Arial" w:eastAsia="Arial" w:hAnsi="Arial" w:cs="Arial"/>
          <w:b/>
          <w:bCs/>
          <w:color w:val="000000"/>
          <w:sz w:val="22"/>
          <w:szCs w:val="22"/>
        </w:rPr>
      </w:pPr>
      <w:r>
        <w:rPr>
          <w:rFonts w:ascii="Arial" w:eastAsia="Arial" w:hAnsi="Arial" w:cs="Arial"/>
          <w:noProof/>
          <w:color w:val="000000"/>
          <w:sz w:val="22"/>
          <w:szCs w:val="22"/>
        </w:rPr>
        <w:drawing>
          <wp:inline distT="114300" distB="114300" distL="114300" distR="114300" wp14:anchorId="017B4C7A" wp14:editId="6AF86243">
            <wp:extent cx="4512169" cy="2564667"/>
            <wp:effectExtent l="76200" t="76200" r="136525" b="14097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4512169" cy="256466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6E63A6B" w14:textId="77777777" w:rsidR="009F7A3D" w:rsidRPr="00393B58" w:rsidRDefault="00000000" w:rsidP="00393B58">
      <w:pPr>
        <w:jc w:val="center"/>
        <w:rPr>
          <w:rFonts w:ascii="Arial" w:eastAsia="Arial" w:hAnsi="Arial" w:cs="Arial"/>
          <w:b/>
          <w:bCs/>
          <w:i/>
          <w:iCs/>
          <w:sz w:val="22"/>
          <w:szCs w:val="22"/>
        </w:rPr>
      </w:pPr>
      <w:bookmarkStart w:id="12" w:name="_heading=h.wjldtfalf675" w:colFirst="0" w:colLast="0"/>
      <w:bookmarkEnd w:id="12"/>
      <w:r w:rsidRPr="00393B58">
        <w:rPr>
          <w:rFonts w:ascii="Arial" w:eastAsia="Arial" w:hAnsi="Arial" w:cs="Arial"/>
          <w:b/>
          <w:bCs/>
          <w:i/>
          <w:iCs/>
          <w:sz w:val="22"/>
          <w:szCs w:val="22"/>
        </w:rPr>
        <w:t>Figure 5: Main Factors Associated with Type 1 Diabetes-Related Distress</w:t>
      </w:r>
    </w:p>
    <w:p w14:paraId="695BF156" w14:textId="77777777" w:rsidR="009F7A3D" w:rsidRDefault="00000000">
      <w:pPr>
        <w:spacing w:before="0"/>
        <w:jc w:val="center"/>
        <w:rPr>
          <w:rFonts w:ascii="Arial" w:eastAsia="Arial" w:hAnsi="Arial" w:cs="Arial"/>
          <w:color w:val="000000"/>
          <w:sz w:val="22"/>
          <w:szCs w:val="22"/>
        </w:rPr>
      </w:pPr>
      <w:r>
        <w:rPr>
          <w:rFonts w:ascii="Arial" w:eastAsia="Arial" w:hAnsi="Arial" w:cs="Arial"/>
          <w:color w:val="000000"/>
          <w:sz w:val="22"/>
          <w:szCs w:val="22"/>
        </w:rPr>
        <w:t>(</w:t>
      </w:r>
      <w:r>
        <w:rPr>
          <w:rFonts w:ascii="Arial" w:eastAsia="Arial" w:hAnsi="Arial" w:cs="Arial"/>
          <w:b/>
          <w:bCs/>
          <w:color w:val="000000"/>
          <w:sz w:val="22"/>
          <w:szCs w:val="22"/>
        </w:rPr>
        <w:t xml:space="preserve">Source: </w:t>
      </w:r>
      <w:r>
        <w:rPr>
          <w:rFonts w:ascii="Arial" w:eastAsia="Arial" w:hAnsi="Arial" w:cs="Arial"/>
          <w:color w:val="000000"/>
          <w:sz w:val="22"/>
          <w:szCs w:val="22"/>
        </w:rPr>
        <w:t xml:space="preserve">Rodríguez-Muñoz </w:t>
      </w:r>
      <w:r>
        <w:rPr>
          <w:rFonts w:ascii="Arial" w:eastAsia="Arial" w:hAnsi="Arial" w:cs="Arial"/>
          <w:i/>
          <w:iCs/>
          <w:color w:val="000000"/>
          <w:sz w:val="22"/>
          <w:szCs w:val="22"/>
        </w:rPr>
        <w:t>et al</w:t>
      </w:r>
      <w:r>
        <w:rPr>
          <w:rFonts w:ascii="Arial" w:eastAsia="Arial" w:hAnsi="Arial" w:cs="Arial"/>
          <w:color w:val="000000"/>
          <w:sz w:val="22"/>
          <w:szCs w:val="22"/>
        </w:rPr>
        <w:t>., 2024)</w:t>
      </w:r>
    </w:p>
    <w:p w14:paraId="0746619D" w14:textId="77777777" w:rsidR="009F7A3D" w:rsidRDefault="00000000">
      <w:pPr>
        <w:pStyle w:val="Heading2"/>
        <w:spacing w:before="0" w:after="240"/>
        <w:rPr>
          <w:sz w:val="24"/>
          <w:szCs w:val="24"/>
        </w:rPr>
      </w:pPr>
      <w:bookmarkStart w:id="13" w:name="_heading=h.5ett3pxa45s4" w:colFirst="0" w:colLast="0"/>
      <w:bookmarkEnd w:id="13"/>
      <w:r>
        <w:rPr>
          <w:sz w:val="24"/>
          <w:szCs w:val="24"/>
        </w:rPr>
        <w:t>Health Inequalities</w:t>
      </w:r>
    </w:p>
    <w:p w14:paraId="321B70B2" w14:textId="77777777" w:rsidR="009F7A3D" w:rsidRDefault="00000000">
      <w:pPr>
        <w:spacing w:before="0"/>
        <w:rPr>
          <w:rFonts w:ascii="Arial" w:eastAsia="Arial" w:hAnsi="Arial" w:cs="Arial"/>
          <w:color w:val="000000"/>
          <w:sz w:val="22"/>
          <w:szCs w:val="22"/>
        </w:rPr>
      </w:pPr>
      <w:r>
        <w:rPr>
          <w:rFonts w:ascii="Arial" w:eastAsia="Arial" w:hAnsi="Arial" w:cs="Arial"/>
          <w:color w:val="000000"/>
          <w:sz w:val="22"/>
          <w:szCs w:val="22"/>
        </w:rPr>
        <w:t>The socioeconomic status has a considerable impact on healthcare resource availability, and individuals in deprived regions have a higher hospitalisation rate and worse glycaemic outcomes (Song and Lee, 2021). The disadvantaged population does not gain from modern treatment because access to the updated technologies, such as CGM and insulin pumps, is uneven (</w:t>
      </w:r>
      <w:proofErr w:type="spellStart"/>
      <w:r>
        <w:rPr>
          <w:rFonts w:ascii="Arial" w:eastAsia="Arial" w:hAnsi="Arial" w:cs="Arial"/>
          <w:color w:val="000000"/>
          <w:sz w:val="22"/>
          <w:szCs w:val="22"/>
        </w:rPr>
        <w:t>Alessy</w:t>
      </w:r>
      <w:proofErr w:type="spellEnd"/>
      <w:r>
        <w:rPr>
          <w:rFonts w:ascii="Arial" w:eastAsia="Arial" w:hAnsi="Arial" w:cs="Arial"/>
          <w:color w:val="000000"/>
          <w:sz w:val="22"/>
          <w:szCs w:val="22"/>
        </w:rPr>
        <w:t xml:space="preserve"> </w:t>
      </w:r>
      <w:r>
        <w:rPr>
          <w:rFonts w:ascii="Arial" w:eastAsia="Arial" w:hAnsi="Arial" w:cs="Arial"/>
          <w:i/>
          <w:iCs/>
          <w:color w:val="000000"/>
          <w:sz w:val="22"/>
          <w:szCs w:val="22"/>
        </w:rPr>
        <w:t>et al</w:t>
      </w:r>
      <w:r>
        <w:rPr>
          <w:rFonts w:ascii="Arial" w:eastAsia="Arial" w:hAnsi="Arial" w:cs="Arial"/>
          <w:color w:val="000000"/>
          <w:sz w:val="22"/>
          <w:szCs w:val="22"/>
        </w:rPr>
        <w:t>., 2022). Ethnic and social inequalities also add to the lack of equality in health, and marginalised groups are more likely to be blocked in education, support, and access to healthcare (</w:t>
      </w:r>
      <w:proofErr w:type="spellStart"/>
      <w:r>
        <w:rPr>
          <w:rFonts w:ascii="Arial" w:eastAsia="Arial" w:hAnsi="Arial" w:cs="Arial"/>
          <w:color w:val="000000"/>
          <w:sz w:val="22"/>
          <w:szCs w:val="22"/>
        </w:rPr>
        <w:t>Hinneh</w:t>
      </w:r>
      <w:proofErr w:type="spellEnd"/>
      <w:r>
        <w:rPr>
          <w:rFonts w:ascii="Arial" w:eastAsia="Arial" w:hAnsi="Arial" w:cs="Arial"/>
          <w:color w:val="000000"/>
          <w:sz w:val="22"/>
          <w:szCs w:val="22"/>
        </w:rPr>
        <w:t xml:space="preserve"> </w:t>
      </w:r>
      <w:r w:rsidRPr="00393B58">
        <w:rPr>
          <w:rFonts w:ascii="Arial" w:eastAsia="Arial" w:hAnsi="Arial" w:cs="Arial"/>
          <w:i/>
          <w:iCs/>
          <w:color w:val="000000"/>
          <w:sz w:val="22"/>
          <w:szCs w:val="22"/>
        </w:rPr>
        <w:t>et al</w:t>
      </w:r>
      <w:r w:rsidRPr="00393B58">
        <w:rPr>
          <w:rFonts w:ascii="Arial" w:eastAsia="Arial" w:hAnsi="Arial" w:cs="Arial"/>
          <w:color w:val="000000"/>
          <w:sz w:val="22"/>
          <w:szCs w:val="22"/>
        </w:rPr>
        <w:t>.,</w:t>
      </w:r>
      <w:r>
        <w:rPr>
          <w:rFonts w:ascii="Arial" w:eastAsia="Arial" w:hAnsi="Arial" w:cs="Arial"/>
          <w:color w:val="000000"/>
          <w:sz w:val="22"/>
          <w:szCs w:val="22"/>
        </w:rPr>
        <w:t xml:space="preserve"> 2024).</w:t>
      </w:r>
    </w:p>
    <w:p w14:paraId="61BF1A07" w14:textId="77777777" w:rsidR="009F7A3D" w:rsidRDefault="00000000">
      <w:pPr>
        <w:spacing w:before="0"/>
        <w:jc w:val="center"/>
        <w:rPr>
          <w:rFonts w:ascii="Arial" w:eastAsia="Arial" w:hAnsi="Arial" w:cs="Arial"/>
          <w:color w:val="000000"/>
          <w:sz w:val="22"/>
          <w:szCs w:val="22"/>
        </w:rPr>
      </w:pPr>
      <w:r>
        <w:rPr>
          <w:rFonts w:ascii="Arial" w:eastAsia="Arial" w:hAnsi="Arial" w:cs="Arial"/>
          <w:noProof/>
          <w:color w:val="000000"/>
          <w:sz w:val="22"/>
          <w:szCs w:val="22"/>
        </w:rPr>
        <w:lastRenderedPageBreak/>
        <w:drawing>
          <wp:inline distT="114300" distB="114300" distL="114300" distR="114300" wp14:anchorId="724EADA7" wp14:editId="075CD8A8">
            <wp:extent cx="4732604" cy="2749287"/>
            <wp:effectExtent l="76200" t="76200" r="125730" b="127635"/>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4732604" cy="274928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B5675AD" w14:textId="77777777" w:rsidR="009F7A3D" w:rsidRPr="00393B58" w:rsidRDefault="00000000" w:rsidP="00393B58">
      <w:pPr>
        <w:jc w:val="center"/>
        <w:rPr>
          <w:rFonts w:ascii="Arial" w:eastAsia="Arial" w:hAnsi="Arial" w:cs="Arial"/>
          <w:b/>
          <w:bCs/>
          <w:i/>
          <w:iCs/>
          <w:sz w:val="22"/>
          <w:szCs w:val="22"/>
        </w:rPr>
      </w:pPr>
      <w:bookmarkStart w:id="14" w:name="_heading=h.s523tiqk1yfs" w:colFirst="0" w:colLast="0"/>
      <w:bookmarkEnd w:id="14"/>
      <w:r w:rsidRPr="00393B58">
        <w:rPr>
          <w:rFonts w:ascii="Arial" w:eastAsia="Arial" w:hAnsi="Arial" w:cs="Arial"/>
          <w:b/>
          <w:bCs/>
          <w:i/>
          <w:iCs/>
          <w:sz w:val="22"/>
          <w:szCs w:val="22"/>
        </w:rPr>
        <w:t>Figure 6:  Prevalence of Total Diabetes by Age and GBD Super-Region in 2021</w:t>
      </w:r>
    </w:p>
    <w:p w14:paraId="3EED66B5" w14:textId="77777777" w:rsidR="009F7A3D" w:rsidRDefault="00000000">
      <w:pPr>
        <w:spacing w:before="0"/>
        <w:jc w:val="center"/>
        <w:rPr>
          <w:rFonts w:ascii="Arial" w:eastAsia="Arial" w:hAnsi="Arial" w:cs="Arial"/>
          <w:color w:val="000000"/>
          <w:sz w:val="22"/>
          <w:szCs w:val="22"/>
        </w:rPr>
      </w:pPr>
      <w:r>
        <w:rPr>
          <w:rFonts w:ascii="Arial" w:eastAsia="Arial" w:hAnsi="Arial" w:cs="Arial"/>
          <w:color w:val="000000"/>
          <w:sz w:val="22"/>
          <w:szCs w:val="22"/>
        </w:rPr>
        <w:t>(</w:t>
      </w:r>
      <w:r>
        <w:rPr>
          <w:rFonts w:ascii="Arial" w:eastAsia="Arial" w:hAnsi="Arial" w:cs="Arial"/>
          <w:b/>
          <w:bCs/>
          <w:color w:val="000000"/>
          <w:sz w:val="22"/>
          <w:szCs w:val="22"/>
        </w:rPr>
        <w:t>Source:</w:t>
      </w:r>
      <w:r>
        <w:rPr>
          <w:rFonts w:ascii="Arial" w:eastAsia="Arial" w:hAnsi="Arial" w:cs="Arial"/>
          <w:color w:val="000000"/>
          <w:sz w:val="22"/>
          <w:szCs w:val="22"/>
        </w:rPr>
        <w:t xml:space="preserve"> Ong K </w:t>
      </w:r>
      <w:r>
        <w:rPr>
          <w:rFonts w:ascii="Arial" w:eastAsia="Arial" w:hAnsi="Arial" w:cs="Arial"/>
          <w:i/>
          <w:iCs/>
          <w:color w:val="000000"/>
          <w:sz w:val="22"/>
          <w:szCs w:val="22"/>
        </w:rPr>
        <w:t>et al</w:t>
      </w:r>
      <w:r>
        <w:rPr>
          <w:rFonts w:ascii="Arial" w:eastAsia="Arial" w:hAnsi="Arial" w:cs="Arial"/>
          <w:color w:val="000000"/>
          <w:sz w:val="22"/>
          <w:szCs w:val="22"/>
        </w:rPr>
        <w:t>., 2023)</w:t>
      </w:r>
    </w:p>
    <w:p w14:paraId="348A0725" w14:textId="77777777" w:rsidR="009F7A3D" w:rsidRDefault="00000000">
      <w:pPr>
        <w:pStyle w:val="Heading2"/>
        <w:spacing w:before="0" w:after="240"/>
        <w:rPr>
          <w:sz w:val="24"/>
          <w:szCs w:val="24"/>
        </w:rPr>
      </w:pPr>
      <w:bookmarkStart w:id="15" w:name="_heading=h.ok4e53n0hzwk" w:colFirst="0" w:colLast="0"/>
      <w:bookmarkEnd w:id="15"/>
      <w:r>
        <w:rPr>
          <w:sz w:val="24"/>
          <w:szCs w:val="24"/>
        </w:rPr>
        <w:t>Policy Context (UK)NICE guidelines</w:t>
      </w:r>
    </w:p>
    <w:p w14:paraId="2E40E4AB" w14:textId="77777777" w:rsidR="009F7A3D" w:rsidRDefault="00000000">
      <w:pPr>
        <w:spacing w:before="0"/>
        <w:rPr>
          <w:rFonts w:ascii="Arial" w:eastAsia="Arial" w:hAnsi="Arial" w:cs="Arial"/>
          <w:color w:val="000000"/>
          <w:sz w:val="22"/>
          <w:szCs w:val="22"/>
        </w:rPr>
      </w:pPr>
      <w:r>
        <w:rPr>
          <w:rFonts w:ascii="Arial" w:eastAsia="Arial" w:hAnsi="Arial" w:cs="Arial"/>
          <w:color w:val="000000"/>
          <w:sz w:val="22"/>
          <w:szCs w:val="22"/>
        </w:rPr>
        <w:t xml:space="preserve">The healthcare policies in the UK, such as NICE guidelines and the NHS Long Term Plan, facilitate the systematic management of diabetes and the wider use of digital technologies to enhance outcomes. Patient-centred care and integrated services are highlighted in policy frameworks to decrease long-term costs and complications (Laforgia </w:t>
      </w:r>
      <w:r>
        <w:rPr>
          <w:rFonts w:ascii="Arial" w:eastAsia="Arial" w:hAnsi="Arial" w:cs="Arial"/>
          <w:i/>
          <w:iCs/>
          <w:color w:val="000000"/>
          <w:sz w:val="22"/>
          <w:szCs w:val="22"/>
        </w:rPr>
        <w:t>et al</w:t>
      </w:r>
      <w:r>
        <w:rPr>
          <w:rFonts w:ascii="Arial" w:eastAsia="Arial" w:hAnsi="Arial" w:cs="Arial"/>
          <w:color w:val="000000"/>
          <w:sz w:val="22"/>
          <w:szCs w:val="22"/>
        </w:rPr>
        <w:t xml:space="preserve">., 2024). Nevertheless, even with these improvements, there is a visible paradox, with the advancement of technologies enhancing clinical outcomes, but the disparity in access to technologies continues to increase health discrepancies between various groups of people (Eberle and </w:t>
      </w:r>
      <w:proofErr w:type="spellStart"/>
      <w:r>
        <w:rPr>
          <w:rFonts w:ascii="Arial" w:eastAsia="Arial" w:hAnsi="Arial" w:cs="Arial"/>
          <w:color w:val="000000"/>
          <w:sz w:val="22"/>
          <w:szCs w:val="22"/>
        </w:rPr>
        <w:t>Stichling</w:t>
      </w:r>
      <w:proofErr w:type="spellEnd"/>
      <w:r>
        <w:rPr>
          <w:rFonts w:ascii="Arial" w:eastAsia="Arial" w:hAnsi="Arial" w:cs="Arial"/>
          <w:color w:val="000000"/>
          <w:sz w:val="22"/>
          <w:szCs w:val="22"/>
        </w:rPr>
        <w:t>, 2021).</w:t>
      </w:r>
    </w:p>
    <w:p w14:paraId="0A913FE1" w14:textId="77777777" w:rsidR="009F7A3D" w:rsidRDefault="00000000">
      <w:pPr>
        <w:pStyle w:val="Heading1"/>
        <w:spacing w:before="0" w:after="240"/>
      </w:pPr>
      <w:bookmarkStart w:id="16" w:name="_heading=h.lb2ycapuuv0y" w:colFirst="0" w:colLast="0"/>
      <w:bookmarkEnd w:id="16"/>
      <w:r>
        <w:t>3. Rationale &amp; Research Question/Aims</w:t>
      </w:r>
    </w:p>
    <w:p w14:paraId="014C405B" w14:textId="77777777" w:rsidR="009F7A3D" w:rsidRDefault="00000000">
      <w:pPr>
        <w:pStyle w:val="Heading2"/>
        <w:spacing w:before="0" w:after="240"/>
        <w:rPr>
          <w:sz w:val="24"/>
          <w:szCs w:val="24"/>
        </w:rPr>
      </w:pPr>
      <w:bookmarkStart w:id="17" w:name="_heading=h.7k6h6mkftos6" w:colFirst="0" w:colLast="0"/>
      <w:bookmarkEnd w:id="17"/>
      <w:r>
        <w:rPr>
          <w:sz w:val="24"/>
          <w:szCs w:val="24"/>
        </w:rPr>
        <w:t xml:space="preserve">Rationale </w:t>
      </w:r>
    </w:p>
    <w:p w14:paraId="654D9D93" w14:textId="77777777" w:rsidR="009F7A3D" w:rsidRDefault="00000000">
      <w:pPr>
        <w:spacing w:before="0"/>
        <w:rPr>
          <w:rFonts w:ascii="Arial" w:eastAsia="Arial" w:hAnsi="Arial" w:cs="Arial"/>
          <w:color w:val="000000"/>
          <w:sz w:val="22"/>
          <w:szCs w:val="22"/>
        </w:rPr>
      </w:pPr>
      <w:r>
        <w:rPr>
          <w:rFonts w:ascii="Arial" w:eastAsia="Arial" w:hAnsi="Arial" w:cs="Arial"/>
          <w:color w:val="000000"/>
          <w:sz w:val="22"/>
          <w:szCs w:val="22"/>
        </w:rPr>
        <w:t xml:space="preserve">This study is necessitated by the growing epidemic of Type 1 Diabetes in the UK, with more than 400,000 already affected, and the prevalence increasing yearly. According to  Gregory </w:t>
      </w:r>
      <w:r>
        <w:rPr>
          <w:rFonts w:ascii="Arial" w:eastAsia="Arial" w:hAnsi="Arial" w:cs="Arial"/>
          <w:i/>
          <w:iCs/>
          <w:color w:val="000000"/>
          <w:sz w:val="22"/>
          <w:szCs w:val="22"/>
        </w:rPr>
        <w:t>et al</w:t>
      </w:r>
      <w:r>
        <w:rPr>
          <w:rFonts w:ascii="Arial" w:eastAsia="Arial" w:hAnsi="Arial" w:cs="Arial"/>
          <w:color w:val="000000"/>
          <w:sz w:val="22"/>
          <w:szCs w:val="22"/>
        </w:rPr>
        <w:t xml:space="preserve">., (2021) improved treatment and care pathways, less than 30% of adults is reach recommended HbA1c levels, which shows that there are still gaps in effective disease management  Healthcare policies facilitate the use of modern technologies, like continuous glucose monitoring that can </w:t>
      </w:r>
      <w:r>
        <w:rPr>
          <w:rFonts w:ascii="Arial" w:eastAsia="Arial" w:hAnsi="Arial" w:cs="Arial"/>
          <w:color w:val="000000"/>
          <w:sz w:val="22"/>
          <w:szCs w:val="22"/>
        </w:rPr>
        <w:lastRenderedPageBreak/>
        <w:t xml:space="preserve">decrease the level of HbA1c by about 0.5-1.0% but access is not even among socioeconomic groups (Chan </w:t>
      </w:r>
      <w:r>
        <w:rPr>
          <w:rFonts w:ascii="Arial" w:eastAsia="Arial" w:hAnsi="Arial" w:cs="Arial"/>
          <w:i/>
          <w:iCs/>
          <w:color w:val="000000"/>
          <w:sz w:val="22"/>
          <w:szCs w:val="22"/>
        </w:rPr>
        <w:t>et al</w:t>
      </w:r>
      <w:r>
        <w:rPr>
          <w:rFonts w:ascii="Arial" w:eastAsia="Arial" w:hAnsi="Arial" w:cs="Arial"/>
          <w:color w:val="000000"/>
          <w:sz w:val="22"/>
          <w:szCs w:val="22"/>
        </w:rPr>
        <w:t xml:space="preserve">., 2021). The current studies continue to be disjointed, with clinical studies concentrating on biomedical results, whereas behavioural and social studies is independently discussing patient experiences and inequalities (Shiel </w:t>
      </w:r>
      <w:r>
        <w:rPr>
          <w:rFonts w:ascii="Arial" w:eastAsia="Arial" w:hAnsi="Arial" w:cs="Arial"/>
          <w:i/>
          <w:iCs/>
          <w:color w:val="000000"/>
          <w:sz w:val="22"/>
          <w:szCs w:val="22"/>
        </w:rPr>
        <w:t>et al</w:t>
      </w:r>
      <w:r>
        <w:rPr>
          <w:rFonts w:ascii="Arial" w:eastAsia="Arial" w:hAnsi="Arial" w:cs="Arial"/>
          <w:color w:val="000000"/>
          <w:sz w:val="22"/>
          <w:szCs w:val="22"/>
        </w:rPr>
        <w:t>., 2023). This dissection is restricting the knowledge of the combined effect of clinical, psychological, and socioeconomic factors on the actual disease management.</w:t>
      </w:r>
    </w:p>
    <w:p w14:paraId="6DA30B49" w14:textId="77777777" w:rsidR="009F7A3D" w:rsidRDefault="00000000">
      <w:pPr>
        <w:spacing w:before="0"/>
        <w:rPr>
          <w:rFonts w:ascii="Arial" w:eastAsia="Arial" w:hAnsi="Arial" w:cs="Arial"/>
          <w:color w:val="000000"/>
          <w:sz w:val="22"/>
          <w:szCs w:val="22"/>
        </w:rPr>
      </w:pPr>
      <w:r>
        <w:rPr>
          <w:rFonts w:ascii="Arial" w:eastAsia="Arial" w:hAnsi="Arial" w:cs="Arial"/>
          <w:color w:val="000000"/>
          <w:sz w:val="22"/>
          <w:szCs w:val="22"/>
        </w:rPr>
        <w:t>Moreover, no systematic reviews, based in the UK, exist that combine these areas into one analytical framework. In the absence of this integration, the healthcare strategies might not be effective in dealing with underlying inequalities and inefficiencies in service delivery. Thus, quality studies are necessary to critically synthesise to have a comprehensive picture of the problem. This gap is covered by this study through synthesising evidence on the factors that affect the disease management and health outcomes in adults with Type 1 Diabetes in the UK.</w:t>
      </w:r>
    </w:p>
    <w:p w14:paraId="22F4D0A1" w14:textId="77777777" w:rsidR="009F7A3D" w:rsidRDefault="00000000">
      <w:pPr>
        <w:pStyle w:val="Heading2"/>
        <w:spacing w:before="0" w:after="240"/>
        <w:rPr>
          <w:sz w:val="24"/>
          <w:szCs w:val="24"/>
        </w:rPr>
      </w:pPr>
      <w:bookmarkStart w:id="18" w:name="_heading=h.qetrx26crg29" w:colFirst="0" w:colLast="0"/>
      <w:bookmarkEnd w:id="18"/>
      <w:r>
        <w:rPr>
          <w:sz w:val="24"/>
          <w:szCs w:val="24"/>
        </w:rPr>
        <w:t xml:space="preserve">Research Question </w:t>
      </w:r>
    </w:p>
    <w:p w14:paraId="24F4738D" w14:textId="77777777" w:rsidR="009F7A3D" w:rsidRDefault="00000000">
      <w:pPr>
        <w:spacing w:before="0"/>
        <w:rPr>
          <w:rFonts w:ascii="Arial" w:eastAsia="Arial" w:hAnsi="Arial" w:cs="Arial"/>
          <w:color w:val="000000"/>
          <w:sz w:val="22"/>
          <w:szCs w:val="22"/>
        </w:rPr>
      </w:pPr>
      <w:r>
        <w:rPr>
          <w:rFonts w:ascii="Arial" w:eastAsia="Arial" w:hAnsi="Arial" w:cs="Arial"/>
          <w:color w:val="000000"/>
          <w:sz w:val="22"/>
          <w:szCs w:val="22"/>
        </w:rPr>
        <w:t>What factors influence successful disease management and improved health outcomes among adults living with Type 1 Diabetes in the UK?</w:t>
      </w:r>
    </w:p>
    <w:p w14:paraId="5101B180" w14:textId="77777777" w:rsidR="009F7A3D" w:rsidRDefault="00000000">
      <w:pPr>
        <w:pStyle w:val="Heading2"/>
        <w:spacing w:before="0" w:after="240"/>
        <w:rPr>
          <w:sz w:val="24"/>
          <w:szCs w:val="24"/>
        </w:rPr>
      </w:pPr>
      <w:bookmarkStart w:id="19" w:name="_heading=h.3ga0uwhauomd" w:colFirst="0" w:colLast="0"/>
      <w:bookmarkEnd w:id="19"/>
      <w:r>
        <w:rPr>
          <w:sz w:val="24"/>
          <w:szCs w:val="24"/>
        </w:rPr>
        <w:t xml:space="preserve">Aim </w:t>
      </w:r>
    </w:p>
    <w:p w14:paraId="49036E11" w14:textId="77777777" w:rsidR="009F7A3D" w:rsidRDefault="00000000">
      <w:pPr>
        <w:spacing w:before="0"/>
        <w:rPr>
          <w:rFonts w:ascii="Arial" w:eastAsia="Arial" w:hAnsi="Arial" w:cs="Arial"/>
          <w:color w:val="000000"/>
          <w:sz w:val="22"/>
          <w:szCs w:val="22"/>
        </w:rPr>
      </w:pPr>
      <w:r>
        <w:rPr>
          <w:rFonts w:ascii="Arial" w:eastAsia="Arial" w:hAnsi="Arial" w:cs="Arial"/>
          <w:color w:val="000000"/>
          <w:sz w:val="22"/>
          <w:szCs w:val="22"/>
        </w:rPr>
        <w:t>The aim of this study is to critically examine the key clinical, behavioural, and socio-economic factors that influence successful disease management and improved health outcomes among adults with Type 1 Diabetes in the UK.</w:t>
      </w:r>
    </w:p>
    <w:p w14:paraId="23A2519A" w14:textId="77777777" w:rsidR="009F7A3D" w:rsidRDefault="00000000">
      <w:pPr>
        <w:pStyle w:val="Heading2"/>
        <w:spacing w:before="0" w:after="240"/>
        <w:rPr>
          <w:sz w:val="24"/>
          <w:szCs w:val="24"/>
        </w:rPr>
      </w:pPr>
      <w:bookmarkStart w:id="20" w:name="_heading=h.4physx2mr0tj" w:colFirst="0" w:colLast="0"/>
      <w:bookmarkEnd w:id="20"/>
      <w:r>
        <w:rPr>
          <w:sz w:val="24"/>
          <w:szCs w:val="24"/>
        </w:rPr>
        <w:t xml:space="preserve">Objectives </w:t>
      </w:r>
    </w:p>
    <w:p w14:paraId="2521491A" w14:textId="77777777" w:rsidR="009F7A3D" w:rsidRDefault="00000000">
      <w:pPr>
        <w:numPr>
          <w:ilvl w:val="0"/>
          <w:numId w:val="1"/>
        </w:numPr>
        <w:spacing w:before="0"/>
        <w:rPr>
          <w:rFonts w:ascii="Arial" w:eastAsia="Arial" w:hAnsi="Arial" w:cs="Arial"/>
          <w:color w:val="000000"/>
          <w:sz w:val="22"/>
          <w:szCs w:val="22"/>
        </w:rPr>
      </w:pPr>
      <w:r>
        <w:rPr>
          <w:rFonts w:ascii="Arial" w:eastAsia="Arial" w:hAnsi="Arial" w:cs="Arial"/>
          <w:color w:val="000000"/>
          <w:sz w:val="22"/>
          <w:szCs w:val="22"/>
        </w:rPr>
        <w:t>To analyse the influence of socioeconomic status and health inequalities on access to healthcare services and disease outcomes among adults with Type 1 Diabetes in the UK.</w:t>
      </w:r>
    </w:p>
    <w:p w14:paraId="08FE4137" w14:textId="77777777" w:rsidR="009F7A3D" w:rsidRDefault="00000000">
      <w:pPr>
        <w:numPr>
          <w:ilvl w:val="0"/>
          <w:numId w:val="1"/>
        </w:numPr>
        <w:spacing w:before="0"/>
        <w:rPr>
          <w:rFonts w:ascii="Arial" w:eastAsia="Arial" w:hAnsi="Arial" w:cs="Arial"/>
          <w:sz w:val="22"/>
          <w:szCs w:val="22"/>
        </w:rPr>
      </w:pPr>
      <w:r>
        <w:rPr>
          <w:rFonts w:ascii="Arial" w:eastAsia="Arial" w:hAnsi="Arial" w:cs="Arial"/>
          <w:sz w:val="22"/>
          <w:szCs w:val="22"/>
        </w:rPr>
        <w:t>To determine the major issues affecting adults with Type 1 Diabetes in their management within the UK setting.</w:t>
      </w:r>
    </w:p>
    <w:p w14:paraId="1D189B7F" w14:textId="77777777" w:rsidR="009F7A3D" w:rsidRDefault="00000000">
      <w:pPr>
        <w:numPr>
          <w:ilvl w:val="0"/>
          <w:numId w:val="1"/>
        </w:numPr>
        <w:spacing w:before="0"/>
        <w:rPr>
          <w:rFonts w:ascii="Arial" w:eastAsia="Arial" w:hAnsi="Arial" w:cs="Arial"/>
          <w:sz w:val="22"/>
          <w:szCs w:val="22"/>
        </w:rPr>
      </w:pPr>
      <w:r>
        <w:rPr>
          <w:rFonts w:ascii="Arial" w:eastAsia="Arial" w:hAnsi="Arial" w:cs="Arial"/>
          <w:sz w:val="22"/>
          <w:szCs w:val="22"/>
        </w:rPr>
        <w:t>To evaluate the effectiveness of existing treatment methods and support services to adults living with Type 1 Diabetes within the UK healthcare system.</w:t>
      </w:r>
    </w:p>
    <w:p w14:paraId="541219AC" w14:textId="77777777" w:rsidR="009F7A3D" w:rsidRDefault="00000000">
      <w:pPr>
        <w:numPr>
          <w:ilvl w:val="0"/>
          <w:numId w:val="1"/>
        </w:numPr>
        <w:spacing w:before="0"/>
        <w:rPr>
          <w:rFonts w:ascii="Arial" w:eastAsia="Arial" w:hAnsi="Arial" w:cs="Arial"/>
          <w:sz w:val="22"/>
          <w:szCs w:val="22"/>
        </w:rPr>
      </w:pPr>
      <w:r>
        <w:rPr>
          <w:rFonts w:ascii="Arial" w:eastAsia="Arial" w:hAnsi="Arial" w:cs="Arial"/>
          <w:sz w:val="22"/>
          <w:szCs w:val="22"/>
        </w:rPr>
        <w:lastRenderedPageBreak/>
        <w:t>To assess the physical, psychological and social consequences of Type 1 Diabetes in adults in the UK and measures taken to control the condition.</w:t>
      </w:r>
    </w:p>
    <w:p w14:paraId="556FC0B6" w14:textId="77777777" w:rsidR="009F7A3D" w:rsidRDefault="00000000">
      <w:pPr>
        <w:pStyle w:val="Heading1"/>
      </w:pPr>
      <w:bookmarkStart w:id="21" w:name="_heading=h.lv63tvyw045u" w:colFirst="0" w:colLast="0"/>
      <w:bookmarkEnd w:id="21"/>
      <w:r>
        <w:t xml:space="preserve">4. Research Methodology </w:t>
      </w:r>
    </w:p>
    <w:p w14:paraId="3B40EF2B" w14:textId="77777777" w:rsidR="009F7A3D" w:rsidRDefault="00000000">
      <w:pPr>
        <w:rPr>
          <w:rFonts w:ascii="Arial" w:eastAsia="Arial" w:hAnsi="Arial" w:cs="Arial"/>
          <w:sz w:val="22"/>
          <w:szCs w:val="22"/>
        </w:rPr>
      </w:pPr>
      <w:r>
        <w:rPr>
          <w:rFonts w:ascii="Arial" w:eastAsia="Arial" w:hAnsi="Arial" w:cs="Arial"/>
          <w:sz w:val="22"/>
          <w:szCs w:val="22"/>
        </w:rPr>
        <w:t xml:space="preserve">The study takes a secondary research design, which is based on the existing academic and clinical literature on the management of Type 1 Diabetes in UK, in order to provide a thorough and </w:t>
      </w:r>
      <w:proofErr w:type="gramStart"/>
      <w:r>
        <w:rPr>
          <w:rFonts w:ascii="Arial" w:eastAsia="Arial" w:hAnsi="Arial" w:cs="Arial"/>
          <w:sz w:val="22"/>
          <w:szCs w:val="22"/>
        </w:rPr>
        <w:t>evidence based</w:t>
      </w:r>
      <w:proofErr w:type="gramEnd"/>
      <w:r>
        <w:rPr>
          <w:rFonts w:ascii="Arial" w:eastAsia="Arial" w:hAnsi="Arial" w:cs="Arial"/>
          <w:sz w:val="22"/>
          <w:szCs w:val="22"/>
        </w:rPr>
        <w:t xml:space="preserve"> study. To explore patterns, meanings and experiences of disease management, a qualitative research strategy is implemented to provide an in-depth understanding of behavioural, social and clinical factors. </w:t>
      </w:r>
    </w:p>
    <w:p w14:paraId="4524116C" w14:textId="77777777" w:rsidR="009F7A3D" w:rsidRDefault="00000000">
      <w:pPr>
        <w:rPr>
          <w:rFonts w:ascii="Arial" w:eastAsia="Arial" w:hAnsi="Arial" w:cs="Arial"/>
          <w:sz w:val="22"/>
          <w:szCs w:val="22"/>
        </w:rPr>
      </w:pPr>
      <w:r>
        <w:rPr>
          <w:rFonts w:ascii="Arial" w:eastAsia="Arial" w:hAnsi="Arial" w:cs="Arial"/>
          <w:sz w:val="22"/>
          <w:szCs w:val="22"/>
        </w:rPr>
        <w:t xml:space="preserve">The research adheres to inductive approach, where themes and insights are created based on the data, but not on a priori hypotheses, which is appropriate in synthesizing various types of evidence. The study is based on an interpretivist philosophical approach that focuses on the lived experiences, behaviours of the patients and the social environment that can affect disease management outcomes. The method allows comprehending intricate interactions between health care systems, personal behaviours and socioeconomic factors outside of the quantitative measures. </w:t>
      </w:r>
    </w:p>
    <w:p w14:paraId="13BD3D0B" w14:textId="77777777" w:rsidR="009F7A3D" w:rsidRDefault="00000000">
      <w:pPr>
        <w:rPr>
          <w:rFonts w:ascii="Arial" w:eastAsia="Arial" w:hAnsi="Arial" w:cs="Arial"/>
          <w:sz w:val="22"/>
          <w:szCs w:val="22"/>
        </w:rPr>
      </w:pPr>
      <w:r>
        <w:rPr>
          <w:rFonts w:ascii="Arial" w:eastAsia="Arial" w:hAnsi="Arial" w:cs="Arial"/>
          <w:sz w:val="22"/>
          <w:szCs w:val="22"/>
        </w:rPr>
        <w:t>It employs a descriptive research design, which entails a systemic process of summarising and interpreting the available evidence to give a systematic overview of the current practices, challenges and outcomes. The research involves analysis about 20-30 peer-reviewed journal articles and this gives it adequate depth and helps in thematic saturation in qualitative research. Key academic databases such as PubMed, Scopus, Google Scholar and ScienceDirect are also used to collect data, which provide access to a wide variety of high-quality sources.</w:t>
      </w:r>
    </w:p>
    <w:p w14:paraId="5DDB9C8C" w14:textId="77777777" w:rsidR="009F7A3D" w:rsidRDefault="00000000">
      <w:pPr>
        <w:pStyle w:val="Heading1"/>
        <w:spacing w:before="0" w:after="240"/>
      </w:pPr>
      <w:bookmarkStart w:id="22" w:name="_heading=h.8e2yjssq8jw2" w:colFirst="0" w:colLast="0"/>
      <w:bookmarkEnd w:id="22"/>
      <w:r>
        <w:t xml:space="preserve">5. Research Design </w:t>
      </w:r>
    </w:p>
    <w:p w14:paraId="4D11809F" w14:textId="77777777" w:rsidR="009F7A3D" w:rsidRDefault="00000000">
      <w:pPr>
        <w:spacing w:before="0"/>
        <w:rPr>
          <w:rFonts w:ascii="Arial" w:eastAsia="Arial" w:hAnsi="Arial" w:cs="Arial"/>
          <w:color w:val="000000"/>
          <w:sz w:val="22"/>
          <w:szCs w:val="22"/>
        </w:rPr>
      </w:pPr>
      <w:r>
        <w:rPr>
          <w:rFonts w:ascii="Arial" w:eastAsia="Arial" w:hAnsi="Arial" w:cs="Arial"/>
          <w:color w:val="000000"/>
          <w:sz w:val="22"/>
          <w:szCs w:val="22"/>
        </w:rPr>
        <w:t>The study used a descriptive research design to explore patterns, trends, and correlations in the available literature on Type 1 Diabetes management in the UK in a systematic way. The design is useful in determining prevalent themes based on clinical outcomes, behavioural practices and socioeconomic factors, in order to come up with a systematic interpretation of the disease management. It enables the examination of the most important variables, including the level of HbA1c, complication rates, and access to healthcare services, and these levels are different among various population groups.</w:t>
      </w:r>
    </w:p>
    <w:p w14:paraId="338044D4" w14:textId="77777777" w:rsidR="009F7A3D" w:rsidRDefault="00000000">
      <w:pPr>
        <w:spacing w:before="0"/>
        <w:rPr>
          <w:rFonts w:ascii="Arial" w:eastAsia="Arial" w:hAnsi="Arial" w:cs="Arial"/>
          <w:sz w:val="23"/>
          <w:szCs w:val="23"/>
        </w:rPr>
      </w:pPr>
      <w:r>
        <w:rPr>
          <w:rFonts w:ascii="Arial" w:eastAsia="Arial" w:hAnsi="Arial" w:cs="Arial"/>
          <w:sz w:val="23"/>
          <w:szCs w:val="23"/>
        </w:rPr>
        <w:lastRenderedPageBreak/>
        <w:t>The descriptive design is considered to be adequate when one is working on a systematic literature review since it allows synthesizing the findings on the basis of selected works. It allows to organise and summarise a considerable amount of evidence, and helps to discover common patterns and gaps in the literature. The level of clarity in the development of relationship between management strategies and health outcomes is also increased through this method and findings are comprehensive and analytically meaningful.</w:t>
      </w:r>
    </w:p>
    <w:p w14:paraId="5ADD5686" w14:textId="77777777" w:rsidR="009F7A3D" w:rsidRDefault="00000000">
      <w:pPr>
        <w:spacing w:before="0"/>
        <w:rPr>
          <w:rFonts w:ascii="Arial" w:eastAsia="Arial" w:hAnsi="Arial" w:cs="Arial"/>
          <w:color w:val="000000"/>
          <w:sz w:val="22"/>
          <w:szCs w:val="22"/>
        </w:rPr>
      </w:pPr>
      <w:r>
        <w:rPr>
          <w:rFonts w:ascii="Arial" w:eastAsia="Arial" w:hAnsi="Arial" w:cs="Arial"/>
          <w:sz w:val="23"/>
          <w:szCs w:val="23"/>
        </w:rPr>
        <w:t xml:space="preserve">The systematic literature review with thematic synthesis best fits a phenomenological orientation as the literature review aims to analyse the lived experiences of adults with Type 1 Diabetes and their perception and management of the condition on their daily life. The reason why phenomenology is appropriate is that it aims to examine subjective meaning, especially in regards to self-management, emotional burden, and adherence to treatment, as opposed to causal relationships (van Manen, 2016). Phenomenological focus on perception and lived reality is relevant in this study as the patient experiences of glucose monitoring, insulin use, and lifestyle adaptation are central themes. </w:t>
      </w:r>
      <w:r>
        <w:rPr>
          <w:rFonts w:ascii="Arial" w:eastAsia="Arial" w:hAnsi="Arial" w:cs="Arial"/>
          <w:color w:val="000000"/>
          <w:sz w:val="22"/>
          <w:szCs w:val="22"/>
        </w:rPr>
        <w:t xml:space="preserve">Unlike grounded theory, which aims to generate a new theory, or ethnography, which focuses on cultural immersion within a specific group, phenomenology prioritises experiential understanding across contexts, making it suitable for synthesising diverse UK-based studies. According to Neubauer, Witkop and </w:t>
      </w:r>
      <w:proofErr w:type="spellStart"/>
      <w:r>
        <w:rPr>
          <w:rFonts w:ascii="Arial" w:eastAsia="Arial" w:hAnsi="Arial" w:cs="Arial"/>
          <w:color w:val="000000"/>
          <w:sz w:val="22"/>
          <w:szCs w:val="22"/>
        </w:rPr>
        <w:t>Varpio</w:t>
      </w:r>
      <w:proofErr w:type="spellEnd"/>
      <w:r>
        <w:rPr>
          <w:rFonts w:ascii="Arial" w:eastAsia="Arial" w:hAnsi="Arial" w:cs="Arial"/>
          <w:color w:val="000000"/>
          <w:sz w:val="22"/>
          <w:szCs w:val="22"/>
        </w:rPr>
        <w:t xml:space="preserve"> (2019), phenomenological approaches are effective in healthcare research for capturing the depth of chronic illness experiences and interpreting meaning across multiple qualitative sources.</w:t>
      </w:r>
    </w:p>
    <w:p w14:paraId="784D46E4" w14:textId="77777777" w:rsidR="009F7A3D" w:rsidRDefault="00000000">
      <w:pPr>
        <w:pStyle w:val="Heading1"/>
        <w:spacing w:before="0" w:after="240"/>
      </w:pPr>
      <w:bookmarkStart w:id="23" w:name="_heading=h.nusvfph6wif7" w:colFirst="0" w:colLast="0"/>
      <w:bookmarkEnd w:id="23"/>
      <w:r>
        <w:t xml:space="preserve">6. Recruitment, Sampling &amp; Study Participants </w:t>
      </w:r>
    </w:p>
    <w:p w14:paraId="47A58E77" w14:textId="77777777" w:rsidR="009F7A3D" w:rsidRDefault="00000000">
      <w:pPr>
        <w:spacing w:before="0"/>
        <w:rPr>
          <w:rFonts w:ascii="Arial" w:eastAsia="Arial" w:hAnsi="Arial" w:cs="Arial"/>
          <w:color w:val="000000"/>
          <w:sz w:val="22"/>
          <w:szCs w:val="22"/>
        </w:rPr>
      </w:pPr>
      <w:r>
        <w:rPr>
          <w:rFonts w:ascii="Arial" w:eastAsia="Arial" w:hAnsi="Arial" w:cs="Arial"/>
          <w:color w:val="000000"/>
          <w:sz w:val="22"/>
          <w:szCs w:val="22"/>
        </w:rPr>
        <w:t>No direct recruitment of human subjects is done, as the present study is purely a systematic literature review. Rather, the sampling includes the identification of the pertinent scholarly works in electronic databases based on a structured search plan. All articles are identified, and research is sifted using a predetermined list of inclusion and exclusion criteria.</w:t>
      </w:r>
    </w:p>
    <w:p w14:paraId="35574BF7" w14:textId="77777777" w:rsidR="009F7A3D" w:rsidRDefault="00000000">
      <w:pPr>
        <w:spacing w:before="0"/>
        <w:rPr>
          <w:rFonts w:ascii="Arial" w:eastAsia="Arial" w:hAnsi="Arial" w:cs="Arial"/>
          <w:color w:val="000000"/>
          <w:sz w:val="22"/>
          <w:szCs w:val="22"/>
        </w:rPr>
      </w:pPr>
      <w:r>
        <w:rPr>
          <w:rFonts w:ascii="Arial" w:eastAsia="Arial" w:hAnsi="Arial" w:cs="Arial"/>
          <w:color w:val="000000"/>
          <w:sz w:val="22"/>
          <w:szCs w:val="22"/>
        </w:rPr>
        <w:t>To select high-quality articles that are used to select adults aged 18 years and above with Type 1 Diabetes, the purposive sampling method was employed in identifying relevant articles for inclusion. The selected studies represent a diversity of clinical, behavioural, and socioeconomic contexts, which ensure a full and balanced evidence base to analyse.</w:t>
      </w:r>
    </w:p>
    <w:p w14:paraId="710A094F" w14:textId="77777777" w:rsidR="009F7A3D" w:rsidRDefault="00000000">
      <w:pPr>
        <w:pStyle w:val="Heading1"/>
        <w:spacing w:before="0" w:after="240"/>
      </w:pPr>
      <w:bookmarkStart w:id="24" w:name="_heading=h.qc1n03btzsr5" w:colFirst="0" w:colLast="0"/>
      <w:bookmarkEnd w:id="24"/>
      <w:r>
        <w:lastRenderedPageBreak/>
        <w:t xml:space="preserve">7. Data Collection Method </w:t>
      </w:r>
    </w:p>
    <w:p w14:paraId="29141FF3" w14:textId="77777777" w:rsidR="009F7A3D" w:rsidRDefault="00000000">
      <w:pPr>
        <w:spacing w:before="0"/>
        <w:rPr>
          <w:rFonts w:ascii="Arial" w:eastAsia="Arial" w:hAnsi="Arial" w:cs="Arial"/>
          <w:color w:val="000000"/>
          <w:sz w:val="22"/>
          <w:szCs w:val="22"/>
        </w:rPr>
      </w:pPr>
      <w:r>
        <w:rPr>
          <w:rFonts w:ascii="Arial" w:eastAsia="Arial" w:hAnsi="Arial" w:cs="Arial"/>
          <w:color w:val="000000"/>
          <w:sz w:val="22"/>
          <w:szCs w:val="22"/>
        </w:rPr>
        <w:t>Data is collected through a systematic search of electronic databases (PubMed, Scopus, Google Scholar, and ScienceDirect), which help cover the literature on the topic comprehensively.    A systematic approach to keywords is created based on the keywords Type 1 Diabetes, disease management, health outcomes and UK with the help of Boolean operators (AND, OR, NOT). Initial records generated in a search process were reduced to a multi-stage screening process.</w:t>
      </w:r>
    </w:p>
    <w:p w14:paraId="041A77AF" w14:textId="77777777" w:rsidR="009F7A3D" w:rsidRDefault="00000000">
      <w:pPr>
        <w:spacing w:before="0"/>
        <w:rPr>
          <w:rFonts w:ascii="Arial" w:eastAsia="Arial" w:hAnsi="Arial" w:cs="Arial"/>
          <w:sz w:val="22"/>
          <w:szCs w:val="22"/>
        </w:rPr>
      </w:pPr>
      <w:r>
        <w:rPr>
          <w:rFonts w:ascii="Arial" w:eastAsia="Arial" w:hAnsi="Arial" w:cs="Arial"/>
          <w:color w:val="000000"/>
          <w:sz w:val="22"/>
          <w:szCs w:val="22"/>
        </w:rPr>
        <w:t>This screening is completed in three stages, namely title screening, abstract screening, and full-text screening, which result in the selection of approximately relevant studies. All data is extracted in a standardised table of data, and this contains valuable information such as the author, date of publication, research results and limitations of the study.</w:t>
      </w:r>
      <w:r>
        <w:rPr>
          <w:rFonts w:ascii="Arial" w:eastAsia="Arial" w:hAnsi="Arial" w:cs="Arial"/>
          <w:sz w:val="23"/>
          <w:szCs w:val="23"/>
        </w:rPr>
        <w:t xml:space="preserve"> </w:t>
      </w:r>
      <w:r>
        <w:rPr>
          <w:rFonts w:ascii="Arial" w:eastAsia="Arial" w:hAnsi="Arial" w:cs="Arial"/>
          <w:sz w:val="22"/>
          <w:szCs w:val="22"/>
        </w:rPr>
        <w:t>This is a systematic method that helps to guarantee the data collection and organisation process can be analysed as it is reliable and transparent further.</w:t>
      </w:r>
    </w:p>
    <w:p w14:paraId="066E3637" w14:textId="77777777" w:rsidR="009F7A3D" w:rsidRDefault="00000000">
      <w:pPr>
        <w:pStyle w:val="Heading1"/>
        <w:spacing w:before="0"/>
      </w:pPr>
      <w:bookmarkStart w:id="25" w:name="_heading=h.8qbbfkm8f7wo" w:colFirst="0" w:colLast="0"/>
      <w:bookmarkEnd w:id="25"/>
      <w:r>
        <w:t>8. Data Analysis Technique</w:t>
      </w:r>
    </w:p>
    <w:p w14:paraId="4D2293F4" w14:textId="77777777" w:rsidR="009F7A3D" w:rsidRDefault="00000000">
      <w:pPr>
        <w:spacing w:before="0"/>
        <w:rPr>
          <w:rFonts w:ascii="Arial" w:eastAsia="Arial" w:hAnsi="Arial" w:cs="Arial"/>
          <w:color w:val="000000"/>
          <w:sz w:val="22"/>
          <w:szCs w:val="22"/>
        </w:rPr>
      </w:pPr>
      <w:r>
        <w:rPr>
          <w:rFonts w:ascii="Arial" w:eastAsia="Arial" w:hAnsi="Arial" w:cs="Arial"/>
          <w:sz w:val="22"/>
          <w:szCs w:val="22"/>
        </w:rPr>
        <w:t xml:space="preserve">Thematic analysis is used to analyse the data, as opposed to the systematic review itself, which uses </w:t>
      </w:r>
      <w:proofErr w:type="spellStart"/>
      <w:r>
        <w:rPr>
          <w:rFonts w:ascii="Arial" w:eastAsia="Arial" w:hAnsi="Arial" w:cs="Arial"/>
          <w:sz w:val="22"/>
          <w:szCs w:val="22"/>
        </w:rPr>
        <w:t>thegeneral</w:t>
      </w:r>
      <w:proofErr w:type="spellEnd"/>
      <w:r>
        <w:rPr>
          <w:rFonts w:ascii="Arial" w:eastAsia="Arial" w:hAnsi="Arial" w:cs="Arial"/>
          <w:sz w:val="22"/>
          <w:szCs w:val="22"/>
        </w:rPr>
        <w:t xml:space="preserve"> methodology. The articles located are </w:t>
      </w:r>
      <w:proofErr w:type="spellStart"/>
      <w:r>
        <w:rPr>
          <w:rFonts w:ascii="Arial" w:eastAsia="Arial" w:hAnsi="Arial" w:cs="Arial"/>
          <w:sz w:val="22"/>
          <w:szCs w:val="22"/>
        </w:rPr>
        <w:t>analyzed</w:t>
      </w:r>
      <w:proofErr w:type="spellEnd"/>
      <w:r>
        <w:rPr>
          <w:rFonts w:ascii="Arial" w:eastAsia="Arial" w:hAnsi="Arial" w:cs="Arial"/>
          <w:sz w:val="22"/>
          <w:szCs w:val="22"/>
        </w:rPr>
        <w:t xml:space="preserve"> to discover the typical patterns, associations, and insights connected with the disease management among adults with Type 1 Diabetes. An inductive coding method is used, whereby themes naturally come out of the data instead of being predetermined</w:t>
      </w:r>
      <w:r>
        <w:rPr>
          <w:rFonts w:ascii="Arial" w:eastAsia="Arial" w:hAnsi="Arial" w:cs="Arial"/>
          <w:color w:val="000000"/>
          <w:sz w:val="22"/>
          <w:szCs w:val="22"/>
        </w:rPr>
        <w:t>.</w:t>
      </w:r>
    </w:p>
    <w:p w14:paraId="4292C56B" w14:textId="77777777" w:rsidR="009F7A3D" w:rsidRDefault="00000000">
      <w:pPr>
        <w:spacing w:before="0"/>
        <w:rPr>
          <w:rFonts w:ascii="Arial" w:eastAsia="Arial" w:hAnsi="Arial" w:cs="Arial"/>
          <w:color w:val="000000"/>
          <w:sz w:val="22"/>
          <w:szCs w:val="22"/>
        </w:rPr>
      </w:pPr>
      <w:r>
        <w:rPr>
          <w:rFonts w:ascii="Arial" w:eastAsia="Arial" w:hAnsi="Arial" w:cs="Arial"/>
          <w:color w:val="000000"/>
          <w:sz w:val="22"/>
          <w:szCs w:val="22"/>
        </w:rPr>
        <w:t>The analysis of the findings is based on the major themes that include barriers to effective management, effectiveness of treatment, health disparities, and quality of life outcomes. The results of the studies are systematically coded and categorised, which enables the comparison of the results of the different sources and the identification of similar patterns. Interpretation of meaning is rooted in the interpretation of the combination of clinical, behavioural and socioeconomic factors to influence health outcomes. The approach is to ensure that evidence synthesis is systematic and comprehensive, which is useful in gaining more insights into the real-world disease management challenges.</w:t>
      </w:r>
    </w:p>
    <w:p w14:paraId="13AC622E" w14:textId="77777777" w:rsidR="009F7A3D" w:rsidRDefault="00000000">
      <w:pPr>
        <w:rPr>
          <w:rFonts w:ascii="Arial" w:eastAsia="Arial" w:hAnsi="Arial" w:cs="Arial"/>
          <w:color w:val="FF0000"/>
          <w:sz w:val="22"/>
          <w:szCs w:val="22"/>
        </w:rPr>
      </w:pPr>
      <w:r>
        <w:rPr>
          <w:rFonts w:ascii="Arial" w:eastAsia="Arial" w:hAnsi="Arial" w:cs="Arial"/>
          <w:sz w:val="22"/>
          <w:szCs w:val="22"/>
        </w:rPr>
        <w:t xml:space="preserve">Braun and Clarke’s thematic analysis is a widely used qualitative method for identifying, analysing, and reporting patterns within data. In this study, it is applied to systematically examine literature on Type 1 Diabetes management in the UK by coding recurring ideas related to self-management, health inequalities, psychological burden, and treatment effectiveness. The </w:t>
      </w:r>
      <w:r>
        <w:rPr>
          <w:rFonts w:ascii="Arial" w:eastAsia="Arial" w:hAnsi="Arial" w:cs="Arial"/>
          <w:sz w:val="22"/>
          <w:szCs w:val="22"/>
        </w:rPr>
        <w:lastRenderedPageBreak/>
        <w:t xml:space="preserve">approach follows a structured six-phase process, which includes familiarisation with data, generating initial codes, searching for themes, reviewing themes, defining themes, and producing the final report (Bennett </w:t>
      </w:r>
      <w:r>
        <w:rPr>
          <w:rFonts w:ascii="Arial" w:eastAsia="Arial" w:hAnsi="Arial" w:cs="Arial"/>
          <w:i/>
          <w:iCs/>
          <w:sz w:val="22"/>
          <w:szCs w:val="22"/>
        </w:rPr>
        <w:t>et al</w:t>
      </w:r>
      <w:r>
        <w:rPr>
          <w:rFonts w:ascii="Arial" w:eastAsia="Arial" w:hAnsi="Arial" w:cs="Arial"/>
          <w:sz w:val="22"/>
          <w:szCs w:val="22"/>
        </w:rPr>
        <w:t xml:space="preserve">., 2022). </w:t>
      </w:r>
      <w:r>
        <w:rPr>
          <w:rFonts w:ascii="Arial" w:eastAsia="Arial" w:hAnsi="Arial" w:cs="Arial"/>
          <w:sz w:val="23"/>
          <w:szCs w:val="23"/>
        </w:rPr>
        <w:t>The approach is flexible and yet rigorous and transparent in synthesizing qualitative results of multiple studies.</w:t>
      </w:r>
    </w:p>
    <w:p w14:paraId="573F3D0D" w14:textId="77777777" w:rsidR="009F7A3D" w:rsidRDefault="00000000">
      <w:pPr>
        <w:pStyle w:val="Heading1"/>
        <w:spacing w:before="0" w:after="240"/>
      </w:pPr>
      <w:bookmarkStart w:id="26" w:name="_heading=h.bsfw4lqa0xz6" w:colFirst="0" w:colLast="0"/>
      <w:bookmarkEnd w:id="26"/>
      <w:r>
        <w:t>9. Ethical Considerations</w:t>
      </w:r>
    </w:p>
    <w:p w14:paraId="3015FA5C" w14:textId="77777777" w:rsidR="009F7A3D" w:rsidRDefault="00000000">
      <w:pPr>
        <w:rPr>
          <w:rFonts w:ascii="Arial" w:eastAsia="Arial" w:hAnsi="Arial" w:cs="Arial"/>
          <w:sz w:val="22"/>
          <w:szCs w:val="22"/>
        </w:rPr>
      </w:pPr>
      <w:r>
        <w:rPr>
          <w:rFonts w:ascii="Arial" w:eastAsia="Arial" w:hAnsi="Arial" w:cs="Arial"/>
          <w:sz w:val="22"/>
          <w:szCs w:val="22"/>
        </w:rPr>
        <w:t xml:space="preserve">There are no human subjects in this study because the study is a systematic review of secondary data obtained from publicly available academic sources. No collection of personal or sensitive data takes place, and therefore, the research is classified as low risk in line with institutional ethical standards. Peer-reviewed publications are used to obtain all information, and ethical considerations are maintained through proper citation and referencing to avoid plagiarism. The research adheres to applicable data protection regulations, including the General Data Protection Regulation (GDPR). </w:t>
      </w:r>
    </w:p>
    <w:p w14:paraId="56325EB5" w14:textId="77777777" w:rsidR="009F7A3D" w:rsidRDefault="00000000">
      <w:pPr>
        <w:pStyle w:val="Heading1"/>
        <w:spacing w:before="0" w:after="240"/>
      </w:pPr>
      <w:bookmarkStart w:id="27" w:name="_heading=h.fui5s88bsfzd" w:colFirst="0" w:colLast="0"/>
      <w:bookmarkEnd w:id="27"/>
      <w:r>
        <w:t xml:space="preserve">10. Implications of Research </w:t>
      </w:r>
    </w:p>
    <w:p w14:paraId="656823F0" w14:textId="77777777" w:rsidR="009F7A3D" w:rsidRDefault="00000000">
      <w:pPr>
        <w:rPr>
          <w:rFonts w:ascii="Arial" w:eastAsia="Arial" w:hAnsi="Arial" w:cs="Arial"/>
          <w:sz w:val="22"/>
          <w:szCs w:val="22"/>
        </w:rPr>
      </w:pPr>
      <w:r>
        <w:rPr>
          <w:rFonts w:ascii="Arial" w:eastAsia="Arial" w:hAnsi="Arial" w:cs="Arial"/>
          <w:sz w:val="22"/>
          <w:szCs w:val="22"/>
        </w:rPr>
        <w:t>This research has important policy, practice impacts and research implications, and NHS implications. Regarding policy issues, the study raises the necessity of better equal access to technologies like Continuous Glucose Monitoring (CGM) that lowers the HbA1c levels by about 0.5-1.0% and decreases the risk of complications. In practice, the results would be used in multidisciplinary care models that involve clinicians, dietitians and mental health professionals, which enhance patient outcomes and self-management.</w:t>
      </w:r>
    </w:p>
    <w:p w14:paraId="67379463" w14:textId="77777777" w:rsidR="009F7A3D" w:rsidRDefault="00000000">
      <w:pPr>
        <w:spacing w:before="0"/>
        <w:jc w:val="center"/>
        <w:rPr>
          <w:rFonts w:ascii="Arial" w:eastAsia="Arial" w:hAnsi="Arial" w:cs="Arial"/>
          <w:color w:val="000000"/>
          <w:sz w:val="22"/>
          <w:szCs w:val="22"/>
        </w:rPr>
      </w:pPr>
      <w:r>
        <w:rPr>
          <w:rFonts w:ascii="Arial" w:eastAsia="Arial" w:hAnsi="Arial" w:cs="Arial"/>
          <w:noProof/>
          <w:color w:val="000000"/>
          <w:sz w:val="22"/>
          <w:szCs w:val="22"/>
        </w:rPr>
        <w:drawing>
          <wp:inline distT="114300" distB="114300" distL="114300" distR="114300" wp14:anchorId="0356174D" wp14:editId="48A0DAA3">
            <wp:extent cx="3857891" cy="2281349"/>
            <wp:effectExtent l="76200" t="76200" r="123825" b="13843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3857891" cy="228134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A4490E0" w14:textId="77777777" w:rsidR="009F7A3D" w:rsidRPr="00393B58" w:rsidRDefault="00000000" w:rsidP="00393B58">
      <w:pPr>
        <w:jc w:val="center"/>
        <w:rPr>
          <w:rFonts w:ascii="Arial" w:eastAsia="Arial" w:hAnsi="Arial" w:cs="Arial"/>
          <w:b/>
          <w:bCs/>
          <w:i/>
          <w:iCs/>
          <w:sz w:val="22"/>
          <w:szCs w:val="22"/>
        </w:rPr>
      </w:pPr>
      <w:bookmarkStart w:id="28" w:name="_heading=h.alwijzfhbu35" w:colFirst="0" w:colLast="0"/>
      <w:bookmarkEnd w:id="28"/>
      <w:r w:rsidRPr="00393B58">
        <w:rPr>
          <w:rFonts w:ascii="Arial" w:eastAsia="Arial" w:hAnsi="Arial" w:cs="Arial"/>
          <w:b/>
          <w:bCs/>
          <w:i/>
          <w:iCs/>
          <w:sz w:val="22"/>
          <w:szCs w:val="22"/>
        </w:rPr>
        <w:lastRenderedPageBreak/>
        <w:t>Figure 7: Distribution of Spending on Diabetes-Related Complications</w:t>
      </w:r>
    </w:p>
    <w:p w14:paraId="1376C555" w14:textId="77777777" w:rsidR="009F7A3D" w:rsidRDefault="00000000" w:rsidP="00393B58">
      <w:pPr>
        <w:jc w:val="center"/>
        <w:rPr>
          <w:rFonts w:eastAsia="Arial"/>
        </w:rPr>
      </w:pPr>
      <w:r w:rsidRPr="00393B58">
        <w:rPr>
          <w:rFonts w:ascii="Arial" w:eastAsia="Arial" w:hAnsi="Arial" w:cs="Arial"/>
          <w:b/>
          <w:bCs/>
          <w:sz w:val="22"/>
          <w:szCs w:val="22"/>
        </w:rPr>
        <w:t>(Source:</w:t>
      </w:r>
      <w:r>
        <w:rPr>
          <w:rFonts w:eastAsia="Arial"/>
        </w:rPr>
        <w:t xml:space="preserve"> Malhan </w:t>
      </w:r>
      <w:r>
        <w:rPr>
          <w:rFonts w:eastAsia="Arial"/>
          <w:i/>
          <w:iCs/>
        </w:rPr>
        <w:t>et al</w:t>
      </w:r>
      <w:r>
        <w:rPr>
          <w:rFonts w:eastAsia="Arial"/>
        </w:rPr>
        <w:t>., 2014)</w:t>
      </w:r>
    </w:p>
    <w:p w14:paraId="4E7D0D31" w14:textId="77777777" w:rsidR="009F7A3D" w:rsidRDefault="00000000">
      <w:pPr>
        <w:spacing w:before="0"/>
        <w:rPr>
          <w:rFonts w:ascii="Arial" w:eastAsia="Arial" w:hAnsi="Arial" w:cs="Arial"/>
          <w:sz w:val="22"/>
          <w:szCs w:val="22"/>
        </w:rPr>
      </w:pPr>
      <w:r>
        <w:rPr>
          <w:rFonts w:ascii="Arial" w:eastAsia="Arial" w:hAnsi="Arial" w:cs="Arial"/>
          <w:sz w:val="22"/>
          <w:szCs w:val="22"/>
        </w:rPr>
        <w:t>In terms of research, the study lays emphasis on integrated models that integrate clinical, behavioural and socioeconomic factors to enhance the comprehension of disease management. In the case of the NHS, there is better management initiatives which minimize unnecessary complications and hospitalization and this is in response to the around 10 percent of the NHS expenditures on diabetes care. All these implications enhance health outcomes and save long-term costs in the UK healthcare and facilitate the national diabetes management strategies and resources allocation planning in healthcare systems in England.</w:t>
      </w:r>
    </w:p>
    <w:p w14:paraId="2E6FFD4C" w14:textId="77777777" w:rsidR="009F7A3D" w:rsidRDefault="00000000">
      <w:pPr>
        <w:pStyle w:val="Heading1"/>
        <w:spacing w:before="0" w:after="240"/>
      </w:pPr>
      <w:bookmarkStart w:id="29" w:name="_heading=h.ptelr599pul0" w:colFirst="0" w:colLast="0"/>
      <w:bookmarkEnd w:id="29"/>
      <w:r>
        <w:t>11. Plan of Work and Time Schedule</w:t>
      </w:r>
    </w:p>
    <w:p w14:paraId="1955270D" w14:textId="77777777" w:rsidR="009F7A3D" w:rsidRDefault="00000000">
      <w:pPr>
        <w:spacing w:before="0"/>
        <w:rPr>
          <w:rFonts w:ascii="Arial" w:eastAsia="Arial" w:hAnsi="Arial" w:cs="Arial"/>
          <w:color w:val="000000"/>
          <w:sz w:val="22"/>
          <w:szCs w:val="22"/>
        </w:rPr>
      </w:pPr>
      <w:r>
        <w:rPr>
          <w:rFonts w:ascii="Arial" w:eastAsia="Arial" w:hAnsi="Arial" w:cs="Arial"/>
          <w:sz w:val="22"/>
          <w:szCs w:val="22"/>
        </w:rPr>
        <w:t>The 16-week plan provides a systematic development of literature identification to final reporting. The first weeks are dedicated to sourcing and screening, and the middle phase is dedicated to data extraction and thematic analysis.</w:t>
      </w:r>
    </w:p>
    <w:p w14:paraId="72C7DA69" w14:textId="77777777" w:rsidR="009F7A3D" w:rsidRDefault="00000000">
      <w:pPr>
        <w:spacing w:before="0"/>
        <w:jc w:val="center"/>
        <w:rPr>
          <w:rFonts w:ascii="Arial" w:eastAsia="Arial" w:hAnsi="Arial" w:cs="Arial"/>
          <w:b/>
          <w:bCs/>
          <w:i/>
          <w:iCs/>
          <w:color w:val="000000"/>
          <w:sz w:val="22"/>
          <w:szCs w:val="22"/>
        </w:rPr>
      </w:pPr>
      <w:r>
        <w:rPr>
          <w:rFonts w:ascii="Arial" w:eastAsia="Arial" w:hAnsi="Arial" w:cs="Arial"/>
          <w:b/>
          <w:bCs/>
          <w:i/>
          <w:iCs/>
          <w:color w:val="000000"/>
          <w:sz w:val="22"/>
          <w:szCs w:val="22"/>
        </w:rPr>
        <w:t>Table 1: Gantt Chart</w:t>
      </w:r>
    </w:p>
    <w:tbl>
      <w:tblPr>
        <w:tblStyle w:val="a"/>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4"/>
        <w:gridCol w:w="783"/>
        <w:gridCol w:w="783"/>
        <w:gridCol w:w="783"/>
        <w:gridCol w:w="783"/>
        <w:gridCol w:w="897"/>
        <w:gridCol w:w="1019"/>
        <w:gridCol w:w="1019"/>
        <w:gridCol w:w="1019"/>
      </w:tblGrid>
      <w:tr w:rsidR="009F7A3D" w14:paraId="008BD83C" w14:textId="77777777">
        <w:tc>
          <w:tcPr>
            <w:tcW w:w="2264" w:type="dxa"/>
          </w:tcPr>
          <w:p w14:paraId="7812F34A" w14:textId="77777777" w:rsidR="009F7A3D" w:rsidRDefault="00000000">
            <w:pPr>
              <w:spacing w:after="240" w:line="360" w:lineRule="auto"/>
              <w:jc w:val="left"/>
              <w:rPr>
                <w:rFonts w:ascii="Arial" w:eastAsia="Arial" w:hAnsi="Arial" w:cs="Arial"/>
                <w:b/>
                <w:bCs/>
                <w:color w:val="000000"/>
                <w:sz w:val="22"/>
                <w:szCs w:val="22"/>
              </w:rPr>
            </w:pPr>
            <w:r>
              <w:rPr>
                <w:rFonts w:ascii="Arial" w:eastAsia="Arial" w:hAnsi="Arial" w:cs="Arial"/>
                <w:b/>
                <w:bCs/>
                <w:color w:val="000000"/>
                <w:sz w:val="22"/>
                <w:szCs w:val="22"/>
              </w:rPr>
              <w:t>Activity</w:t>
            </w:r>
          </w:p>
        </w:tc>
        <w:tc>
          <w:tcPr>
            <w:tcW w:w="783" w:type="dxa"/>
          </w:tcPr>
          <w:p w14:paraId="0A0C558C" w14:textId="77777777" w:rsidR="009F7A3D" w:rsidRDefault="00000000">
            <w:pPr>
              <w:spacing w:after="240" w:line="360" w:lineRule="auto"/>
              <w:jc w:val="left"/>
              <w:rPr>
                <w:rFonts w:ascii="Arial" w:eastAsia="Arial" w:hAnsi="Arial" w:cs="Arial"/>
                <w:b/>
                <w:bCs/>
                <w:color w:val="000000"/>
                <w:sz w:val="22"/>
                <w:szCs w:val="22"/>
              </w:rPr>
            </w:pPr>
            <w:r>
              <w:rPr>
                <w:rFonts w:ascii="Arial" w:eastAsia="Arial" w:hAnsi="Arial" w:cs="Arial"/>
                <w:b/>
                <w:bCs/>
                <w:color w:val="000000"/>
                <w:sz w:val="22"/>
                <w:szCs w:val="22"/>
              </w:rPr>
              <w:t>W1–2</w:t>
            </w:r>
          </w:p>
        </w:tc>
        <w:tc>
          <w:tcPr>
            <w:tcW w:w="783" w:type="dxa"/>
          </w:tcPr>
          <w:p w14:paraId="163A927C" w14:textId="77777777" w:rsidR="009F7A3D" w:rsidRDefault="00000000">
            <w:pPr>
              <w:spacing w:after="240" w:line="360" w:lineRule="auto"/>
              <w:jc w:val="left"/>
              <w:rPr>
                <w:rFonts w:ascii="Arial" w:eastAsia="Arial" w:hAnsi="Arial" w:cs="Arial"/>
                <w:b/>
                <w:bCs/>
                <w:color w:val="000000"/>
                <w:sz w:val="22"/>
                <w:szCs w:val="22"/>
              </w:rPr>
            </w:pPr>
            <w:r>
              <w:rPr>
                <w:rFonts w:ascii="Arial" w:eastAsia="Arial" w:hAnsi="Arial" w:cs="Arial"/>
                <w:b/>
                <w:bCs/>
                <w:color w:val="000000"/>
                <w:sz w:val="22"/>
                <w:szCs w:val="22"/>
              </w:rPr>
              <w:t>W3–4</w:t>
            </w:r>
          </w:p>
        </w:tc>
        <w:tc>
          <w:tcPr>
            <w:tcW w:w="783" w:type="dxa"/>
          </w:tcPr>
          <w:p w14:paraId="6012627B" w14:textId="77777777" w:rsidR="009F7A3D" w:rsidRDefault="00000000">
            <w:pPr>
              <w:spacing w:after="240" w:line="360" w:lineRule="auto"/>
              <w:jc w:val="left"/>
              <w:rPr>
                <w:rFonts w:ascii="Arial" w:eastAsia="Arial" w:hAnsi="Arial" w:cs="Arial"/>
                <w:b/>
                <w:bCs/>
                <w:color w:val="000000"/>
                <w:sz w:val="22"/>
                <w:szCs w:val="22"/>
              </w:rPr>
            </w:pPr>
            <w:r>
              <w:rPr>
                <w:rFonts w:ascii="Arial" w:eastAsia="Arial" w:hAnsi="Arial" w:cs="Arial"/>
                <w:b/>
                <w:bCs/>
                <w:color w:val="000000"/>
                <w:sz w:val="22"/>
                <w:szCs w:val="22"/>
              </w:rPr>
              <w:t>W5–6</w:t>
            </w:r>
          </w:p>
        </w:tc>
        <w:tc>
          <w:tcPr>
            <w:tcW w:w="783" w:type="dxa"/>
          </w:tcPr>
          <w:p w14:paraId="3C58F4CE" w14:textId="77777777" w:rsidR="009F7A3D" w:rsidRDefault="00000000">
            <w:pPr>
              <w:spacing w:after="240" w:line="360" w:lineRule="auto"/>
              <w:jc w:val="left"/>
              <w:rPr>
                <w:rFonts w:ascii="Arial" w:eastAsia="Arial" w:hAnsi="Arial" w:cs="Arial"/>
                <w:b/>
                <w:bCs/>
                <w:color w:val="000000"/>
                <w:sz w:val="22"/>
                <w:szCs w:val="22"/>
              </w:rPr>
            </w:pPr>
            <w:r>
              <w:rPr>
                <w:rFonts w:ascii="Arial" w:eastAsia="Arial" w:hAnsi="Arial" w:cs="Arial"/>
                <w:b/>
                <w:bCs/>
                <w:color w:val="000000"/>
                <w:sz w:val="22"/>
                <w:szCs w:val="22"/>
              </w:rPr>
              <w:t>W7–8</w:t>
            </w:r>
          </w:p>
        </w:tc>
        <w:tc>
          <w:tcPr>
            <w:tcW w:w="897" w:type="dxa"/>
          </w:tcPr>
          <w:p w14:paraId="3BB460CC" w14:textId="77777777" w:rsidR="009F7A3D" w:rsidRDefault="00000000">
            <w:pPr>
              <w:spacing w:after="240" w:line="360" w:lineRule="auto"/>
              <w:jc w:val="left"/>
              <w:rPr>
                <w:rFonts w:ascii="Arial" w:eastAsia="Arial" w:hAnsi="Arial" w:cs="Arial"/>
                <w:b/>
                <w:bCs/>
                <w:color w:val="000000"/>
                <w:sz w:val="22"/>
                <w:szCs w:val="22"/>
              </w:rPr>
            </w:pPr>
            <w:r>
              <w:rPr>
                <w:rFonts w:ascii="Arial" w:eastAsia="Arial" w:hAnsi="Arial" w:cs="Arial"/>
                <w:b/>
                <w:bCs/>
                <w:color w:val="000000"/>
                <w:sz w:val="22"/>
                <w:szCs w:val="22"/>
              </w:rPr>
              <w:t>W9–10</w:t>
            </w:r>
          </w:p>
        </w:tc>
        <w:tc>
          <w:tcPr>
            <w:tcW w:w="1019" w:type="dxa"/>
          </w:tcPr>
          <w:p w14:paraId="11F24369" w14:textId="77777777" w:rsidR="009F7A3D" w:rsidRDefault="00000000">
            <w:pPr>
              <w:spacing w:after="240" w:line="360" w:lineRule="auto"/>
              <w:jc w:val="left"/>
              <w:rPr>
                <w:rFonts w:ascii="Arial" w:eastAsia="Arial" w:hAnsi="Arial" w:cs="Arial"/>
                <w:b/>
                <w:bCs/>
                <w:color w:val="000000"/>
                <w:sz w:val="22"/>
                <w:szCs w:val="22"/>
              </w:rPr>
            </w:pPr>
            <w:r>
              <w:rPr>
                <w:rFonts w:ascii="Arial" w:eastAsia="Arial" w:hAnsi="Arial" w:cs="Arial"/>
                <w:b/>
                <w:bCs/>
                <w:color w:val="000000"/>
                <w:sz w:val="22"/>
                <w:szCs w:val="22"/>
              </w:rPr>
              <w:t>W11–12</w:t>
            </w:r>
          </w:p>
        </w:tc>
        <w:tc>
          <w:tcPr>
            <w:tcW w:w="1019" w:type="dxa"/>
          </w:tcPr>
          <w:p w14:paraId="1610C9B2" w14:textId="77777777" w:rsidR="009F7A3D" w:rsidRDefault="00000000">
            <w:pPr>
              <w:spacing w:after="240" w:line="360" w:lineRule="auto"/>
              <w:jc w:val="left"/>
              <w:rPr>
                <w:rFonts w:ascii="Arial" w:eastAsia="Arial" w:hAnsi="Arial" w:cs="Arial"/>
                <w:b/>
                <w:bCs/>
                <w:color w:val="000000"/>
                <w:sz w:val="22"/>
                <w:szCs w:val="22"/>
              </w:rPr>
            </w:pPr>
            <w:r>
              <w:rPr>
                <w:rFonts w:ascii="Arial" w:eastAsia="Arial" w:hAnsi="Arial" w:cs="Arial"/>
                <w:b/>
                <w:bCs/>
                <w:color w:val="000000"/>
                <w:sz w:val="22"/>
                <w:szCs w:val="22"/>
              </w:rPr>
              <w:t>W13–14</w:t>
            </w:r>
          </w:p>
        </w:tc>
        <w:tc>
          <w:tcPr>
            <w:tcW w:w="1019" w:type="dxa"/>
          </w:tcPr>
          <w:p w14:paraId="1D166E22" w14:textId="77777777" w:rsidR="009F7A3D" w:rsidRDefault="00000000">
            <w:pPr>
              <w:spacing w:after="240" w:line="360" w:lineRule="auto"/>
              <w:jc w:val="left"/>
              <w:rPr>
                <w:rFonts w:ascii="Arial" w:eastAsia="Arial" w:hAnsi="Arial" w:cs="Arial"/>
                <w:b/>
                <w:bCs/>
                <w:color w:val="000000"/>
                <w:sz w:val="22"/>
                <w:szCs w:val="22"/>
              </w:rPr>
            </w:pPr>
            <w:r>
              <w:rPr>
                <w:rFonts w:ascii="Arial" w:eastAsia="Arial" w:hAnsi="Arial" w:cs="Arial"/>
                <w:b/>
                <w:bCs/>
                <w:color w:val="000000"/>
                <w:sz w:val="22"/>
                <w:szCs w:val="22"/>
              </w:rPr>
              <w:t>W15–16</w:t>
            </w:r>
          </w:p>
        </w:tc>
      </w:tr>
      <w:tr w:rsidR="009F7A3D" w14:paraId="24504B8E" w14:textId="77777777">
        <w:tc>
          <w:tcPr>
            <w:tcW w:w="2264" w:type="dxa"/>
          </w:tcPr>
          <w:p w14:paraId="0FF32D06" w14:textId="77777777" w:rsidR="009F7A3D" w:rsidRDefault="00000000">
            <w:pPr>
              <w:spacing w:after="240" w:line="360" w:lineRule="auto"/>
              <w:jc w:val="left"/>
              <w:rPr>
                <w:rFonts w:ascii="Arial" w:eastAsia="Arial" w:hAnsi="Arial" w:cs="Arial"/>
                <w:color w:val="000000"/>
                <w:sz w:val="22"/>
                <w:szCs w:val="22"/>
              </w:rPr>
            </w:pPr>
            <w:r>
              <w:rPr>
                <w:rFonts w:ascii="Arial" w:eastAsia="Arial" w:hAnsi="Arial" w:cs="Arial"/>
                <w:color w:val="000000"/>
                <w:sz w:val="22"/>
                <w:szCs w:val="22"/>
              </w:rPr>
              <w:t>Literature search</w:t>
            </w:r>
          </w:p>
        </w:tc>
        <w:tc>
          <w:tcPr>
            <w:tcW w:w="783" w:type="dxa"/>
            <w:shd w:val="clear" w:color="auto" w:fill="7030A0"/>
          </w:tcPr>
          <w:p w14:paraId="7F12EDA2" w14:textId="77777777" w:rsidR="009F7A3D" w:rsidRDefault="009F7A3D">
            <w:pPr>
              <w:spacing w:after="240" w:line="360" w:lineRule="auto"/>
              <w:jc w:val="left"/>
              <w:rPr>
                <w:rFonts w:ascii="Arial" w:eastAsia="Arial" w:hAnsi="Arial" w:cs="Arial"/>
                <w:color w:val="000000"/>
                <w:sz w:val="22"/>
                <w:szCs w:val="22"/>
              </w:rPr>
            </w:pPr>
          </w:p>
        </w:tc>
        <w:tc>
          <w:tcPr>
            <w:tcW w:w="783" w:type="dxa"/>
          </w:tcPr>
          <w:p w14:paraId="14335CDF" w14:textId="77777777" w:rsidR="009F7A3D" w:rsidRDefault="009F7A3D">
            <w:pPr>
              <w:spacing w:after="240" w:line="360" w:lineRule="auto"/>
              <w:jc w:val="left"/>
              <w:rPr>
                <w:rFonts w:ascii="Arial" w:eastAsia="Arial" w:hAnsi="Arial" w:cs="Arial"/>
                <w:color w:val="000000"/>
                <w:sz w:val="22"/>
                <w:szCs w:val="22"/>
              </w:rPr>
            </w:pPr>
          </w:p>
        </w:tc>
        <w:tc>
          <w:tcPr>
            <w:tcW w:w="783" w:type="dxa"/>
          </w:tcPr>
          <w:p w14:paraId="117EA05F" w14:textId="77777777" w:rsidR="009F7A3D" w:rsidRDefault="009F7A3D">
            <w:pPr>
              <w:spacing w:after="240" w:line="360" w:lineRule="auto"/>
              <w:jc w:val="left"/>
              <w:rPr>
                <w:rFonts w:ascii="Arial" w:eastAsia="Arial" w:hAnsi="Arial" w:cs="Arial"/>
                <w:color w:val="000000"/>
                <w:sz w:val="22"/>
                <w:szCs w:val="22"/>
              </w:rPr>
            </w:pPr>
          </w:p>
        </w:tc>
        <w:tc>
          <w:tcPr>
            <w:tcW w:w="783" w:type="dxa"/>
          </w:tcPr>
          <w:p w14:paraId="41DB0952" w14:textId="77777777" w:rsidR="009F7A3D" w:rsidRDefault="009F7A3D">
            <w:pPr>
              <w:spacing w:after="240" w:line="360" w:lineRule="auto"/>
              <w:jc w:val="left"/>
              <w:rPr>
                <w:rFonts w:ascii="Arial" w:eastAsia="Arial" w:hAnsi="Arial" w:cs="Arial"/>
                <w:color w:val="000000"/>
                <w:sz w:val="22"/>
                <w:szCs w:val="22"/>
              </w:rPr>
            </w:pPr>
          </w:p>
        </w:tc>
        <w:tc>
          <w:tcPr>
            <w:tcW w:w="897" w:type="dxa"/>
          </w:tcPr>
          <w:p w14:paraId="0B015A18" w14:textId="77777777" w:rsidR="009F7A3D" w:rsidRDefault="009F7A3D">
            <w:pPr>
              <w:spacing w:after="240" w:line="360" w:lineRule="auto"/>
              <w:jc w:val="left"/>
              <w:rPr>
                <w:rFonts w:ascii="Arial" w:eastAsia="Arial" w:hAnsi="Arial" w:cs="Arial"/>
                <w:color w:val="000000"/>
                <w:sz w:val="22"/>
                <w:szCs w:val="22"/>
              </w:rPr>
            </w:pPr>
          </w:p>
        </w:tc>
        <w:tc>
          <w:tcPr>
            <w:tcW w:w="1019" w:type="dxa"/>
          </w:tcPr>
          <w:p w14:paraId="4DEA1340" w14:textId="77777777" w:rsidR="009F7A3D" w:rsidRDefault="009F7A3D">
            <w:pPr>
              <w:spacing w:after="240" w:line="360" w:lineRule="auto"/>
              <w:jc w:val="left"/>
              <w:rPr>
                <w:rFonts w:ascii="Arial" w:eastAsia="Arial" w:hAnsi="Arial" w:cs="Arial"/>
                <w:color w:val="000000"/>
                <w:sz w:val="22"/>
                <w:szCs w:val="22"/>
              </w:rPr>
            </w:pPr>
          </w:p>
        </w:tc>
        <w:tc>
          <w:tcPr>
            <w:tcW w:w="1019" w:type="dxa"/>
          </w:tcPr>
          <w:p w14:paraId="27F1517F" w14:textId="77777777" w:rsidR="009F7A3D" w:rsidRDefault="009F7A3D">
            <w:pPr>
              <w:spacing w:after="240" w:line="360" w:lineRule="auto"/>
              <w:jc w:val="left"/>
              <w:rPr>
                <w:rFonts w:ascii="Arial" w:eastAsia="Arial" w:hAnsi="Arial" w:cs="Arial"/>
                <w:color w:val="000000"/>
                <w:sz w:val="22"/>
                <w:szCs w:val="22"/>
              </w:rPr>
            </w:pPr>
          </w:p>
        </w:tc>
        <w:tc>
          <w:tcPr>
            <w:tcW w:w="1019" w:type="dxa"/>
          </w:tcPr>
          <w:p w14:paraId="6FD04768" w14:textId="77777777" w:rsidR="009F7A3D" w:rsidRDefault="009F7A3D">
            <w:pPr>
              <w:spacing w:after="240" w:line="360" w:lineRule="auto"/>
              <w:jc w:val="left"/>
              <w:rPr>
                <w:rFonts w:ascii="Arial" w:eastAsia="Arial" w:hAnsi="Arial" w:cs="Arial"/>
                <w:color w:val="000000"/>
                <w:sz w:val="22"/>
                <w:szCs w:val="22"/>
              </w:rPr>
            </w:pPr>
          </w:p>
        </w:tc>
      </w:tr>
      <w:tr w:rsidR="009F7A3D" w14:paraId="2822B666" w14:textId="77777777">
        <w:tc>
          <w:tcPr>
            <w:tcW w:w="2264" w:type="dxa"/>
          </w:tcPr>
          <w:p w14:paraId="376F5A48" w14:textId="77777777" w:rsidR="009F7A3D" w:rsidRDefault="00000000">
            <w:pPr>
              <w:spacing w:after="240" w:line="360" w:lineRule="auto"/>
              <w:jc w:val="left"/>
              <w:rPr>
                <w:rFonts w:ascii="Arial" w:eastAsia="Arial" w:hAnsi="Arial" w:cs="Arial"/>
                <w:color w:val="000000"/>
                <w:sz w:val="22"/>
                <w:szCs w:val="22"/>
              </w:rPr>
            </w:pPr>
            <w:r>
              <w:rPr>
                <w:rFonts w:ascii="Arial" w:eastAsia="Arial" w:hAnsi="Arial" w:cs="Arial"/>
                <w:color w:val="000000"/>
                <w:sz w:val="22"/>
                <w:szCs w:val="22"/>
              </w:rPr>
              <w:t>Screening &amp; selection</w:t>
            </w:r>
          </w:p>
        </w:tc>
        <w:tc>
          <w:tcPr>
            <w:tcW w:w="783" w:type="dxa"/>
          </w:tcPr>
          <w:p w14:paraId="45E751E0" w14:textId="77777777" w:rsidR="009F7A3D" w:rsidRDefault="009F7A3D">
            <w:pPr>
              <w:spacing w:after="240" w:line="360" w:lineRule="auto"/>
              <w:jc w:val="left"/>
              <w:rPr>
                <w:rFonts w:ascii="Arial" w:eastAsia="Arial" w:hAnsi="Arial" w:cs="Arial"/>
                <w:color w:val="000000"/>
                <w:sz w:val="22"/>
                <w:szCs w:val="22"/>
              </w:rPr>
            </w:pPr>
          </w:p>
        </w:tc>
        <w:tc>
          <w:tcPr>
            <w:tcW w:w="783" w:type="dxa"/>
            <w:shd w:val="clear" w:color="auto" w:fill="FFC000"/>
          </w:tcPr>
          <w:p w14:paraId="563CD06C" w14:textId="77777777" w:rsidR="009F7A3D" w:rsidRDefault="009F7A3D">
            <w:pPr>
              <w:spacing w:after="240" w:line="360" w:lineRule="auto"/>
              <w:jc w:val="left"/>
              <w:rPr>
                <w:rFonts w:ascii="Arial" w:eastAsia="Arial" w:hAnsi="Arial" w:cs="Arial"/>
                <w:color w:val="000000"/>
                <w:sz w:val="22"/>
                <w:szCs w:val="22"/>
              </w:rPr>
            </w:pPr>
          </w:p>
        </w:tc>
        <w:tc>
          <w:tcPr>
            <w:tcW w:w="783" w:type="dxa"/>
          </w:tcPr>
          <w:p w14:paraId="76149519" w14:textId="77777777" w:rsidR="009F7A3D" w:rsidRDefault="009F7A3D">
            <w:pPr>
              <w:spacing w:after="240" w:line="360" w:lineRule="auto"/>
              <w:jc w:val="left"/>
              <w:rPr>
                <w:rFonts w:ascii="Arial" w:eastAsia="Arial" w:hAnsi="Arial" w:cs="Arial"/>
                <w:color w:val="000000"/>
                <w:sz w:val="22"/>
                <w:szCs w:val="22"/>
              </w:rPr>
            </w:pPr>
          </w:p>
        </w:tc>
        <w:tc>
          <w:tcPr>
            <w:tcW w:w="783" w:type="dxa"/>
          </w:tcPr>
          <w:p w14:paraId="0EA8E66F" w14:textId="77777777" w:rsidR="009F7A3D" w:rsidRDefault="009F7A3D">
            <w:pPr>
              <w:spacing w:after="240" w:line="360" w:lineRule="auto"/>
              <w:jc w:val="left"/>
              <w:rPr>
                <w:rFonts w:ascii="Arial" w:eastAsia="Arial" w:hAnsi="Arial" w:cs="Arial"/>
                <w:color w:val="000000"/>
                <w:sz w:val="22"/>
                <w:szCs w:val="22"/>
              </w:rPr>
            </w:pPr>
          </w:p>
        </w:tc>
        <w:tc>
          <w:tcPr>
            <w:tcW w:w="897" w:type="dxa"/>
          </w:tcPr>
          <w:p w14:paraId="009CD7AA" w14:textId="77777777" w:rsidR="009F7A3D" w:rsidRDefault="009F7A3D">
            <w:pPr>
              <w:spacing w:after="240" w:line="360" w:lineRule="auto"/>
              <w:jc w:val="left"/>
              <w:rPr>
                <w:rFonts w:ascii="Arial" w:eastAsia="Arial" w:hAnsi="Arial" w:cs="Arial"/>
                <w:color w:val="000000"/>
                <w:sz w:val="22"/>
                <w:szCs w:val="22"/>
              </w:rPr>
            </w:pPr>
          </w:p>
        </w:tc>
        <w:tc>
          <w:tcPr>
            <w:tcW w:w="1019" w:type="dxa"/>
          </w:tcPr>
          <w:p w14:paraId="1C0A5619" w14:textId="77777777" w:rsidR="009F7A3D" w:rsidRDefault="009F7A3D">
            <w:pPr>
              <w:spacing w:after="240" w:line="360" w:lineRule="auto"/>
              <w:jc w:val="left"/>
              <w:rPr>
                <w:rFonts w:ascii="Arial" w:eastAsia="Arial" w:hAnsi="Arial" w:cs="Arial"/>
                <w:color w:val="000000"/>
                <w:sz w:val="22"/>
                <w:szCs w:val="22"/>
              </w:rPr>
            </w:pPr>
          </w:p>
        </w:tc>
        <w:tc>
          <w:tcPr>
            <w:tcW w:w="1019" w:type="dxa"/>
          </w:tcPr>
          <w:p w14:paraId="5395BF8B" w14:textId="77777777" w:rsidR="009F7A3D" w:rsidRDefault="009F7A3D">
            <w:pPr>
              <w:spacing w:after="240" w:line="360" w:lineRule="auto"/>
              <w:jc w:val="left"/>
              <w:rPr>
                <w:rFonts w:ascii="Arial" w:eastAsia="Arial" w:hAnsi="Arial" w:cs="Arial"/>
                <w:color w:val="000000"/>
                <w:sz w:val="22"/>
                <w:szCs w:val="22"/>
              </w:rPr>
            </w:pPr>
          </w:p>
        </w:tc>
        <w:tc>
          <w:tcPr>
            <w:tcW w:w="1019" w:type="dxa"/>
          </w:tcPr>
          <w:p w14:paraId="32E22142" w14:textId="77777777" w:rsidR="009F7A3D" w:rsidRDefault="009F7A3D">
            <w:pPr>
              <w:spacing w:after="240" w:line="360" w:lineRule="auto"/>
              <w:jc w:val="left"/>
              <w:rPr>
                <w:rFonts w:ascii="Arial" w:eastAsia="Arial" w:hAnsi="Arial" w:cs="Arial"/>
                <w:color w:val="000000"/>
                <w:sz w:val="22"/>
                <w:szCs w:val="22"/>
              </w:rPr>
            </w:pPr>
          </w:p>
        </w:tc>
      </w:tr>
      <w:tr w:rsidR="009F7A3D" w14:paraId="1478CA33" w14:textId="77777777">
        <w:tc>
          <w:tcPr>
            <w:tcW w:w="2264" w:type="dxa"/>
          </w:tcPr>
          <w:p w14:paraId="56BC1D3A" w14:textId="77777777" w:rsidR="009F7A3D" w:rsidRDefault="00000000">
            <w:pPr>
              <w:spacing w:after="240" w:line="360" w:lineRule="auto"/>
              <w:jc w:val="left"/>
              <w:rPr>
                <w:rFonts w:ascii="Arial" w:eastAsia="Arial" w:hAnsi="Arial" w:cs="Arial"/>
                <w:color w:val="000000"/>
                <w:sz w:val="22"/>
                <w:szCs w:val="22"/>
              </w:rPr>
            </w:pPr>
            <w:r>
              <w:rPr>
                <w:rFonts w:ascii="Arial" w:eastAsia="Arial" w:hAnsi="Arial" w:cs="Arial"/>
                <w:color w:val="000000"/>
                <w:sz w:val="22"/>
                <w:szCs w:val="22"/>
              </w:rPr>
              <w:t>Data extraction</w:t>
            </w:r>
          </w:p>
        </w:tc>
        <w:tc>
          <w:tcPr>
            <w:tcW w:w="783" w:type="dxa"/>
          </w:tcPr>
          <w:p w14:paraId="09BA206D" w14:textId="77777777" w:rsidR="009F7A3D" w:rsidRDefault="009F7A3D">
            <w:pPr>
              <w:spacing w:after="240" w:line="360" w:lineRule="auto"/>
              <w:jc w:val="left"/>
              <w:rPr>
                <w:rFonts w:ascii="Arial" w:eastAsia="Arial" w:hAnsi="Arial" w:cs="Arial"/>
                <w:color w:val="000000"/>
                <w:sz w:val="22"/>
                <w:szCs w:val="22"/>
              </w:rPr>
            </w:pPr>
          </w:p>
        </w:tc>
        <w:tc>
          <w:tcPr>
            <w:tcW w:w="783" w:type="dxa"/>
          </w:tcPr>
          <w:p w14:paraId="447AADB8" w14:textId="77777777" w:rsidR="009F7A3D" w:rsidRDefault="009F7A3D">
            <w:pPr>
              <w:spacing w:after="240" w:line="360" w:lineRule="auto"/>
              <w:jc w:val="left"/>
              <w:rPr>
                <w:rFonts w:ascii="Arial" w:eastAsia="Arial" w:hAnsi="Arial" w:cs="Arial"/>
                <w:color w:val="000000"/>
                <w:sz w:val="22"/>
                <w:szCs w:val="22"/>
              </w:rPr>
            </w:pPr>
          </w:p>
        </w:tc>
        <w:tc>
          <w:tcPr>
            <w:tcW w:w="783" w:type="dxa"/>
            <w:shd w:val="clear" w:color="auto" w:fill="948A54"/>
          </w:tcPr>
          <w:p w14:paraId="3167478F" w14:textId="77777777" w:rsidR="009F7A3D" w:rsidRDefault="009F7A3D">
            <w:pPr>
              <w:spacing w:after="240" w:line="360" w:lineRule="auto"/>
              <w:jc w:val="left"/>
              <w:rPr>
                <w:rFonts w:ascii="Arial" w:eastAsia="Arial" w:hAnsi="Arial" w:cs="Arial"/>
                <w:color w:val="000000"/>
                <w:sz w:val="22"/>
                <w:szCs w:val="22"/>
              </w:rPr>
            </w:pPr>
          </w:p>
        </w:tc>
        <w:tc>
          <w:tcPr>
            <w:tcW w:w="783" w:type="dxa"/>
          </w:tcPr>
          <w:p w14:paraId="6230F903" w14:textId="77777777" w:rsidR="009F7A3D" w:rsidRDefault="009F7A3D">
            <w:pPr>
              <w:spacing w:after="240" w:line="360" w:lineRule="auto"/>
              <w:jc w:val="left"/>
              <w:rPr>
                <w:rFonts w:ascii="Arial" w:eastAsia="Arial" w:hAnsi="Arial" w:cs="Arial"/>
                <w:color w:val="000000"/>
                <w:sz w:val="22"/>
                <w:szCs w:val="22"/>
              </w:rPr>
            </w:pPr>
          </w:p>
        </w:tc>
        <w:tc>
          <w:tcPr>
            <w:tcW w:w="897" w:type="dxa"/>
          </w:tcPr>
          <w:p w14:paraId="0BCDCD8C" w14:textId="77777777" w:rsidR="009F7A3D" w:rsidRDefault="009F7A3D">
            <w:pPr>
              <w:spacing w:after="240" w:line="360" w:lineRule="auto"/>
              <w:jc w:val="left"/>
              <w:rPr>
                <w:rFonts w:ascii="Arial" w:eastAsia="Arial" w:hAnsi="Arial" w:cs="Arial"/>
                <w:color w:val="000000"/>
                <w:sz w:val="22"/>
                <w:szCs w:val="22"/>
              </w:rPr>
            </w:pPr>
          </w:p>
        </w:tc>
        <w:tc>
          <w:tcPr>
            <w:tcW w:w="1019" w:type="dxa"/>
          </w:tcPr>
          <w:p w14:paraId="71532516" w14:textId="77777777" w:rsidR="009F7A3D" w:rsidRDefault="009F7A3D">
            <w:pPr>
              <w:spacing w:after="240" w:line="360" w:lineRule="auto"/>
              <w:jc w:val="left"/>
              <w:rPr>
                <w:rFonts w:ascii="Arial" w:eastAsia="Arial" w:hAnsi="Arial" w:cs="Arial"/>
                <w:color w:val="000000"/>
                <w:sz w:val="22"/>
                <w:szCs w:val="22"/>
              </w:rPr>
            </w:pPr>
          </w:p>
        </w:tc>
        <w:tc>
          <w:tcPr>
            <w:tcW w:w="1019" w:type="dxa"/>
          </w:tcPr>
          <w:p w14:paraId="1DC2A3CC" w14:textId="77777777" w:rsidR="009F7A3D" w:rsidRDefault="009F7A3D">
            <w:pPr>
              <w:spacing w:after="240" w:line="360" w:lineRule="auto"/>
              <w:jc w:val="left"/>
              <w:rPr>
                <w:rFonts w:ascii="Arial" w:eastAsia="Arial" w:hAnsi="Arial" w:cs="Arial"/>
                <w:color w:val="000000"/>
                <w:sz w:val="22"/>
                <w:szCs w:val="22"/>
              </w:rPr>
            </w:pPr>
          </w:p>
        </w:tc>
        <w:tc>
          <w:tcPr>
            <w:tcW w:w="1019" w:type="dxa"/>
          </w:tcPr>
          <w:p w14:paraId="4F1284AD" w14:textId="77777777" w:rsidR="009F7A3D" w:rsidRDefault="009F7A3D">
            <w:pPr>
              <w:spacing w:after="240" w:line="360" w:lineRule="auto"/>
              <w:jc w:val="left"/>
              <w:rPr>
                <w:rFonts w:ascii="Arial" w:eastAsia="Arial" w:hAnsi="Arial" w:cs="Arial"/>
                <w:color w:val="000000"/>
                <w:sz w:val="22"/>
                <w:szCs w:val="22"/>
              </w:rPr>
            </w:pPr>
          </w:p>
        </w:tc>
      </w:tr>
      <w:tr w:rsidR="009F7A3D" w14:paraId="1B45281F" w14:textId="77777777">
        <w:tc>
          <w:tcPr>
            <w:tcW w:w="2264" w:type="dxa"/>
          </w:tcPr>
          <w:p w14:paraId="78F1C8D6" w14:textId="77777777" w:rsidR="009F7A3D" w:rsidRDefault="00000000">
            <w:pPr>
              <w:spacing w:after="240" w:line="360" w:lineRule="auto"/>
              <w:jc w:val="left"/>
              <w:rPr>
                <w:rFonts w:ascii="Arial" w:eastAsia="Arial" w:hAnsi="Arial" w:cs="Arial"/>
                <w:color w:val="000000"/>
                <w:sz w:val="22"/>
                <w:szCs w:val="22"/>
              </w:rPr>
            </w:pPr>
            <w:r>
              <w:rPr>
                <w:rFonts w:ascii="Arial" w:eastAsia="Arial" w:hAnsi="Arial" w:cs="Arial"/>
                <w:color w:val="000000"/>
                <w:sz w:val="22"/>
                <w:szCs w:val="22"/>
              </w:rPr>
              <w:t>Thematic analysis</w:t>
            </w:r>
          </w:p>
        </w:tc>
        <w:tc>
          <w:tcPr>
            <w:tcW w:w="783" w:type="dxa"/>
          </w:tcPr>
          <w:p w14:paraId="6EB2B06D" w14:textId="77777777" w:rsidR="009F7A3D" w:rsidRDefault="009F7A3D">
            <w:pPr>
              <w:spacing w:after="240" w:line="360" w:lineRule="auto"/>
              <w:jc w:val="left"/>
              <w:rPr>
                <w:rFonts w:ascii="Arial" w:eastAsia="Arial" w:hAnsi="Arial" w:cs="Arial"/>
                <w:color w:val="000000"/>
                <w:sz w:val="22"/>
                <w:szCs w:val="22"/>
              </w:rPr>
            </w:pPr>
          </w:p>
        </w:tc>
        <w:tc>
          <w:tcPr>
            <w:tcW w:w="783" w:type="dxa"/>
          </w:tcPr>
          <w:p w14:paraId="58273B02" w14:textId="77777777" w:rsidR="009F7A3D" w:rsidRDefault="009F7A3D">
            <w:pPr>
              <w:spacing w:after="240" w:line="360" w:lineRule="auto"/>
              <w:jc w:val="left"/>
              <w:rPr>
                <w:rFonts w:ascii="Arial" w:eastAsia="Arial" w:hAnsi="Arial" w:cs="Arial"/>
                <w:color w:val="000000"/>
                <w:sz w:val="22"/>
                <w:szCs w:val="22"/>
              </w:rPr>
            </w:pPr>
          </w:p>
        </w:tc>
        <w:tc>
          <w:tcPr>
            <w:tcW w:w="783" w:type="dxa"/>
          </w:tcPr>
          <w:p w14:paraId="740FADD7" w14:textId="77777777" w:rsidR="009F7A3D" w:rsidRDefault="009F7A3D">
            <w:pPr>
              <w:spacing w:after="240" w:line="360" w:lineRule="auto"/>
              <w:jc w:val="left"/>
              <w:rPr>
                <w:rFonts w:ascii="Arial" w:eastAsia="Arial" w:hAnsi="Arial" w:cs="Arial"/>
                <w:color w:val="000000"/>
                <w:sz w:val="22"/>
                <w:szCs w:val="22"/>
              </w:rPr>
            </w:pPr>
          </w:p>
        </w:tc>
        <w:tc>
          <w:tcPr>
            <w:tcW w:w="783" w:type="dxa"/>
            <w:shd w:val="clear" w:color="auto" w:fill="FAC090"/>
          </w:tcPr>
          <w:p w14:paraId="188D0373" w14:textId="77777777" w:rsidR="009F7A3D" w:rsidRDefault="009F7A3D">
            <w:pPr>
              <w:spacing w:after="240" w:line="360" w:lineRule="auto"/>
              <w:jc w:val="left"/>
              <w:rPr>
                <w:rFonts w:ascii="Arial" w:eastAsia="Arial" w:hAnsi="Arial" w:cs="Arial"/>
                <w:color w:val="000000"/>
                <w:sz w:val="22"/>
                <w:szCs w:val="22"/>
              </w:rPr>
            </w:pPr>
          </w:p>
        </w:tc>
        <w:tc>
          <w:tcPr>
            <w:tcW w:w="897" w:type="dxa"/>
            <w:shd w:val="clear" w:color="auto" w:fill="E36C09"/>
          </w:tcPr>
          <w:p w14:paraId="74CA0D71" w14:textId="77777777" w:rsidR="009F7A3D" w:rsidRDefault="009F7A3D">
            <w:pPr>
              <w:spacing w:after="240" w:line="360" w:lineRule="auto"/>
              <w:jc w:val="left"/>
              <w:rPr>
                <w:rFonts w:ascii="Arial" w:eastAsia="Arial" w:hAnsi="Arial" w:cs="Arial"/>
                <w:color w:val="000000"/>
                <w:sz w:val="22"/>
                <w:szCs w:val="22"/>
              </w:rPr>
            </w:pPr>
          </w:p>
        </w:tc>
        <w:tc>
          <w:tcPr>
            <w:tcW w:w="1019" w:type="dxa"/>
          </w:tcPr>
          <w:p w14:paraId="0672B0E0" w14:textId="77777777" w:rsidR="009F7A3D" w:rsidRDefault="009F7A3D">
            <w:pPr>
              <w:spacing w:after="240" w:line="360" w:lineRule="auto"/>
              <w:jc w:val="left"/>
              <w:rPr>
                <w:rFonts w:ascii="Arial" w:eastAsia="Arial" w:hAnsi="Arial" w:cs="Arial"/>
                <w:color w:val="000000"/>
                <w:sz w:val="22"/>
                <w:szCs w:val="22"/>
              </w:rPr>
            </w:pPr>
          </w:p>
        </w:tc>
        <w:tc>
          <w:tcPr>
            <w:tcW w:w="1019" w:type="dxa"/>
          </w:tcPr>
          <w:p w14:paraId="78F8288F" w14:textId="77777777" w:rsidR="009F7A3D" w:rsidRDefault="009F7A3D">
            <w:pPr>
              <w:spacing w:after="240" w:line="360" w:lineRule="auto"/>
              <w:jc w:val="left"/>
              <w:rPr>
                <w:rFonts w:ascii="Arial" w:eastAsia="Arial" w:hAnsi="Arial" w:cs="Arial"/>
                <w:color w:val="000000"/>
                <w:sz w:val="22"/>
                <w:szCs w:val="22"/>
              </w:rPr>
            </w:pPr>
          </w:p>
        </w:tc>
        <w:tc>
          <w:tcPr>
            <w:tcW w:w="1019" w:type="dxa"/>
          </w:tcPr>
          <w:p w14:paraId="6338F613" w14:textId="77777777" w:rsidR="009F7A3D" w:rsidRDefault="009F7A3D">
            <w:pPr>
              <w:spacing w:after="240" w:line="360" w:lineRule="auto"/>
              <w:jc w:val="left"/>
              <w:rPr>
                <w:rFonts w:ascii="Arial" w:eastAsia="Arial" w:hAnsi="Arial" w:cs="Arial"/>
                <w:color w:val="000000"/>
                <w:sz w:val="22"/>
                <w:szCs w:val="22"/>
              </w:rPr>
            </w:pPr>
          </w:p>
        </w:tc>
      </w:tr>
      <w:tr w:rsidR="009F7A3D" w14:paraId="243FFCAF" w14:textId="77777777">
        <w:tc>
          <w:tcPr>
            <w:tcW w:w="2264" w:type="dxa"/>
          </w:tcPr>
          <w:p w14:paraId="4720F258" w14:textId="77777777" w:rsidR="009F7A3D" w:rsidRDefault="00000000">
            <w:pPr>
              <w:spacing w:after="240" w:line="360" w:lineRule="auto"/>
              <w:jc w:val="left"/>
              <w:rPr>
                <w:rFonts w:ascii="Arial" w:eastAsia="Arial" w:hAnsi="Arial" w:cs="Arial"/>
                <w:color w:val="000000"/>
                <w:sz w:val="22"/>
                <w:szCs w:val="22"/>
              </w:rPr>
            </w:pPr>
            <w:r>
              <w:rPr>
                <w:rFonts w:ascii="Arial" w:eastAsia="Arial" w:hAnsi="Arial" w:cs="Arial"/>
                <w:color w:val="000000"/>
                <w:sz w:val="22"/>
                <w:szCs w:val="22"/>
              </w:rPr>
              <w:t>Writing draft chapters</w:t>
            </w:r>
          </w:p>
        </w:tc>
        <w:tc>
          <w:tcPr>
            <w:tcW w:w="783" w:type="dxa"/>
          </w:tcPr>
          <w:p w14:paraId="55FE05F0" w14:textId="77777777" w:rsidR="009F7A3D" w:rsidRDefault="009F7A3D">
            <w:pPr>
              <w:spacing w:after="240" w:line="360" w:lineRule="auto"/>
              <w:jc w:val="left"/>
              <w:rPr>
                <w:rFonts w:ascii="Arial" w:eastAsia="Arial" w:hAnsi="Arial" w:cs="Arial"/>
                <w:color w:val="000000"/>
                <w:sz w:val="22"/>
                <w:szCs w:val="22"/>
              </w:rPr>
            </w:pPr>
          </w:p>
        </w:tc>
        <w:tc>
          <w:tcPr>
            <w:tcW w:w="783" w:type="dxa"/>
          </w:tcPr>
          <w:p w14:paraId="0D36BE94" w14:textId="77777777" w:rsidR="009F7A3D" w:rsidRDefault="009F7A3D">
            <w:pPr>
              <w:spacing w:after="240" w:line="360" w:lineRule="auto"/>
              <w:jc w:val="left"/>
              <w:rPr>
                <w:rFonts w:ascii="Arial" w:eastAsia="Arial" w:hAnsi="Arial" w:cs="Arial"/>
                <w:color w:val="000000"/>
                <w:sz w:val="22"/>
                <w:szCs w:val="22"/>
              </w:rPr>
            </w:pPr>
          </w:p>
        </w:tc>
        <w:tc>
          <w:tcPr>
            <w:tcW w:w="783" w:type="dxa"/>
          </w:tcPr>
          <w:p w14:paraId="0839E6F2" w14:textId="77777777" w:rsidR="009F7A3D" w:rsidRDefault="009F7A3D">
            <w:pPr>
              <w:spacing w:after="240" w:line="360" w:lineRule="auto"/>
              <w:jc w:val="left"/>
              <w:rPr>
                <w:rFonts w:ascii="Arial" w:eastAsia="Arial" w:hAnsi="Arial" w:cs="Arial"/>
                <w:color w:val="000000"/>
                <w:sz w:val="22"/>
                <w:szCs w:val="22"/>
              </w:rPr>
            </w:pPr>
          </w:p>
        </w:tc>
        <w:tc>
          <w:tcPr>
            <w:tcW w:w="783" w:type="dxa"/>
          </w:tcPr>
          <w:p w14:paraId="305D87B7" w14:textId="77777777" w:rsidR="009F7A3D" w:rsidRDefault="009F7A3D">
            <w:pPr>
              <w:spacing w:after="240" w:line="360" w:lineRule="auto"/>
              <w:jc w:val="left"/>
              <w:rPr>
                <w:rFonts w:ascii="Arial" w:eastAsia="Arial" w:hAnsi="Arial" w:cs="Arial"/>
                <w:color w:val="000000"/>
                <w:sz w:val="22"/>
                <w:szCs w:val="22"/>
              </w:rPr>
            </w:pPr>
          </w:p>
        </w:tc>
        <w:tc>
          <w:tcPr>
            <w:tcW w:w="897" w:type="dxa"/>
            <w:shd w:val="clear" w:color="auto" w:fill="92D050"/>
          </w:tcPr>
          <w:p w14:paraId="0F2C3AFF" w14:textId="77777777" w:rsidR="009F7A3D" w:rsidRDefault="009F7A3D">
            <w:pPr>
              <w:spacing w:after="240" w:line="360" w:lineRule="auto"/>
              <w:jc w:val="left"/>
              <w:rPr>
                <w:rFonts w:ascii="Arial" w:eastAsia="Arial" w:hAnsi="Arial" w:cs="Arial"/>
                <w:color w:val="000000"/>
                <w:sz w:val="22"/>
                <w:szCs w:val="22"/>
              </w:rPr>
            </w:pPr>
          </w:p>
        </w:tc>
        <w:tc>
          <w:tcPr>
            <w:tcW w:w="1019" w:type="dxa"/>
            <w:shd w:val="clear" w:color="auto" w:fill="7030A0"/>
          </w:tcPr>
          <w:p w14:paraId="2EDFEF00" w14:textId="77777777" w:rsidR="009F7A3D" w:rsidRDefault="009F7A3D">
            <w:pPr>
              <w:spacing w:after="240" w:line="360" w:lineRule="auto"/>
              <w:jc w:val="left"/>
              <w:rPr>
                <w:rFonts w:ascii="Arial" w:eastAsia="Arial" w:hAnsi="Arial" w:cs="Arial"/>
                <w:color w:val="000000"/>
                <w:sz w:val="22"/>
                <w:szCs w:val="22"/>
              </w:rPr>
            </w:pPr>
          </w:p>
        </w:tc>
        <w:tc>
          <w:tcPr>
            <w:tcW w:w="1019" w:type="dxa"/>
          </w:tcPr>
          <w:p w14:paraId="5FE0ACD6" w14:textId="77777777" w:rsidR="009F7A3D" w:rsidRDefault="009F7A3D">
            <w:pPr>
              <w:spacing w:after="240" w:line="360" w:lineRule="auto"/>
              <w:jc w:val="left"/>
              <w:rPr>
                <w:rFonts w:ascii="Arial" w:eastAsia="Arial" w:hAnsi="Arial" w:cs="Arial"/>
                <w:color w:val="000000"/>
                <w:sz w:val="22"/>
                <w:szCs w:val="22"/>
              </w:rPr>
            </w:pPr>
          </w:p>
        </w:tc>
        <w:tc>
          <w:tcPr>
            <w:tcW w:w="1019" w:type="dxa"/>
          </w:tcPr>
          <w:p w14:paraId="495385C7" w14:textId="77777777" w:rsidR="009F7A3D" w:rsidRDefault="009F7A3D">
            <w:pPr>
              <w:spacing w:after="240" w:line="360" w:lineRule="auto"/>
              <w:jc w:val="left"/>
              <w:rPr>
                <w:rFonts w:ascii="Arial" w:eastAsia="Arial" w:hAnsi="Arial" w:cs="Arial"/>
                <w:color w:val="000000"/>
                <w:sz w:val="22"/>
                <w:szCs w:val="22"/>
              </w:rPr>
            </w:pPr>
          </w:p>
        </w:tc>
      </w:tr>
      <w:tr w:rsidR="009F7A3D" w14:paraId="1D4ECE0E" w14:textId="77777777">
        <w:tc>
          <w:tcPr>
            <w:tcW w:w="2264" w:type="dxa"/>
          </w:tcPr>
          <w:p w14:paraId="45CD93CD" w14:textId="77777777" w:rsidR="009F7A3D" w:rsidRDefault="00000000">
            <w:pPr>
              <w:spacing w:after="240" w:line="360" w:lineRule="auto"/>
              <w:jc w:val="left"/>
              <w:rPr>
                <w:rFonts w:ascii="Arial" w:eastAsia="Arial" w:hAnsi="Arial" w:cs="Arial"/>
                <w:color w:val="000000"/>
                <w:sz w:val="22"/>
                <w:szCs w:val="22"/>
              </w:rPr>
            </w:pPr>
            <w:r>
              <w:rPr>
                <w:rFonts w:ascii="Arial" w:eastAsia="Arial" w:hAnsi="Arial" w:cs="Arial"/>
                <w:color w:val="000000"/>
                <w:sz w:val="22"/>
                <w:szCs w:val="22"/>
              </w:rPr>
              <w:t>Final review &amp; editing</w:t>
            </w:r>
          </w:p>
        </w:tc>
        <w:tc>
          <w:tcPr>
            <w:tcW w:w="783" w:type="dxa"/>
          </w:tcPr>
          <w:p w14:paraId="7AABEB39" w14:textId="77777777" w:rsidR="009F7A3D" w:rsidRDefault="009F7A3D">
            <w:pPr>
              <w:spacing w:after="240" w:line="360" w:lineRule="auto"/>
              <w:jc w:val="left"/>
              <w:rPr>
                <w:rFonts w:ascii="Arial" w:eastAsia="Arial" w:hAnsi="Arial" w:cs="Arial"/>
                <w:color w:val="000000"/>
                <w:sz w:val="22"/>
                <w:szCs w:val="22"/>
              </w:rPr>
            </w:pPr>
          </w:p>
        </w:tc>
        <w:tc>
          <w:tcPr>
            <w:tcW w:w="783" w:type="dxa"/>
          </w:tcPr>
          <w:p w14:paraId="306BDC0D" w14:textId="77777777" w:rsidR="009F7A3D" w:rsidRDefault="009F7A3D">
            <w:pPr>
              <w:spacing w:after="240" w:line="360" w:lineRule="auto"/>
              <w:jc w:val="left"/>
              <w:rPr>
                <w:rFonts w:ascii="Arial" w:eastAsia="Arial" w:hAnsi="Arial" w:cs="Arial"/>
                <w:color w:val="000000"/>
                <w:sz w:val="22"/>
                <w:szCs w:val="22"/>
              </w:rPr>
            </w:pPr>
          </w:p>
        </w:tc>
        <w:tc>
          <w:tcPr>
            <w:tcW w:w="783" w:type="dxa"/>
          </w:tcPr>
          <w:p w14:paraId="34E59964" w14:textId="77777777" w:rsidR="009F7A3D" w:rsidRDefault="009F7A3D">
            <w:pPr>
              <w:spacing w:after="240" w:line="360" w:lineRule="auto"/>
              <w:jc w:val="left"/>
              <w:rPr>
                <w:rFonts w:ascii="Arial" w:eastAsia="Arial" w:hAnsi="Arial" w:cs="Arial"/>
                <w:color w:val="000000"/>
                <w:sz w:val="22"/>
                <w:szCs w:val="22"/>
              </w:rPr>
            </w:pPr>
          </w:p>
        </w:tc>
        <w:tc>
          <w:tcPr>
            <w:tcW w:w="783" w:type="dxa"/>
          </w:tcPr>
          <w:p w14:paraId="673A73C8" w14:textId="77777777" w:rsidR="009F7A3D" w:rsidRDefault="009F7A3D">
            <w:pPr>
              <w:spacing w:after="240" w:line="360" w:lineRule="auto"/>
              <w:jc w:val="left"/>
              <w:rPr>
                <w:rFonts w:ascii="Arial" w:eastAsia="Arial" w:hAnsi="Arial" w:cs="Arial"/>
                <w:color w:val="000000"/>
                <w:sz w:val="22"/>
                <w:szCs w:val="22"/>
              </w:rPr>
            </w:pPr>
          </w:p>
        </w:tc>
        <w:tc>
          <w:tcPr>
            <w:tcW w:w="897" w:type="dxa"/>
          </w:tcPr>
          <w:p w14:paraId="4878B36C" w14:textId="77777777" w:rsidR="009F7A3D" w:rsidRDefault="009F7A3D">
            <w:pPr>
              <w:spacing w:after="240" w:line="360" w:lineRule="auto"/>
              <w:jc w:val="left"/>
              <w:rPr>
                <w:rFonts w:ascii="Arial" w:eastAsia="Arial" w:hAnsi="Arial" w:cs="Arial"/>
                <w:color w:val="000000"/>
                <w:sz w:val="22"/>
                <w:szCs w:val="22"/>
              </w:rPr>
            </w:pPr>
          </w:p>
        </w:tc>
        <w:tc>
          <w:tcPr>
            <w:tcW w:w="1019" w:type="dxa"/>
          </w:tcPr>
          <w:p w14:paraId="59880210" w14:textId="77777777" w:rsidR="009F7A3D" w:rsidRDefault="009F7A3D">
            <w:pPr>
              <w:spacing w:after="240" w:line="360" w:lineRule="auto"/>
              <w:jc w:val="left"/>
              <w:rPr>
                <w:rFonts w:ascii="Arial" w:eastAsia="Arial" w:hAnsi="Arial" w:cs="Arial"/>
                <w:color w:val="000000"/>
                <w:sz w:val="22"/>
                <w:szCs w:val="22"/>
              </w:rPr>
            </w:pPr>
          </w:p>
        </w:tc>
        <w:tc>
          <w:tcPr>
            <w:tcW w:w="1019" w:type="dxa"/>
            <w:shd w:val="clear" w:color="auto" w:fill="FAC090"/>
          </w:tcPr>
          <w:p w14:paraId="51C3F2C2" w14:textId="77777777" w:rsidR="009F7A3D" w:rsidRDefault="009F7A3D">
            <w:pPr>
              <w:spacing w:after="240" w:line="360" w:lineRule="auto"/>
              <w:jc w:val="left"/>
              <w:rPr>
                <w:rFonts w:ascii="Arial" w:eastAsia="Arial" w:hAnsi="Arial" w:cs="Arial"/>
                <w:color w:val="000000"/>
                <w:sz w:val="22"/>
                <w:szCs w:val="22"/>
              </w:rPr>
            </w:pPr>
          </w:p>
        </w:tc>
        <w:tc>
          <w:tcPr>
            <w:tcW w:w="1019" w:type="dxa"/>
            <w:shd w:val="clear" w:color="auto" w:fill="8DB3E2"/>
          </w:tcPr>
          <w:p w14:paraId="6544D93C" w14:textId="77777777" w:rsidR="009F7A3D" w:rsidRDefault="009F7A3D">
            <w:pPr>
              <w:spacing w:after="240" w:line="360" w:lineRule="auto"/>
              <w:jc w:val="left"/>
              <w:rPr>
                <w:rFonts w:ascii="Arial" w:eastAsia="Arial" w:hAnsi="Arial" w:cs="Arial"/>
                <w:color w:val="000000"/>
                <w:sz w:val="22"/>
                <w:szCs w:val="22"/>
              </w:rPr>
            </w:pPr>
          </w:p>
        </w:tc>
      </w:tr>
    </w:tbl>
    <w:p w14:paraId="6F1EEB36" w14:textId="4CE56C6B" w:rsidR="009F7A3D" w:rsidRPr="000442B8" w:rsidRDefault="00000000" w:rsidP="000442B8">
      <w:pPr>
        <w:pStyle w:val="Heading1"/>
      </w:pPr>
      <w:bookmarkStart w:id="30" w:name="_heading=h.is2otnnfjm7y" w:colFirst="0" w:colLast="0"/>
      <w:bookmarkStart w:id="31" w:name="_heading=h.bx7ov3irhjfz" w:colFirst="0" w:colLast="0"/>
      <w:bookmarkEnd w:id="30"/>
      <w:bookmarkEnd w:id="31"/>
      <w:r>
        <w:lastRenderedPageBreak/>
        <w:t>References</w:t>
      </w:r>
    </w:p>
    <w:p w14:paraId="10327613" w14:textId="77777777" w:rsidR="009F7A3D" w:rsidRDefault="00000000">
      <w:pPr>
        <w:spacing w:before="0"/>
        <w:rPr>
          <w:rFonts w:ascii="Arial" w:eastAsia="Arial" w:hAnsi="Arial" w:cs="Arial"/>
          <w:sz w:val="22"/>
          <w:szCs w:val="22"/>
        </w:rPr>
      </w:pPr>
      <w:r>
        <w:rPr>
          <w:rFonts w:ascii="Arial" w:eastAsia="Arial" w:hAnsi="Arial" w:cs="Arial"/>
          <w:sz w:val="22"/>
          <w:szCs w:val="22"/>
        </w:rPr>
        <w:t xml:space="preserve">Alessy, S.A., Alhajji, M., Rawlinson, J., Baker, M. and Davies, E.A., (2022). Factors influencing cancer patients’ experiences of care in the USA, United Kingdom, and Canada: a systematic review. </w:t>
      </w:r>
      <w:proofErr w:type="spellStart"/>
      <w:r>
        <w:rPr>
          <w:rFonts w:ascii="Arial" w:eastAsia="Arial" w:hAnsi="Arial" w:cs="Arial"/>
          <w:i/>
          <w:iCs/>
          <w:sz w:val="22"/>
          <w:szCs w:val="22"/>
        </w:rPr>
        <w:t>EClinicalMedicine</w:t>
      </w:r>
      <w:proofErr w:type="spellEnd"/>
      <w:r>
        <w:rPr>
          <w:rFonts w:ascii="Arial" w:eastAsia="Arial" w:hAnsi="Arial" w:cs="Arial"/>
          <w:sz w:val="22"/>
          <w:szCs w:val="22"/>
        </w:rPr>
        <w:t xml:space="preserve">, </w:t>
      </w:r>
      <w:r>
        <w:rPr>
          <w:rFonts w:ascii="Arial" w:eastAsia="Arial" w:hAnsi="Arial" w:cs="Arial"/>
          <w:i/>
          <w:iCs/>
          <w:sz w:val="22"/>
          <w:szCs w:val="22"/>
        </w:rPr>
        <w:t>47</w:t>
      </w:r>
      <w:r>
        <w:rPr>
          <w:rFonts w:ascii="Arial" w:eastAsia="Arial" w:hAnsi="Arial" w:cs="Arial"/>
          <w:sz w:val="22"/>
          <w:szCs w:val="22"/>
        </w:rPr>
        <w:t>.</w:t>
      </w:r>
    </w:p>
    <w:p w14:paraId="7AE86953" w14:textId="77777777" w:rsidR="009F7A3D" w:rsidRDefault="00000000">
      <w:pPr>
        <w:spacing w:before="0"/>
        <w:rPr>
          <w:rFonts w:ascii="Arial" w:eastAsia="Arial" w:hAnsi="Arial" w:cs="Arial"/>
          <w:sz w:val="22"/>
          <w:szCs w:val="22"/>
        </w:rPr>
      </w:pPr>
      <w:r>
        <w:rPr>
          <w:rFonts w:ascii="Arial" w:eastAsia="Arial" w:hAnsi="Arial" w:cs="Arial"/>
          <w:sz w:val="22"/>
          <w:szCs w:val="22"/>
        </w:rPr>
        <w:t xml:space="preserve">Bennett, G., Bardon, L.A. and Gibney, E.R., (2022). A comparison of dietary patterns and factors influencing food choice among ethnic groups living in one locality: a systematic review. </w:t>
      </w:r>
      <w:r>
        <w:rPr>
          <w:rFonts w:ascii="Arial" w:eastAsia="Arial" w:hAnsi="Arial" w:cs="Arial"/>
          <w:i/>
          <w:iCs/>
          <w:sz w:val="22"/>
          <w:szCs w:val="22"/>
        </w:rPr>
        <w:t>Nutrients</w:t>
      </w:r>
      <w:r>
        <w:rPr>
          <w:rFonts w:ascii="Arial" w:eastAsia="Arial" w:hAnsi="Arial" w:cs="Arial"/>
          <w:sz w:val="22"/>
          <w:szCs w:val="22"/>
        </w:rPr>
        <w:t xml:space="preserve">, </w:t>
      </w:r>
      <w:r>
        <w:rPr>
          <w:rFonts w:ascii="Arial" w:eastAsia="Arial" w:hAnsi="Arial" w:cs="Arial"/>
          <w:i/>
          <w:iCs/>
          <w:sz w:val="22"/>
          <w:szCs w:val="22"/>
        </w:rPr>
        <w:t>14</w:t>
      </w:r>
      <w:r>
        <w:rPr>
          <w:rFonts w:ascii="Arial" w:eastAsia="Arial" w:hAnsi="Arial" w:cs="Arial"/>
          <w:sz w:val="22"/>
          <w:szCs w:val="22"/>
        </w:rPr>
        <w:t>(5), p.941.</w:t>
      </w:r>
    </w:p>
    <w:p w14:paraId="411D9EB9" w14:textId="77777777" w:rsidR="009F7A3D" w:rsidRDefault="00000000">
      <w:pPr>
        <w:spacing w:before="0"/>
        <w:rPr>
          <w:rFonts w:ascii="Arial" w:eastAsia="Arial" w:hAnsi="Arial" w:cs="Arial"/>
          <w:sz w:val="22"/>
          <w:szCs w:val="22"/>
        </w:rPr>
      </w:pPr>
      <w:r>
        <w:rPr>
          <w:rFonts w:ascii="Arial" w:eastAsia="Arial" w:hAnsi="Arial" w:cs="Arial"/>
          <w:sz w:val="22"/>
          <w:szCs w:val="22"/>
        </w:rPr>
        <w:t xml:space="preserve">Boden, I., Bernabeu, M.O., Dhillon, B., Dorward, D.A., MacCormick, I., Megaw, R. and Tochel, C., (2022). Pre-existing diabetic retinopathy as a prognostic factor for COVID-19 outcomes amongst people with diabetes: A systematic review. </w:t>
      </w:r>
      <w:r>
        <w:rPr>
          <w:rFonts w:ascii="Arial" w:eastAsia="Arial" w:hAnsi="Arial" w:cs="Arial"/>
          <w:i/>
          <w:iCs/>
          <w:sz w:val="22"/>
          <w:szCs w:val="22"/>
        </w:rPr>
        <w:t>Diabetes Research and Clinical Practice</w:t>
      </w:r>
      <w:r>
        <w:rPr>
          <w:rFonts w:ascii="Arial" w:eastAsia="Arial" w:hAnsi="Arial" w:cs="Arial"/>
          <w:sz w:val="22"/>
          <w:szCs w:val="22"/>
        </w:rPr>
        <w:t xml:space="preserve">, </w:t>
      </w:r>
      <w:r>
        <w:rPr>
          <w:rFonts w:ascii="Arial" w:eastAsia="Arial" w:hAnsi="Arial" w:cs="Arial"/>
          <w:i/>
          <w:iCs/>
          <w:sz w:val="22"/>
          <w:szCs w:val="22"/>
        </w:rPr>
        <w:t>187</w:t>
      </w:r>
      <w:r>
        <w:rPr>
          <w:rFonts w:ascii="Arial" w:eastAsia="Arial" w:hAnsi="Arial" w:cs="Arial"/>
          <w:sz w:val="22"/>
          <w:szCs w:val="22"/>
        </w:rPr>
        <w:t>, p.109869.</w:t>
      </w:r>
    </w:p>
    <w:p w14:paraId="285EE591" w14:textId="77777777" w:rsidR="009F7A3D" w:rsidRDefault="00000000">
      <w:pPr>
        <w:spacing w:before="0"/>
        <w:rPr>
          <w:rFonts w:ascii="Arial" w:eastAsia="Arial" w:hAnsi="Arial" w:cs="Arial"/>
          <w:sz w:val="22"/>
          <w:szCs w:val="22"/>
        </w:rPr>
      </w:pPr>
      <w:r>
        <w:rPr>
          <w:rFonts w:ascii="Arial" w:eastAsia="Arial" w:hAnsi="Arial" w:cs="Arial"/>
          <w:sz w:val="22"/>
          <w:szCs w:val="22"/>
        </w:rPr>
        <w:t xml:space="preserve">Catherine, J.P., Russell, M.V. and Peter, C.H. (2021). The impact of race and socioeconomic factors on paediatric diabetes. </w:t>
      </w:r>
      <w:proofErr w:type="spellStart"/>
      <w:r>
        <w:rPr>
          <w:rFonts w:ascii="Arial" w:eastAsia="Arial" w:hAnsi="Arial" w:cs="Arial"/>
          <w:i/>
          <w:iCs/>
          <w:sz w:val="22"/>
          <w:szCs w:val="22"/>
        </w:rPr>
        <w:t>EClinicalMedicine</w:t>
      </w:r>
      <w:proofErr w:type="spellEnd"/>
      <w:r>
        <w:rPr>
          <w:rFonts w:ascii="Arial" w:eastAsia="Arial" w:hAnsi="Arial" w:cs="Arial"/>
          <w:sz w:val="22"/>
          <w:szCs w:val="22"/>
        </w:rPr>
        <w:t xml:space="preserve">, 42(42), p.101186. </w:t>
      </w:r>
      <w:proofErr w:type="spellStart"/>
      <w:r>
        <w:rPr>
          <w:rFonts w:ascii="Arial" w:eastAsia="Arial" w:hAnsi="Arial" w:cs="Arial"/>
          <w:sz w:val="22"/>
          <w:szCs w:val="22"/>
        </w:rPr>
        <w:t>doi</w:t>
      </w:r>
      <w:proofErr w:type="spellEnd"/>
      <w:r>
        <w:rPr>
          <w:rFonts w:ascii="Arial" w:eastAsia="Arial" w:hAnsi="Arial" w:cs="Arial"/>
          <w:sz w:val="22"/>
          <w:szCs w:val="22"/>
        </w:rPr>
        <w:t xml:space="preserve">: </w:t>
      </w:r>
      <w:hyperlink r:id="rId16">
        <w:r w:rsidR="009F7A3D">
          <w:rPr>
            <w:rFonts w:ascii="Arial" w:eastAsia="Arial" w:hAnsi="Arial" w:cs="Arial"/>
            <w:color w:val="1155CC"/>
            <w:sz w:val="22"/>
            <w:szCs w:val="22"/>
            <w:u w:val="single"/>
          </w:rPr>
          <w:t>https://doi.org/10.1016/j.eclinm.2021.101186</w:t>
        </w:r>
      </w:hyperlink>
      <w:r>
        <w:rPr>
          <w:rFonts w:ascii="Arial" w:eastAsia="Arial" w:hAnsi="Arial" w:cs="Arial"/>
          <w:sz w:val="22"/>
          <w:szCs w:val="22"/>
        </w:rPr>
        <w:t xml:space="preserve">. </w:t>
      </w:r>
    </w:p>
    <w:p w14:paraId="5B99B4A8" w14:textId="77777777" w:rsidR="009F7A3D" w:rsidRDefault="00000000">
      <w:pPr>
        <w:spacing w:before="0"/>
        <w:rPr>
          <w:rFonts w:ascii="Arial" w:eastAsia="Arial" w:hAnsi="Arial" w:cs="Arial"/>
          <w:sz w:val="22"/>
          <w:szCs w:val="22"/>
        </w:rPr>
      </w:pPr>
      <w:r>
        <w:rPr>
          <w:rFonts w:ascii="Arial" w:eastAsia="Arial" w:hAnsi="Arial" w:cs="Arial"/>
          <w:sz w:val="22"/>
          <w:szCs w:val="22"/>
        </w:rPr>
        <w:t xml:space="preserve">Chan, K.S., Wan, E.Y.F., Chin, W.Y., Cheng, W.H.G., Ho, M.K., Yu, E.Y.T. and Lam, C.L.K., (2021). Effects of continuity of care on health outcomes among patients with diabetes mellitus and/or hypertension: a systematic review. </w:t>
      </w:r>
      <w:r>
        <w:rPr>
          <w:rFonts w:ascii="Arial" w:eastAsia="Arial" w:hAnsi="Arial" w:cs="Arial"/>
          <w:i/>
          <w:iCs/>
          <w:sz w:val="22"/>
          <w:szCs w:val="22"/>
        </w:rPr>
        <w:t>BMC family practice</w:t>
      </w:r>
      <w:r>
        <w:rPr>
          <w:rFonts w:ascii="Arial" w:eastAsia="Arial" w:hAnsi="Arial" w:cs="Arial"/>
          <w:sz w:val="22"/>
          <w:szCs w:val="22"/>
        </w:rPr>
        <w:t xml:space="preserve">, </w:t>
      </w:r>
      <w:r>
        <w:rPr>
          <w:rFonts w:ascii="Arial" w:eastAsia="Arial" w:hAnsi="Arial" w:cs="Arial"/>
          <w:i/>
          <w:iCs/>
          <w:sz w:val="22"/>
          <w:szCs w:val="22"/>
        </w:rPr>
        <w:t>22</w:t>
      </w:r>
      <w:r>
        <w:rPr>
          <w:rFonts w:ascii="Arial" w:eastAsia="Arial" w:hAnsi="Arial" w:cs="Arial"/>
          <w:sz w:val="22"/>
          <w:szCs w:val="22"/>
        </w:rPr>
        <w:t>(1), p.145.</w:t>
      </w:r>
    </w:p>
    <w:p w14:paraId="32B467B9" w14:textId="77777777" w:rsidR="009F7A3D" w:rsidRDefault="00000000">
      <w:pPr>
        <w:spacing w:before="0"/>
        <w:rPr>
          <w:rFonts w:ascii="Arial" w:eastAsia="Arial" w:hAnsi="Arial" w:cs="Arial"/>
          <w:sz w:val="22"/>
          <w:szCs w:val="22"/>
        </w:rPr>
      </w:pPr>
      <w:r>
        <w:rPr>
          <w:rFonts w:ascii="Arial" w:eastAsia="Arial" w:hAnsi="Arial" w:cs="Arial"/>
          <w:sz w:val="22"/>
          <w:szCs w:val="22"/>
        </w:rPr>
        <w:t xml:space="preserve">Chiavaroli, L., Lee, D., Ahmed, A., Cheung, A., Khan, T.A., Blanco, S., </w:t>
      </w:r>
      <w:proofErr w:type="spellStart"/>
      <w:r>
        <w:rPr>
          <w:rFonts w:ascii="Arial" w:eastAsia="Arial" w:hAnsi="Arial" w:cs="Arial"/>
          <w:sz w:val="22"/>
          <w:szCs w:val="22"/>
        </w:rPr>
        <w:t>Mirrahimi</w:t>
      </w:r>
      <w:proofErr w:type="spellEnd"/>
      <w:r>
        <w:rPr>
          <w:rFonts w:ascii="Arial" w:eastAsia="Arial" w:hAnsi="Arial" w:cs="Arial"/>
          <w:sz w:val="22"/>
          <w:szCs w:val="22"/>
        </w:rPr>
        <w:t xml:space="preserve">, A., Jenkins, D.J., Livesey, G., Wolever, T.M. and Rahelić, D., (2021). Effect of low glycaemic index or load dietary patterns on glycaemic control and cardiometabolic risk factors in diabetes: systematic review and meta-analysis of randomised controlled trials. </w:t>
      </w:r>
      <w:proofErr w:type="spellStart"/>
      <w:r>
        <w:rPr>
          <w:rFonts w:ascii="Arial" w:eastAsia="Arial" w:hAnsi="Arial" w:cs="Arial"/>
          <w:i/>
          <w:iCs/>
          <w:sz w:val="22"/>
          <w:szCs w:val="22"/>
        </w:rPr>
        <w:t>Bmj</w:t>
      </w:r>
      <w:proofErr w:type="spellEnd"/>
      <w:r>
        <w:rPr>
          <w:rFonts w:ascii="Arial" w:eastAsia="Arial" w:hAnsi="Arial" w:cs="Arial"/>
          <w:sz w:val="22"/>
          <w:szCs w:val="22"/>
        </w:rPr>
        <w:t xml:space="preserve">, </w:t>
      </w:r>
      <w:r>
        <w:rPr>
          <w:rFonts w:ascii="Arial" w:eastAsia="Arial" w:hAnsi="Arial" w:cs="Arial"/>
          <w:i/>
          <w:iCs/>
          <w:sz w:val="22"/>
          <w:szCs w:val="22"/>
        </w:rPr>
        <w:t>374</w:t>
      </w:r>
      <w:r>
        <w:rPr>
          <w:rFonts w:ascii="Arial" w:eastAsia="Arial" w:hAnsi="Arial" w:cs="Arial"/>
          <w:sz w:val="22"/>
          <w:szCs w:val="22"/>
        </w:rPr>
        <w:t>.</w:t>
      </w:r>
    </w:p>
    <w:p w14:paraId="4DFC041D" w14:textId="77777777" w:rsidR="009F7A3D" w:rsidRDefault="00000000">
      <w:pPr>
        <w:spacing w:before="0"/>
        <w:rPr>
          <w:rFonts w:ascii="Arial" w:eastAsia="Arial" w:hAnsi="Arial" w:cs="Arial"/>
          <w:sz w:val="22"/>
          <w:szCs w:val="22"/>
        </w:rPr>
      </w:pPr>
      <w:r>
        <w:rPr>
          <w:rFonts w:ascii="Arial" w:eastAsia="Arial" w:hAnsi="Arial" w:cs="Arial"/>
          <w:sz w:val="22"/>
          <w:szCs w:val="22"/>
        </w:rPr>
        <w:t xml:space="preserve">Eberle, C. and </w:t>
      </w:r>
      <w:proofErr w:type="spellStart"/>
      <w:r>
        <w:rPr>
          <w:rFonts w:ascii="Arial" w:eastAsia="Arial" w:hAnsi="Arial" w:cs="Arial"/>
          <w:sz w:val="22"/>
          <w:szCs w:val="22"/>
        </w:rPr>
        <w:t>Stichling</w:t>
      </w:r>
      <w:proofErr w:type="spellEnd"/>
      <w:r>
        <w:rPr>
          <w:rFonts w:ascii="Arial" w:eastAsia="Arial" w:hAnsi="Arial" w:cs="Arial"/>
          <w:sz w:val="22"/>
          <w:szCs w:val="22"/>
        </w:rPr>
        <w:t xml:space="preserve">, S., (2021). Impact of COVID-19 lockdown on </w:t>
      </w:r>
      <w:proofErr w:type="spellStart"/>
      <w:r>
        <w:rPr>
          <w:rFonts w:ascii="Arial" w:eastAsia="Arial" w:hAnsi="Arial" w:cs="Arial"/>
          <w:sz w:val="22"/>
          <w:szCs w:val="22"/>
        </w:rPr>
        <w:t>glycemic</w:t>
      </w:r>
      <w:proofErr w:type="spellEnd"/>
      <w:r>
        <w:rPr>
          <w:rFonts w:ascii="Arial" w:eastAsia="Arial" w:hAnsi="Arial" w:cs="Arial"/>
          <w:sz w:val="22"/>
          <w:szCs w:val="22"/>
        </w:rPr>
        <w:t xml:space="preserve"> control in patients with type 1 and type 2 diabetes mellitus: a systematic review. </w:t>
      </w:r>
      <w:r>
        <w:rPr>
          <w:rFonts w:ascii="Arial" w:eastAsia="Arial" w:hAnsi="Arial" w:cs="Arial"/>
          <w:i/>
          <w:iCs/>
          <w:sz w:val="22"/>
          <w:szCs w:val="22"/>
        </w:rPr>
        <w:t>Diabetology &amp; metabolic syndrome</w:t>
      </w:r>
      <w:r>
        <w:rPr>
          <w:rFonts w:ascii="Arial" w:eastAsia="Arial" w:hAnsi="Arial" w:cs="Arial"/>
          <w:sz w:val="22"/>
          <w:szCs w:val="22"/>
        </w:rPr>
        <w:t xml:space="preserve">, </w:t>
      </w:r>
      <w:r>
        <w:rPr>
          <w:rFonts w:ascii="Arial" w:eastAsia="Arial" w:hAnsi="Arial" w:cs="Arial"/>
          <w:i/>
          <w:iCs/>
          <w:sz w:val="22"/>
          <w:szCs w:val="22"/>
        </w:rPr>
        <w:t>13</w:t>
      </w:r>
      <w:r>
        <w:rPr>
          <w:rFonts w:ascii="Arial" w:eastAsia="Arial" w:hAnsi="Arial" w:cs="Arial"/>
          <w:sz w:val="22"/>
          <w:szCs w:val="22"/>
        </w:rPr>
        <w:t>(1), p.95.</w:t>
      </w:r>
    </w:p>
    <w:p w14:paraId="5836B98E" w14:textId="77777777" w:rsidR="009F7A3D" w:rsidRDefault="00000000">
      <w:pPr>
        <w:spacing w:before="0"/>
        <w:rPr>
          <w:rFonts w:ascii="Arial" w:eastAsia="Arial" w:hAnsi="Arial" w:cs="Arial"/>
          <w:sz w:val="22"/>
          <w:szCs w:val="22"/>
        </w:rPr>
      </w:pPr>
      <w:r>
        <w:rPr>
          <w:rFonts w:ascii="Arial" w:eastAsia="Arial" w:hAnsi="Arial" w:cs="Arial"/>
          <w:sz w:val="22"/>
          <w:szCs w:val="22"/>
        </w:rPr>
        <w:t xml:space="preserve">Farooqi, A., Gillies, C., </w:t>
      </w:r>
      <w:proofErr w:type="spellStart"/>
      <w:r>
        <w:rPr>
          <w:rFonts w:ascii="Arial" w:eastAsia="Arial" w:hAnsi="Arial" w:cs="Arial"/>
          <w:sz w:val="22"/>
          <w:szCs w:val="22"/>
        </w:rPr>
        <w:t>Sathanapally</w:t>
      </w:r>
      <w:proofErr w:type="spellEnd"/>
      <w:r>
        <w:rPr>
          <w:rFonts w:ascii="Arial" w:eastAsia="Arial" w:hAnsi="Arial" w:cs="Arial"/>
          <w:sz w:val="22"/>
          <w:szCs w:val="22"/>
        </w:rPr>
        <w:t xml:space="preserve">, H., Abner, S., Seidu, S., Davies, M.J., Polonsky, W.H. and </w:t>
      </w:r>
      <w:proofErr w:type="spellStart"/>
      <w:r>
        <w:rPr>
          <w:rFonts w:ascii="Arial" w:eastAsia="Arial" w:hAnsi="Arial" w:cs="Arial"/>
          <w:sz w:val="22"/>
          <w:szCs w:val="22"/>
        </w:rPr>
        <w:t>Khunti</w:t>
      </w:r>
      <w:proofErr w:type="spellEnd"/>
      <w:r>
        <w:rPr>
          <w:rFonts w:ascii="Arial" w:eastAsia="Arial" w:hAnsi="Arial" w:cs="Arial"/>
          <w:sz w:val="22"/>
          <w:szCs w:val="22"/>
        </w:rPr>
        <w:t xml:space="preserve">, K., (2022). A systematic review and meta-analysis to compare the prevalence of depression between people with and without type 1 and type 2 diabetes. </w:t>
      </w:r>
      <w:r>
        <w:rPr>
          <w:rFonts w:ascii="Arial" w:eastAsia="Arial" w:hAnsi="Arial" w:cs="Arial"/>
          <w:i/>
          <w:iCs/>
          <w:sz w:val="22"/>
          <w:szCs w:val="22"/>
        </w:rPr>
        <w:t>Primary Care Diabetes</w:t>
      </w:r>
      <w:r>
        <w:rPr>
          <w:rFonts w:ascii="Arial" w:eastAsia="Arial" w:hAnsi="Arial" w:cs="Arial"/>
          <w:sz w:val="22"/>
          <w:szCs w:val="22"/>
        </w:rPr>
        <w:t xml:space="preserve">, </w:t>
      </w:r>
      <w:r>
        <w:rPr>
          <w:rFonts w:ascii="Arial" w:eastAsia="Arial" w:hAnsi="Arial" w:cs="Arial"/>
          <w:i/>
          <w:iCs/>
          <w:sz w:val="22"/>
          <w:szCs w:val="22"/>
        </w:rPr>
        <w:t>16</w:t>
      </w:r>
      <w:r>
        <w:rPr>
          <w:rFonts w:ascii="Arial" w:eastAsia="Arial" w:hAnsi="Arial" w:cs="Arial"/>
          <w:sz w:val="22"/>
          <w:szCs w:val="22"/>
        </w:rPr>
        <w:t>(1), pp.1-10.</w:t>
      </w:r>
    </w:p>
    <w:p w14:paraId="46796170" w14:textId="77777777" w:rsidR="009F7A3D" w:rsidRDefault="00000000">
      <w:pPr>
        <w:spacing w:before="0"/>
        <w:rPr>
          <w:rFonts w:ascii="Arial" w:eastAsia="Arial" w:hAnsi="Arial" w:cs="Arial"/>
          <w:sz w:val="22"/>
          <w:szCs w:val="22"/>
        </w:rPr>
      </w:pPr>
      <w:r>
        <w:rPr>
          <w:rFonts w:ascii="Arial" w:eastAsia="Arial" w:hAnsi="Arial" w:cs="Arial"/>
          <w:sz w:val="22"/>
          <w:szCs w:val="22"/>
        </w:rPr>
        <w:lastRenderedPageBreak/>
        <w:t xml:space="preserve">Gregory, J.M., Slaughter, J.C., Duffus, S.H., Smith, T.J., LeStourgeon, L.M., Jaser, S.S., McCoy, A.B., Luther, J.M., Giovannetti, E.R., Boeder, S. and Pettus, J.H., (2021). COVID-19 severity is tripled in the diabetes community: a prospective analysis of the pandemic’s impact in type 1 and type 2 diabetes. </w:t>
      </w:r>
      <w:r>
        <w:rPr>
          <w:rFonts w:ascii="Arial" w:eastAsia="Arial" w:hAnsi="Arial" w:cs="Arial"/>
          <w:i/>
          <w:iCs/>
          <w:sz w:val="22"/>
          <w:szCs w:val="22"/>
        </w:rPr>
        <w:t>Diabetes care</w:t>
      </w:r>
      <w:r>
        <w:rPr>
          <w:rFonts w:ascii="Arial" w:eastAsia="Arial" w:hAnsi="Arial" w:cs="Arial"/>
          <w:sz w:val="22"/>
          <w:szCs w:val="22"/>
        </w:rPr>
        <w:t xml:space="preserve">, </w:t>
      </w:r>
      <w:r>
        <w:rPr>
          <w:rFonts w:ascii="Arial" w:eastAsia="Arial" w:hAnsi="Arial" w:cs="Arial"/>
          <w:i/>
          <w:iCs/>
          <w:sz w:val="22"/>
          <w:szCs w:val="22"/>
        </w:rPr>
        <w:t>44</w:t>
      </w:r>
      <w:r>
        <w:rPr>
          <w:rFonts w:ascii="Arial" w:eastAsia="Arial" w:hAnsi="Arial" w:cs="Arial"/>
          <w:sz w:val="22"/>
          <w:szCs w:val="22"/>
        </w:rPr>
        <w:t>(2), pp.526-532.</w:t>
      </w:r>
    </w:p>
    <w:p w14:paraId="399BF242" w14:textId="77777777" w:rsidR="009F7A3D" w:rsidRDefault="00000000">
      <w:pPr>
        <w:spacing w:before="0"/>
        <w:rPr>
          <w:rFonts w:ascii="Arial" w:eastAsia="Arial" w:hAnsi="Arial" w:cs="Arial"/>
          <w:sz w:val="22"/>
          <w:szCs w:val="22"/>
        </w:rPr>
      </w:pPr>
      <w:proofErr w:type="spellStart"/>
      <w:r>
        <w:rPr>
          <w:rFonts w:ascii="Arial" w:eastAsia="Arial" w:hAnsi="Arial" w:cs="Arial"/>
          <w:sz w:val="22"/>
          <w:szCs w:val="22"/>
        </w:rPr>
        <w:t>Hinneh</w:t>
      </w:r>
      <w:proofErr w:type="spellEnd"/>
      <w:r>
        <w:rPr>
          <w:rFonts w:ascii="Arial" w:eastAsia="Arial" w:hAnsi="Arial" w:cs="Arial"/>
          <w:sz w:val="22"/>
          <w:szCs w:val="22"/>
        </w:rPr>
        <w:t xml:space="preserve">, T., Boakye, H., </w:t>
      </w:r>
      <w:proofErr w:type="spellStart"/>
      <w:r>
        <w:rPr>
          <w:rFonts w:ascii="Arial" w:eastAsia="Arial" w:hAnsi="Arial" w:cs="Arial"/>
          <w:sz w:val="22"/>
          <w:szCs w:val="22"/>
        </w:rPr>
        <w:t>Metlock</w:t>
      </w:r>
      <w:proofErr w:type="spellEnd"/>
      <w:r>
        <w:rPr>
          <w:rFonts w:ascii="Arial" w:eastAsia="Arial" w:hAnsi="Arial" w:cs="Arial"/>
          <w:sz w:val="22"/>
          <w:szCs w:val="22"/>
        </w:rPr>
        <w:t xml:space="preserve">, F., </w:t>
      </w:r>
      <w:proofErr w:type="spellStart"/>
      <w:r>
        <w:rPr>
          <w:rFonts w:ascii="Arial" w:eastAsia="Arial" w:hAnsi="Arial" w:cs="Arial"/>
          <w:sz w:val="22"/>
          <w:szCs w:val="22"/>
        </w:rPr>
        <w:t>Ogungbe</w:t>
      </w:r>
      <w:proofErr w:type="spellEnd"/>
      <w:r>
        <w:rPr>
          <w:rFonts w:ascii="Arial" w:eastAsia="Arial" w:hAnsi="Arial" w:cs="Arial"/>
          <w:sz w:val="22"/>
          <w:szCs w:val="22"/>
        </w:rPr>
        <w:t xml:space="preserve">, O., </w:t>
      </w:r>
      <w:proofErr w:type="spellStart"/>
      <w:r>
        <w:rPr>
          <w:rFonts w:ascii="Arial" w:eastAsia="Arial" w:hAnsi="Arial" w:cs="Arial"/>
          <w:sz w:val="22"/>
          <w:szCs w:val="22"/>
        </w:rPr>
        <w:t>Kruahong</w:t>
      </w:r>
      <w:proofErr w:type="spellEnd"/>
      <w:r>
        <w:rPr>
          <w:rFonts w:ascii="Arial" w:eastAsia="Arial" w:hAnsi="Arial" w:cs="Arial"/>
          <w:sz w:val="22"/>
          <w:szCs w:val="22"/>
        </w:rPr>
        <w:t xml:space="preserve">, S., </w:t>
      </w:r>
      <w:proofErr w:type="spellStart"/>
      <w:r>
        <w:rPr>
          <w:rFonts w:ascii="Arial" w:eastAsia="Arial" w:hAnsi="Arial" w:cs="Arial"/>
          <w:sz w:val="22"/>
          <w:szCs w:val="22"/>
        </w:rPr>
        <w:t>Byiringiro</w:t>
      </w:r>
      <w:proofErr w:type="spellEnd"/>
      <w:r>
        <w:rPr>
          <w:rFonts w:ascii="Arial" w:eastAsia="Arial" w:hAnsi="Arial" w:cs="Arial"/>
          <w:sz w:val="22"/>
          <w:szCs w:val="22"/>
        </w:rPr>
        <w:t xml:space="preserve">, S., Dennison Himmelfarb, C. and Commodore-Mensah, Y., (2024). Effectiveness of team-based care interventions in improving blood pressure outcomes among adults with hypertension in Africa: a systematic review and meta-analysis. </w:t>
      </w:r>
      <w:r>
        <w:rPr>
          <w:rFonts w:ascii="Arial" w:eastAsia="Arial" w:hAnsi="Arial" w:cs="Arial"/>
          <w:i/>
          <w:iCs/>
          <w:sz w:val="22"/>
          <w:szCs w:val="22"/>
        </w:rPr>
        <w:t>BMJ open</w:t>
      </w:r>
      <w:r>
        <w:rPr>
          <w:rFonts w:ascii="Arial" w:eastAsia="Arial" w:hAnsi="Arial" w:cs="Arial"/>
          <w:sz w:val="22"/>
          <w:szCs w:val="22"/>
        </w:rPr>
        <w:t xml:space="preserve">, </w:t>
      </w:r>
      <w:r>
        <w:rPr>
          <w:rFonts w:ascii="Arial" w:eastAsia="Arial" w:hAnsi="Arial" w:cs="Arial"/>
          <w:i/>
          <w:iCs/>
          <w:sz w:val="22"/>
          <w:szCs w:val="22"/>
        </w:rPr>
        <w:t>14</w:t>
      </w:r>
      <w:r>
        <w:rPr>
          <w:rFonts w:ascii="Arial" w:eastAsia="Arial" w:hAnsi="Arial" w:cs="Arial"/>
          <w:sz w:val="22"/>
          <w:szCs w:val="22"/>
        </w:rPr>
        <w:t>(7), p.e080987.</w:t>
      </w:r>
    </w:p>
    <w:p w14:paraId="2EA9AF62" w14:textId="77777777" w:rsidR="009F7A3D" w:rsidRDefault="00000000">
      <w:pPr>
        <w:spacing w:before="0"/>
        <w:rPr>
          <w:rFonts w:ascii="Arial" w:eastAsia="Arial" w:hAnsi="Arial" w:cs="Arial"/>
          <w:sz w:val="22"/>
          <w:szCs w:val="22"/>
        </w:rPr>
      </w:pPr>
      <w:r>
        <w:rPr>
          <w:rFonts w:ascii="Arial" w:eastAsia="Arial" w:hAnsi="Arial" w:cs="Arial"/>
          <w:sz w:val="22"/>
          <w:szCs w:val="22"/>
        </w:rPr>
        <w:t xml:space="preserve">Jacob, C., Sezgin, E., Sanchez-Vazquez, A. and Ivory, C., (2022). Sociotechnical factors affecting patients’ adoption of mobile health tools: systematic literature review and narrative synthesis. </w:t>
      </w:r>
      <w:r>
        <w:rPr>
          <w:rFonts w:ascii="Arial" w:eastAsia="Arial" w:hAnsi="Arial" w:cs="Arial"/>
          <w:i/>
          <w:iCs/>
          <w:sz w:val="22"/>
          <w:szCs w:val="22"/>
        </w:rPr>
        <w:t xml:space="preserve">JMIR mHealth and </w:t>
      </w:r>
      <w:proofErr w:type="spellStart"/>
      <w:r>
        <w:rPr>
          <w:rFonts w:ascii="Arial" w:eastAsia="Arial" w:hAnsi="Arial" w:cs="Arial"/>
          <w:i/>
          <w:iCs/>
          <w:sz w:val="22"/>
          <w:szCs w:val="22"/>
        </w:rPr>
        <w:t>uHealth</w:t>
      </w:r>
      <w:proofErr w:type="spellEnd"/>
      <w:r>
        <w:rPr>
          <w:rFonts w:ascii="Arial" w:eastAsia="Arial" w:hAnsi="Arial" w:cs="Arial"/>
          <w:sz w:val="22"/>
          <w:szCs w:val="22"/>
        </w:rPr>
        <w:t xml:space="preserve">, </w:t>
      </w:r>
      <w:r>
        <w:rPr>
          <w:rFonts w:ascii="Arial" w:eastAsia="Arial" w:hAnsi="Arial" w:cs="Arial"/>
          <w:i/>
          <w:iCs/>
          <w:sz w:val="22"/>
          <w:szCs w:val="22"/>
        </w:rPr>
        <w:t>10</w:t>
      </w:r>
      <w:r>
        <w:rPr>
          <w:rFonts w:ascii="Arial" w:eastAsia="Arial" w:hAnsi="Arial" w:cs="Arial"/>
          <w:sz w:val="22"/>
          <w:szCs w:val="22"/>
        </w:rPr>
        <w:t>(5), p.e36284.</w:t>
      </w:r>
    </w:p>
    <w:p w14:paraId="3EBA2189" w14:textId="77777777" w:rsidR="009F7A3D" w:rsidRDefault="00000000">
      <w:pPr>
        <w:spacing w:before="0"/>
        <w:rPr>
          <w:rFonts w:ascii="Arial" w:eastAsia="Arial" w:hAnsi="Arial" w:cs="Arial"/>
          <w:sz w:val="22"/>
          <w:szCs w:val="22"/>
        </w:rPr>
      </w:pPr>
      <w:r>
        <w:rPr>
          <w:rFonts w:ascii="Arial" w:eastAsia="Arial" w:hAnsi="Arial" w:cs="Arial"/>
          <w:sz w:val="22"/>
          <w:szCs w:val="22"/>
        </w:rPr>
        <w:t xml:space="preserve">Laforgia, A., </w:t>
      </w:r>
      <w:proofErr w:type="spellStart"/>
      <w:r>
        <w:rPr>
          <w:rFonts w:ascii="Arial" w:eastAsia="Arial" w:hAnsi="Arial" w:cs="Arial"/>
          <w:sz w:val="22"/>
          <w:szCs w:val="22"/>
        </w:rPr>
        <w:t>Inchingolo</w:t>
      </w:r>
      <w:proofErr w:type="spellEnd"/>
      <w:r>
        <w:rPr>
          <w:rFonts w:ascii="Arial" w:eastAsia="Arial" w:hAnsi="Arial" w:cs="Arial"/>
          <w:sz w:val="22"/>
          <w:szCs w:val="22"/>
        </w:rPr>
        <w:t xml:space="preserve">, A.D., </w:t>
      </w:r>
      <w:proofErr w:type="spellStart"/>
      <w:r>
        <w:rPr>
          <w:rFonts w:ascii="Arial" w:eastAsia="Arial" w:hAnsi="Arial" w:cs="Arial"/>
          <w:sz w:val="22"/>
          <w:szCs w:val="22"/>
        </w:rPr>
        <w:t>Piras</w:t>
      </w:r>
      <w:proofErr w:type="spellEnd"/>
      <w:r>
        <w:rPr>
          <w:rFonts w:ascii="Arial" w:eastAsia="Arial" w:hAnsi="Arial" w:cs="Arial"/>
          <w:sz w:val="22"/>
          <w:szCs w:val="22"/>
        </w:rPr>
        <w:t xml:space="preserve">, F., Colonna, V., Giorgio, R.V., Carone, C., Rapone, B., </w:t>
      </w:r>
      <w:proofErr w:type="spellStart"/>
      <w:r>
        <w:rPr>
          <w:rFonts w:ascii="Arial" w:eastAsia="Arial" w:hAnsi="Arial" w:cs="Arial"/>
          <w:sz w:val="22"/>
          <w:szCs w:val="22"/>
        </w:rPr>
        <w:t>Malcangi</w:t>
      </w:r>
      <w:proofErr w:type="spellEnd"/>
      <w:r>
        <w:rPr>
          <w:rFonts w:ascii="Arial" w:eastAsia="Arial" w:hAnsi="Arial" w:cs="Arial"/>
          <w:sz w:val="22"/>
          <w:szCs w:val="22"/>
        </w:rPr>
        <w:t xml:space="preserve">, G., </w:t>
      </w:r>
      <w:proofErr w:type="spellStart"/>
      <w:r>
        <w:rPr>
          <w:rFonts w:ascii="Arial" w:eastAsia="Arial" w:hAnsi="Arial" w:cs="Arial"/>
          <w:sz w:val="22"/>
          <w:szCs w:val="22"/>
        </w:rPr>
        <w:t>Inchingolo</w:t>
      </w:r>
      <w:proofErr w:type="spellEnd"/>
      <w:r>
        <w:rPr>
          <w:rFonts w:ascii="Arial" w:eastAsia="Arial" w:hAnsi="Arial" w:cs="Arial"/>
          <w:sz w:val="22"/>
          <w:szCs w:val="22"/>
        </w:rPr>
        <w:t xml:space="preserve">, A.M., </w:t>
      </w:r>
      <w:proofErr w:type="spellStart"/>
      <w:r>
        <w:rPr>
          <w:rFonts w:ascii="Arial" w:eastAsia="Arial" w:hAnsi="Arial" w:cs="Arial"/>
          <w:sz w:val="22"/>
          <w:szCs w:val="22"/>
        </w:rPr>
        <w:t>Inchingolo</w:t>
      </w:r>
      <w:proofErr w:type="spellEnd"/>
      <w:r>
        <w:rPr>
          <w:rFonts w:ascii="Arial" w:eastAsia="Arial" w:hAnsi="Arial" w:cs="Arial"/>
          <w:sz w:val="22"/>
          <w:szCs w:val="22"/>
        </w:rPr>
        <w:t xml:space="preserve">, F. and Palermo, A., (2024). Therapeutic strategies and genetic implications for periodontal disease management: a systematic review. </w:t>
      </w:r>
      <w:r>
        <w:rPr>
          <w:rFonts w:ascii="Arial" w:eastAsia="Arial" w:hAnsi="Arial" w:cs="Arial"/>
          <w:i/>
          <w:iCs/>
          <w:sz w:val="22"/>
          <w:szCs w:val="22"/>
        </w:rPr>
        <w:t>International Journal of Molecular Sciences</w:t>
      </w:r>
      <w:r>
        <w:rPr>
          <w:rFonts w:ascii="Arial" w:eastAsia="Arial" w:hAnsi="Arial" w:cs="Arial"/>
          <w:sz w:val="22"/>
          <w:szCs w:val="22"/>
        </w:rPr>
        <w:t xml:space="preserve">, </w:t>
      </w:r>
      <w:r>
        <w:rPr>
          <w:rFonts w:ascii="Arial" w:eastAsia="Arial" w:hAnsi="Arial" w:cs="Arial"/>
          <w:i/>
          <w:iCs/>
          <w:sz w:val="22"/>
          <w:szCs w:val="22"/>
        </w:rPr>
        <w:t>25</w:t>
      </w:r>
      <w:r>
        <w:rPr>
          <w:rFonts w:ascii="Arial" w:eastAsia="Arial" w:hAnsi="Arial" w:cs="Arial"/>
          <w:sz w:val="22"/>
          <w:szCs w:val="22"/>
        </w:rPr>
        <w:t>(13), p.7217.</w:t>
      </w:r>
    </w:p>
    <w:p w14:paraId="05A563EF" w14:textId="77777777" w:rsidR="009F7A3D" w:rsidRDefault="00000000">
      <w:pPr>
        <w:spacing w:before="0"/>
        <w:rPr>
          <w:rFonts w:ascii="Arial" w:eastAsia="Arial" w:hAnsi="Arial" w:cs="Arial"/>
          <w:sz w:val="22"/>
          <w:szCs w:val="22"/>
        </w:rPr>
      </w:pPr>
      <w:r>
        <w:rPr>
          <w:rFonts w:ascii="Arial" w:eastAsia="Arial" w:hAnsi="Arial" w:cs="Arial"/>
          <w:sz w:val="22"/>
          <w:szCs w:val="22"/>
        </w:rPr>
        <w:t xml:space="preserve">Liebl, A., Henrichs, H.R., Heinemann, L., Freckmann, G., Biermann, E. and Thomas, A. (2013). Continuous Glucose Monitoring: Evidence and Consensus Statement for Clinical Use. </w:t>
      </w:r>
      <w:r>
        <w:rPr>
          <w:rFonts w:ascii="Arial" w:eastAsia="Arial" w:hAnsi="Arial" w:cs="Arial"/>
          <w:i/>
          <w:iCs/>
          <w:sz w:val="22"/>
          <w:szCs w:val="22"/>
        </w:rPr>
        <w:t>Journal of Diabetes Science and Technology</w:t>
      </w:r>
      <w:r>
        <w:rPr>
          <w:rFonts w:ascii="Arial" w:eastAsia="Arial" w:hAnsi="Arial" w:cs="Arial"/>
          <w:sz w:val="22"/>
          <w:szCs w:val="22"/>
        </w:rPr>
        <w:t xml:space="preserve">, 7(2), pp.500–519. </w:t>
      </w:r>
      <w:proofErr w:type="spellStart"/>
      <w:r>
        <w:rPr>
          <w:rFonts w:ascii="Arial" w:eastAsia="Arial" w:hAnsi="Arial" w:cs="Arial"/>
          <w:sz w:val="22"/>
          <w:szCs w:val="22"/>
        </w:rPr>
        <w:t>doi</w:t>
      </w:r>
      <w:proofErr w:type="spellEnd"/>
      <w:r>
        <w:rPr>
          <w:rFonts w:ascii="Arial" w:eastAsia="Arial" w:hAnsi="Arial" w:cs="Arial"/>
          <w:sz w:val="22"/>
          <w:szCs w:val="22"/>
        </w:rPr>
        <w:t xml:space="preserve">: </w:t>
      </w:r>
      <w:hyperlink r:id="rId17">
        <w:r w:rsidR="009F7A3D">
          <w:rPr>
            <w:rFonts w:ascii="Arial" w:eastAsia="Arial" w:hAnsi="Arial" w:cs="Arial"/>
            <w:color w:val="1155CC"/>
            <w:sz w:val="22"/>
            <w:szCs w:val="22"/>
            <w:u w:val="single"/>
          </w:rPr>
          <w:t>https://doi.org/10.1177/193229681300700227</w:t>
        </w:r>
      </w:hyperlink>
      <w:r>
        <w:rPr>
          <w:rFonts w:ascii="Arial" w:eastAsia="Arial" w:hAnsi="Arial" w:cs="Arial"/>
          <w:sz w:val="22"/>
          <w:szCs w:val="22"/>
        </w:rPr>
        <w:t xml:space="preserve">. </w:t>
      </w:r>
    </w:p>
    <w:p w14:paraId="34F76F2A" w14:textId="77777777" w:rsidR="009F7A3D" w:rsidRDefault="00000000">
      <w:pPr>
        <w:spacing w:before="0"/>
        <w:rPr>
          <w:rFonts w:ascii="Arial" w:eastAsia="Arial" w:hAnsi="Arial" w:cs="Arial"/>
          <w:sz w:val="22"/>
          <w:szCs w:val="22"/>
        </w:rPr>
      </w:pPr>
      <w:r>
        <w:rPr>
          <w:rFonts w:ascii="Arial" w:eastAsia="Arial" w:hAnsi="Arial" w:cs="Arial"/>
          <w:sz w:val="22"/>
          <w:szCs w:val="22"/>
        </w:rPr>
        <w:t xml:space="preserve">Malhan, S., Öksüz, E., Babineaux, S.M., Ertekin, A. and Palmer, J.P. (2014). Assessment of the Direct Medical Costs of Type 2 Diabetes Mellitus and its Complications in Turkey. </w:t>
      </w:r>
      <w:r>
        <w:rPr>
          <w:rFonts w:ascii="Arial" w:eastAsia="Arial" w:hAnsi="Arial" w:cs="Arial"/>
          <w:i/>
          <w:iCs/>
          <w:sz w:val="22"/>
          <w:szCs w:val="22"/>
        </w:rPr>
        <w:t>Turkish Journal of Endocrinology and Metabolism</w:t>
      </w:r>
      <w:r>
        <w:rPr>
          <w:rFonts w:ascii="Arial" w:eastAsia="Arial" w:hAnsi="Arial" w:cs="Arial"/>
          <w:sz w:val="22"/>
          <w:szCs w:val="22"/>
        </w:rPr>
        <w:t xml:space="preserve">, 18(2), pp.39–43. </w:t>
      </w:r>
      <w:proofErr w:type="spellStart"/>
      <w:r>
        <w:rPr>
          <w:rFonts w:ascii="Arial" w:eastAsia="Arial" w:hAnsi="Arial" w:cs="Arial"/>
          <w:sz w:val="22"/>
          <w:szCs w:val="22"/>
        </w:rPr>
        <w:t>doi</w:t>
      </w:r>
      <w:proofErr w:type="spellEnd"/>
      <w:r>
        <w:rPr>
          <w:rFonts w:ascii="Arial" w:eastAsia="Arial" w:hAnsi="Arial" w:cs="Arial"/>
          <w:sz w:val="22"/>
          <w:szCs w:val="22"/>
        </w:rPr>
        <w:t xml:space="preserve">: </w:t>
      </w:r>
      <w:hyperlink r:id="rId18">
        <w:r w:rsidR="009F7A3D">
          <w:rPr>
            <w:rFonts w:ascii="Arial" w:eastAsia="Arial" w:hAnsi="Arial" w:cs="Arial"/>
            <w:color w:val="1155CC"/>
            <w:sz w:val="22"/>
            <w:szCs w:val="22"/>
            <w:u w:val="single"/>
          </w:rPr>
          <w:t>https://doi.org/10.4274/tjem.2441</w:t>
        </w:r>
      </w:hyperlink>
      <w:r>
        <w:rPr>
          <w:rFonts w:ascii="Arial" w:eastAsia="Arial" w:hAnsi="Arial" w:cs="Arial"/>
          <w:sz w:val="22"/>
          <w:szCs w:val="22"/>
        </w:rPr>
        <w:t xml:space="preserve">. </w:t>
      </w:r>
    </w:p>
    <w:p w14:paraId="13705F99" w14:textId="77777777" w:rsidR="009F7A3D" w:rsidRDefault="00000000">
      <w:pPr>
        <w:spacing w:before="0"/>
        <w:rPr>
          <w:rFonts w:ascii="Arial" w:eastAsia="Arial" w:hAnsi="Arial" w:cs="Arial"/>
          <w:sz w:val="22"/>
          <w:szCs w:val="22"/>
        </w:rPr>
      </w:pPr>
      <w:r>
        <w:rPr>
          <w:rFonts w:ascii="Arial" w:eastAsia="Arial" w:hAnsi="Arial" w:cs="Arial"/>
          <w:sz w:val="22"/>
          <w:szCs w:val="22"/>
        </w:rPr>
        <w:t xml:space="preserve">O'Mahoney, L.L., Routen, A., Gillies, C., Ekezie, W., Welford, A., Zhang, A., Karamchandani, U., Simms-Williams, N., </w:t>
      </w:r>
      <w:proofErr w:type="spellStart"/>
      <w:r>
        <w:rPr>
          <w:rFonts w:ascii="Arial" w:eastAsia="Arial" w:hAnsi="Arial" w:cs="Arial"/>
          <w:sz w:val="22"/>
          <w:szCs w:val="22"/>
        </w:rPr>
        <w:t>Cassambai</w:t>
      </w:r>
      <w:proofErr w:type="spellEnd"/>
      <w:r>
        <w:rPr>
          <w:rFonts w:ascii="Arial" w:eastAsia="Arial" w:hAnsi="Arial" w:cs="Arial"/>
          <w:sz w:val="22"/>
          <w:szCs w:val="22"/>
        </w:rPr>
        <w:t xml:space="preserve">, S., </w:t>
      </w:r>
      <w:proofErr w:type="spellStart"/>
      <w:r>
        <w:rPr>
          <w:rFonts w:ascii="Arial" w:eastAsia="Arial" w:hAnsi="Arial" w:cs="Arial"/>
          <w:sz w:val="22"/>
          <w:szCs w:val="22"/>
        </w:rPr>
        <w:t>Ardavani</w:t>
      </w:r>
      <w:proofErr w:type="spellEnd"/>
      <w:r>
        <w:rPr>
          <w:rFonts w:ascii="Arial" w:eastAsia="Arial" w:hAnsi="Arial" w:cs="Arial"/>
          <w:sz w:val="22"/>
          <w:szCs w:val="22"/>
        </w:rPr>
        <w:t xml:space="preserve">, A. and Wilkinson, T.J., (2023). The prevalence and long-term health effects of Long Covid among hospitalised and non-hospitalised populations: A systematic review and meta-analysis. </w:t>
      </w:r>
      <w:proofErr w:type="spellStart"/>
      <w:r>
        <w:rPr>
          <w:rFonts w:ascii="Arial" w:eastAsia="Arial" w:hAnsi="Arial" w:cs="Arial"/>
          <w:i/>
          <w:iCs/>
          <w:sz w:val="22"/>
          <w:szCs w:val="22"/>
        </w:rPr>
        <w:t>EClinicalMedicine</w:t>
      </w:r>
      <w:proofErr w:type="spellEnd"/>
      <w:r>
        <w:rPr>
          <w:rFonts w:ascii="Arial" w:eastAsia="Arial" w:hAnsi="Arial" w:cs="Arial"/>
          <w:sz w:val="22"/>
          <w:szCs w:val="22"/>
        </w:rPr>
        <w:t xml:space="preserve">, </w:t>
      </w:r>
      <w:r>
        <w:rPr>
          <w:rFonts w:ascii="Arial" w:eastAsia="Arial" w:hAnsi="Arial" w:cs="Arial"/>
          <w:i/>
          <w:iCs/>
          <w:sz w:val="22"/>
          <w:szCs w:val="22"/>
        </w:rPr>
        <w:t>55</w:t>
      </w:r>
      <w:r>
        <w:rPr>
          <w:rFonts w:ascii="Arial" w:eastAsia="Arial" w:hAnsi="Arial" w:cs="Arial"/>
          <w:sz w:val="22"/>
          <w:szCs w:val="22"/>
        </w:rPr>
        <w:t>.</w:t>
      </w:r>
    </w:p>
    <w:p w14:paraId="5910330B" w14:textId="77777777" w:rsidR="009F7A3D" w:rsidRDefault="00000000">
      <w:pPr>
        <w:shd w:val="clear" w:color="auto" w:fill="FFFFFF"/>
        <w:spacing w:before="0"/>
        <w:jc w:val="left"/>
        <w:rPr>
          <w:rFonts w:ascii="Arial" w:eastAsia="Arial" w:hAnsi="Arial" w:cs="Arial"/>
          <w:color w:val="2E2E2E"/>
          <w:sz w:val="22"/>
          <w:szCs w:val="22"/>
        </w:rPr>
      </w:pPr>
      <w:r>
        <w:rPr>
          <w:rFonts w:ascii="Arial" w:eastAsia="Arial" w:hAnsi="Arial" w:cs="Arial"/>
          <w:sz w:val="22"/>
          <w:szCs w:val="22"/>
        </w:rPr>
        <w:t xml:space="preserve">Ong K, Stafford L, McLaughlin S </w:t>
      </w:r>
      <w:r>
        <w:rPr>
          <w:rFonts w:ascii="Arial" w:eastAsia="Arial" w:hAnsi="Arial" w:cs="Arial"/>
          <w:i/>
          <w:iCs/>
          <w:sz w:val="22"/>
          <w:szCs w:val="22"/>
        </w:rPr>
        <w:t>et al</w:t>
      </w:r>
      <w:r>
        <w:rPr>
          <w:rFonts w:ascii="Arial" w:eastAsia="Arial" w:hAnsi="Arial" w:cs="Arial"/>
          <w:sz w:val="22"/>
          <w:szCs w:val="22"/>
        </w:rPr>
        <w:t xml:space="preserve">., Global, regional, and national burden of diabetes from 1990 to 2021, with projections of prevalence to 2050: a systematic analysis for the Global Burden of Disease Study 2021. The Lancet, 2023; 402, 203-234. </w:t>
      </w:r>
      <w:hyperlink r:id="rId19">
        <w:r w:rsidR="009F7A3D">
          <w:rPr>
            <w:rFonts w:ascii="Arial" w:eastAsia="Arial" w:hAnsi="Arial" w:cs="Arial"/>
            <w:color w:val="1155CC"/>
            <w:sz w:val="22"/>
            <w:szCs w:val="22"/>
            <w:u w:val="single"/>
          </w:rPr>
          <w:t>https://www.thelancet.com/article/S0140-6736%2823%2901301-6/fulltext</w:t>
        </w:r>
      </w:hyperlink>
      <w:r>
        <w:rPr>
          <w:rFonts w:ascii="Arial" w:eastAsia="Arial" w:hAnsi="Arial" w:cs="Arial"/>
          <w:color w:val="2E2E2E"/>
          <w:sz w:val="22"/>
          <w:szCs w:val="22"/>
        </w:rPr>
        <w:t xml:space="preserve"> </w:t>
      </w:r>
    </w:p>
    <w:p w14:paraId="5D830B41" w14:textId="77777777" w:rsidR="009F7A3D" w:rsidRDefault="00000000">
      <w:pPr>
        <w:spacing w:before="0"/>
        <w:rPr>
          <w:rFonts w:ascii="Arial" w:eastAsia="Arial" w:hAnsi="Arial" w:cs="Arial"/>
          <w:sz w:val="22"/>
          <w:szCs w:val="22"/>
        </w:rPr>
      </w:pPr>
      <w:r>
        <w:rPr>
          <w:rFonts w:ascii="Arial" w:eastAsia="Arial" w:hAnsi="Arial" w:cs="Arial"/>
          <w:sz w:val="22"/>
          <w:szCs w:val="22"/>
        </w:rPr>
        <w:lastRenderedPageBreak/>
        <w:t xml:space="preserve">Quattrin, T., Mastrandrea, L.D. and Walker, L.S., (2023). Type 1 diabetes. </w:t>
      </w:r>
      <w:r>
        <w:rPr>
          <w:rFonts w:ascii="Arial" w:eastAsia="Arial" w:hAnsi="Arial" w:cs="Arial"/>
          <w:i/>
          <w:iCs/>
          <w:sz w:val="22"/>
          <w:szCs w:val="22"/>
        </w:rPr>
        <w:t>The Lancet</w:t>
      </w:r>
      <w:r>
        <w:rPr>
          <w:rFonts w:ascii="Arial" w:eastAsia="Arial" w:hAnsi="Arial" w:cs="Arial"/>
          <w:sz w:val="22"/>
          <w:szCs w:val="22"/>
        </w:rPr>
        <w:t xml:space="preserve">, </w:t>
      </w:r>
      <w:r>
        <w:rPr>
          <w:rFonts w:ascii="Arial" w:eastAsia="Arial" w:hAnsi="Arial" w:cs="Arial"/>
          <w:i/>
          <w:iCs/>
          <w:sz w:val="22"/>
          <w:szCs w:val="22"/>
        </w:rPr>
        <w:t>401</w:t>
      </w:r>
      <w:r>
        <w:rPr>
          <w:rFonts w:ascii="Arial" w:eastAsia="Arial" w:hAnsi="Arial" w:cs="Arial"/>
          <w:sz w:val="22"/>
          <w:szCs w:val="22"/>
        </w:rPr>
        <w:t>(10394), pp.2149-2162.</w:t>
      </w:r>
    </w:p>
    <w:p w14:paraId="0753A9CA" w14:textId="77777777" w:rsidR="009F7A3D" w:rsidRDefault="00000000">
      <w:pPr>
        <w:spacing w:before="0"/>
        <w:rPr>
          <w:rFonts w:ascii="Arial" w:eastAsia="Arial" w:hAnsi="Arial" w:cs="Arial"/>
          <w:sz w:val="22"/>
          <w:szCs w:val="22"/>
        </w:rPr>
      </w:pPr>
      <w:bookmarkStart w:id="32" w:name="_heading=h.wlc3vy1xbbd8" w:colFirst="0" w:colLast="0"/>
      <w:bookmarkEnd w:id="32"/>
      <w:proofErr w:type="spellStart"/>
      <w:r>
        <w:rPr>
          <w:rFonts w:ascii="Arial" w:eastAsia="Arial" w:hAnsi="Arial" w:cs="Arial"/>
          <w:sz w:val="22"/>
          <w:szCs w:val="22"/>
        </w:rPr>
        <w:t>Regeer</w:t>
      </w:r>
      <w:proofErr w:type="spellEnd"/>
      <w:r>
        <w:rPr>
          <w:rFonts w:ascii="Arial" w:eastAsia="Arial" w:hAnsi="Arial" w:cs="Arial"/>
          <w:sz w:val="22"/>
          <w:szCs w:val="22"/>
        </w:rPr>
        <w:t xml:space="preserve">, H., van </w:t>
      </w:r>
      <w:proofErr w:type="spellStart"/>
      <w:r>
        <w:rPr>
          <w:rFonts w:ascii="Arial" w:eastAsia="Arial" w:hAnsi="Arial" w:cs="Arial"/>
          <w:sz w:val="22"/>
          <w:szCs w:val="22"/>
        </w:rPr>
        <w:t>Empelen</w:t>
      </w:r>
      <w:proofErr w:type="spellEnd"/>
      <w:r>
        <w:rPr>
          <w:rFonts w:ascii="Arial" w:eastAsia="Arial" w:hAnsi="Arial" w:cs="Arial"/>
          <w:sz w:val="22"/>
          <w:szCs w:val="22"/>
        </w:rPr>
        <w:t xml:space="preserve">, P., Bilo, H.J., de Koning, E.J. and Huisman, S.D., (2022). Change is possible: How increased patient activation is associated with </w:t>
      </w:r>
      <w:proofErr w:type="spellStart"/>
      <w:r>
        <w:rPr>
          <w:rFonts w:ascii="Arial" w:eastAsia="Arial" w:hAnsi="Arial" w:cs="Arial"/>
          <w:sz w:val="22"/>
          <w:szCs w:val="22"/>
        </w:rPr>
        <w:t>favorable</w:t>
      </w:r>
      <w:proofErr w:type="spellEnd"/>
      <w:r>
        <w:rPr>
          <w:rFonts w:ascii="Arial" w:eastAsia="Arial" w:hAnsi="Arial" w:cs="Arial"/>
          <w:sz w:val="22"/>
          <w:szCs w:val="22"/>
        </w:rPr>
        <w:t xml:space="preserve"> changes in well-being, self-management and health outcomes among people with type 2 diabetes mellitus: A prospective longitudinal study. </w:t>
      </w:r>
      <w:r>
        <w:rPr>
          <w:rFonts w:ascii="Arial" w:eastAsia="Arial" w:hAnsi="Arial" w:cs="Arial"/>
          <w:i/>
          <w:iCs/>
          <w:sz w:val="22"/>
          <w:szCs w:val="22"/>
        </w:rPr>
        <w:t xml:space="preserve">Patient Education and </w:t>
      </w:r>
      <w:proofErr w:type="spellStart"/>
      <w:r>
        <w:rPr>
          <w:rFonts w:ascii="Arial" w:eastAsia="Arial" w:hAnsi="Arial" w:cs="Arial"/>
          <w:i/>
          <w:iCs/>
          <w:sz w:val="22"/>
          <w:szCs w:val="22"/>
        </w:rPr>
        <w:t>Counseling</w:t>
      </w:r>
      <w:proofErr w:type="spellEnd"/>
      <w:r>
        <w:rPr>
          <w:rFonts w:ascii="Arial" w:eastAsia="Arial" w:hAnsi="Arial" w:cs="Arial"/>
          <w:sz w:val="22"/>
          <w:szCs w:val="22"/>
        </w:rPr>
        <w:t xml:space="preserve">, </w:t>
      </w:r>
      <w:r>
        <w:rPr>
          <w:rFonts w:ascii="Arial" w:eastAsia="Arial" w:hAnsi="Arial" w:cs="Arial"/>
          <w:i/>
          <w:iCs/>
          <w:sz w:val="22"/>
          <w:szCs w:val="22"/>
        </w:rPr>
        <w:t>105</w:t>
      </w:r>
      <w:r>
        <w:rPr>
          <w:rFonts w:ascii="Arial" w:eastAsia="Arial" w:hAnsi="Arial" w:cs="Arial"/>
          <w:sz w:val="22"/>
          <w:szCs w:val="22"/>
        </w:rPr>
        <w:t>(4), pp.821-827.</w:t>
      </w:r>
    </w:p>
    <w:p w14:paraId="2FA55073" w14:textId="77777777" w:rsidR="009F7A3D" w:rsidRDefault="00000000">
      <w:pPr>
        <w:spacing w:before="0"/>
        <w:rPr>
          <w:rFonts w:ascii="Arial" w:eastAsia="Arial" w:hAnsi="Arial" w:cs="Arial"/>
          <w:sz w:val="22"/>
          <w:szCs w:val="22"/>
        </w:rPr>
      </w:pPr>
      <w:r>
        <w:rPr>
          <w:rFonts w:ascii="Arial" w:eastAsia="Arial" w:hAnsi="Arial" w:cs="Arial"/>
          <w:sz w:val="22"/>
          <w:szCs w:val="22"/>
        </w:rPr>
        <w:t xml:space="preserve">Rodríguez-Muñoz, A., María José Picón-César, </w:t>
      </w:r>
      <w:proofErr w:type="spellStart"/>
      <w:r>
        <w:rPr>
          <w:rFonts w:ascii="Arial" w:eastAsia="Arial" w:hAnsi="Arial" w:cs="Arial"/>
          <w:sz w:val="22"/>
          <w:szCs w:val="22"/>
        </w:rPr>
        <w:t>Tinahones</w:t>
      </w:r>
      <w:proofErr w:type="spellEnd"/>
      <w:r>
        <w:rPr>
          <w:rFonts w:ascii="Arial" w:eastAsia="Arial" w:hAnsi="Arial" w:cs="Arial"/>
          <w:sz w:val="22"/>
          <w:szCs w:val="22"/>
        </w:rPr>
        <w:t xml:space="preserve">, F.J. and José Ignacio Martínez-Montoro (2024). Type 1 diabetes-related distress: Current implications in care. </w:t>
      </w:r>
      <w:r>
        <w:rPr>
          <w:rFonts w:ascii="Arial" w:eastAsia="Arial" w:hAnsi="Arial" w:cs="Arial"/>
          <w:i/>
          <w:iCs/>
          <w:sz w:val="22"/>
          <w:szCs w:val="22"/>
        </w:rPr>
        <w:t>European journal of internal medicine</w:t>
      </w:r>
      <w:r>
        <w:rPr>
          <w:rFonts w:ascii="Arial" w:eastAsia="Arial" w:hAnsi="Arial" w:cs="Arial"/>
          <w:sz w:val="22"/>
          <w:szCs w:val="22"/>
        </w:rPr>
        <w:t xml:space="preserve">. </w:t>
      </w:r>
      <w:proofErr w:type="spellStart"/>
      <w:r>
        <w:rPr>
          <w:rFonts w:ascii="Arial" w:eastAsia="Arial" w:hAnsi="Arial" w:cs="Arial"/>
          <w:sz w:val="22"/>
          <w:szCs w:val="22"/>
        </w:rPr>
        <w:t>doi</w:t>
      </w:r>
      <w:proofErr w:type="spellEnd"/>
      <w:r>
        <w:rPr>
          <w:rFonts w:ascii="Arial" w:eastAsia="Arial" w:hAnsi="Arial" w:cs="Arial"/>
          <w:sz w:val="22"/>
          <w:szCs w:val="22"/>
        </w:rPr>
        <w:t xml:space="preserve">: </w:t>
      </w:r>
      <w:hyperlink r:id="rId20">
        <w:r w:rsidR="009F7A3D">
          <w:rPr>
            <w:rFonts w:ascii="Arial" w:eastAsia="Arial" w:hAnsi="Arial" w:cs="Arial"/>
            <w:color w:val="1155CC"/>
            <w:sz w:val="22"/>
            <w:szCs w:val="22"/>
            <w:u w:val="single"/>
          </w:rPr>
          <w:t>https://doi.org/10.1016/j.ejim.2024.03.030</w:t>
        </w:r>
      </w:hyperlink>
      <w:r>
        <w:rPr>
          <w:rFonts w:ascii="Arial" w:eastAsia="Arial" w:hAnsi="Arial" w:cs="Arial"/>
          <w:sz w:val="22"/>
          <w:szCs w:val="22"/>
        </w:rPr>
        <w:t xml:space="preserve">. </w:t>
      </w:r>
    </w:p>
    <w:p w14:paraId="740C09BD" w14:textId="77777777" w:rsidR="009F7A3D" w:rsidRDefault="00000000">
      <w:pPr>
        <w:spacing w:before="0"/>
        <w:rPr>
          <w:rFonts w:ascii="Arial" w:eastAsia="Arial" w:hAnsi="Arial" w:cs="Arial"/>
          <w:sz w:val="22"/>
          <w:szCs w:val="22"/>
        </w:rPr>
      </w:pPr>
      <w:r>
        <w:rPr>
          <w:rFonts w:ascii="Arial" w:eastAsia="Arial" w:hAnsi="Arial" w:cs="Arial"/>
          <w:sz w:val="22"/>
          <w:szCs w:val="22"/>
        </w:rPr>
        <w:t xml:space="preserve">Shiel, E.V., Hemingway, S., Burton, K. and King, N., (2023). Self-management of type 1 diabetes in young adults: Is it impeded by aspects of everyday life? A scoping review. </w:t>
      </w:r>
      <w:r>
        <w:rPr>
          <w:rFonts w:ascii="Arial" w:eastAsia="Arial" w:hAnsi="Arial" w:cs="Arial"/>
          <w:i/>
          <w:iCs/>
          <w:sz w:val="22"/>
          <w:szCs w:val="22"/>
        </w:rPr>
        <w:t>Diabetes &amp; Metabolic Syndrome: Clinical Research &amp; Reviews</w:t>
      </w:r>
      <w:r>
        <w:rPr>
          <w:rFonts w:ascii="Arial" w:eastAsia="Arial" w:hAnsi="Arial" w:cs="Arial"/>
          <w:sz w:val="22"/>
          <w:szCs w:val="22"/>
        </w:rPr>
        <w:t xml:space="preserve">, </w:t>
      </w:r>
      <w:r>
        <w:rPr>
          <w:rFonts w:ascii="Arial" w:eastAsia="Arial" w:hAnsi="Arial" w:cs="Arial"/>
          <w:i/>
          <w:iCs/>
          <w:sz w:val="22"/>
          <w:szCs w:val="22"/>
        </w:rPr>
        <w:t>17</w:t>
      </w:r>
      <w:r>
        <w:rPr>
          <w:rFonts w:ascii="Arial" w:eastAsia="Arial" w:hAnsi="Arial" w:cs="Arial"/>
          <w:sz w:val="22"/>
          <w:szCs w:val="22"/>
        </w:rPr>
        <w:t>(12), p.102918.</w:t>
      </w:r>
    </w:p>
    <w:p w14:paraId="0CDEA02F" w14:textId="77777777" w:rsidR="009F7A3D" w:rsidRDefault="00000000">
      <w:pPr>
        <w:spacing w:before="0"/>
        <w:rPr>
          <w:rFonts w:ascii="Arial" w:eastAsia="Arial" w:hAnsi="Arial" w:cs="Arial"/>
          <w:sz w:val="22"/>
          <w:szCs w:val="22"/>
        </w:rPr>
      </w:pPr>
      <w:r>
        <w:rPr>
          <w:rFonts w:ascii="Arial" w:eastAsia="Arial" w:hAnsi="Arial" w:cs="Arial"/>
          <w:sz w:val="22"/>
          <w:szCs w:val="22"/>
        </w:rPr>
        <w:t xml:space="preserve">Song, K. and Lee, A., (2021). Factors influencing the effective management of diabetes during humanitarian crises in low-and middle-income countries: a systematic review. </w:t>
      </w:r>
      <w:r>
        <w:rPr>
          <w:rFonts w:ascii="Arial" w:eastAsia="Arial" w:hAnsi="Arial" w:cs="Arial"/>
          <w:i/>
          <w:iCs/>
          <w:sz w:val="22"/>
          <w:szCs w:val="22"/>
        </w:rPr>
        <w:t>Public Health</w:t>
      </w:r>
      <w:r>
        <w:rPr>
          <w:rFonts w:ascii="Arial" w:eastAsia="Arial" w:hAnsi="Arial" w:cs="Arial"/>
          <w:sz w:val="22"/>
          <w:szCs w:val="22"/>
        </w:rPr>
        <w:t xml:space="preserve">, </w:t>
      </w:r>
      <w:r>
        <w:rPr>
          <w:rFonts w:ascii="Arial" w:eastAsia="Arial" w:hAnsi="Arial" w:cs="Arial"/>
          <w:i/>
          <w:iCs/>
          <w:sz w:val="22"/>
          <w:szCs w:val="22"/>
        </w:rPr>
        <w:t>199</w:t>
      </w:r>
      <w:r>
        <w:rPr>
          <w:rFonts w:ascii="Arial" w:eastAsia="Arial" w:hAnsi="Arial" w:cs="Arial"/>
          <w:sz w:val="22"/>
          <w:szCs w:val="22"/>
        </w:rPr>
        <w:t>, pp.110-117.</w:t>
      </w:r>
    </w:p>
    <w:p w14:paraId="53B3DCC0" w14:textId="77777777" w:rsidR="009F7A3D" w:rsidRDefault="00000000">
      <w:pPr>
        <w:spacing w:before="0"/>
        <w:rPr>
          <w:rFonts w:ascii="Arial" w:eastAsia="Arial" w:hAnsi="Arial" w:cs="Arial"/>
          <w:sz w:val="22"/>
          <w:szCs w:val="22"/>
        </w:rPr>
      </w:pPr>
      <w:r>
        <w:rPr>
          <w:rFonts w:ascii="Arial" w:eastAsia="Arial" w:hAnsi="Arial" w:cs="Arial"/>
          <w:sz w:val="22"/>
          <w:szCs w:val="22"/>
        </w:rPr>
        <w:t xml:space="preserve">Sze May Ng and Soni, A. (2023). Ten-year review of trends in children with type 1 diabetes in England and Wales. </w:t>
      </w:r>
      <w:r>
        <w:rPr>
          <w:rFonts w:ascii="Arial" w:eastAsia="Arial" w:hAnsi="Arial" w:cs="Arial"/>
          <w:i/>
          <w:iCs/>
          <w:sz w:val="22"/>
          <w:szCs w:val="22"/>
        </w:rPr>
        <w:t>World Journal of Diabetes</w:t>
      </w:r>
      <w:r>
        <w:rPr>
          <w:rFonts w:ascii="Arial" w:eastAsia="Arial" w:hAnsi="Arial" w:cs="Arial"/>
          <w:sz w:val="22"/>
          <w:szCs w:val="22"/>
        </w:rPr>
        <w:t xml:space="preserve">, [online] 14(8), pp.1194–1201. </w:t>
      </w:r>
      <w:proofErr w:type="spellStart"/>
      <w:r>
        <w:rPr>
          <w:rFonts w:ascii="Arial" w:eastAsia="Arial" w:hAnsi="Arial" w:cs="Arial"/>
          <w:sz w:val="22"/>
          <w:szCs w:val="22"/>
        </w:rPr>
        <w:t>doi</w:t>
      </w:r>
      <w:proofErr w:type="spellEnd"/>
      <w:r>
        <w:rPr>
          <w:rFonts w:ascii="Arial" w:eastAsia="Arial" w:hAnsi="Arial" w:cs="Arial"/>
          <w:sz w:val="22"/>
          <w:szCs w:val="22"/>
        </w:rPr>
        <w:t xml:space="preserve">: </w:t>
      </w:r>
      <w:hyperlink r:id="rId21">
        <w:r w:rsidR="009F7A3D">
          <w:rPr>
            <w:rFonts w:ascii="Arial" w:eastAsia="Arial" w:hAnsi="Arial" w:cs="Arial"/>
            <w:color w:val="1155CC"/>
            <w:sz w:val="22"/>
            <w:szCs w:val="22"/>
            <w:u w:val="single"/>
          </w:rPr>
          <w:t>https://doi.org/10.4239/wjd.v14.i8.1194</w:t>
        </w:r>
      </w:hyperlink>
      <w:r>
        <w:rPr>
          <w:rFonts w:ascii="Arial" w:eastAsia="Arial" w:hAnsi="Arial" w:cs="Arial"/>
          <w:sz w:val="22"/>
          <w:szCs w:val="22"/>
        </w:rPr>
        <w:t xml:space="preserve">. </w:t>
      </w:r>
    </w:p>
    <w:p w14:paraId="36289C00" w14:textId="77777777" w:rsidR="009F7A3D" w:rsidRDefault="00000000">
      <w:pPr>
        <w:spacing w:before="0"/>
        <w:rPr>
          <w:rFonts w:ascii="Arial" w:eastAsia="Arial" w:hAnsi="Arial" w:cs="Arial"/>
          <w:sz w:val="22"/>
          <w:szCs w:val="22"/>
        </w:rPr>
      </w:pPr>
      <w:r>
        <w:rPr>
          <w:rFonts w:ascii="Arial" w:eastAsia="Arial" w:hAnsi="Arial" w:cs="Arial"/>
          <w:sz w:val="22"/>
          <w:szCs w:val="22"/>
        </w:rPr>
        <w:t xml:space="preserve">Xiong, S., Lu, H., Peoples, N., Duman, E.K., Najarro, A., Ni, Z., Gong, E., Yin, R., </w:t>
      </w:r>
      <w:proofErr w:type="spellStart"/>
      <w:r>
        <w:rPr>
          <w:rFonts w:ascii="Arial" w:eastAsia="Arial" w:hAnsi="Arial" w:cs="Arial"/>
          <w:sz w:val="22"/>
          <w:szCs w:val="22"/>
        </w:rPr>
        <w:t>Ostbye</w:t>
      </w:r>
      <w:proofErr w:type="spellEnd"/>
      <w:r>
        <w:rPr>
          <w:rFonts w:ascii="Arial" w:eastAsia="Arial" w:hAnsi="Arial" w:cs="Arial"/>
          <w:sz w:val="22"/>
          <w:szCs w:val="22"/>
        </w:rPr>
        <w:t xml:space="preserve">, T., Palileo-Villanueva, L.M. and Doma, R., (2023). Digital health interventions for non-communicable disease management in primary health care in low-and middle-income countries. </w:t>
      </w:r>
      <w:r>
        <w:rPr>
          <w:rFonts w:ascii="Arial" w:eastAsia="Arial" w:hAnsi="Arial" w:cs="Arial"/>
          <w:i/>
          <w:iCs/>
          <w:sz w:val="22"/>
          <w:szCs w:val="22"/>
        </w:rPr>
        <w:t>NPJ Digital Medicine</w:t>
      </w:r>
      <w:r>
        <w:rPr>
          <w:rFonts w:ascii="Arial" w:eastAsia="Arial" w:hAnsi="Arial" w:cs="Arial"/>
          <w:sz w:val="22"/>
          <w:szCs w:val="22"/>
        </w:rPr>
        <w:t xml:space="preserve">, </w:t>
      </w:r>
      <w:r>
        <w:rPr>
          <w:rFonts w:ascii="Arial" w:eastAsia="Arial" w:hAnsi="Arial" w:cs="Arial"/>
          <w:i/>
          <w:iCs/>
          <w:sz w:val="22"/>
          <w:szCs w:val="22"/>
        </w:rPr>
        <w:t>6</w:t>
      </w:r>
      <w:r>
        <w:rPr>
          <w:rFonts w:ascii="Arial" w:eastAsia="Arial" w:hAnsi="Arial" w:cs="Arial"/>
          <w:sz w:val="22"/>
          <w:szCs w:val="22"/>
        </w:rPr>
        <w:t>(1), p.12.</w:t>
      </w:r>
    </w:p>
    <w:p w14:paraId="4EF57534" w14:textId="77777777" w:rsidR="009F7A3D" w:rsidRDefault="00000000">
      <w:pPr>
        <w:spacing w:before="0"/>
        <w:rPr>
          <w:rFonts w:ascii="Arial" w:eastAsia="Arial" w:hAnsi="Arial" w:cs="Arial"/>
          <w:sz w:val="22"/>
          <w:szCs w:val="22"/>
        </w:rPr>
      </w:pPr>
      <w:r>
        <w:rPr>
          <w:rFonts w:ascii="Arial" w:eastAsia="Arial" w:hAnsi="Arial" w:cs="Arial"/>
          <w:sz w:val="22"/>
          <w:szCs w:val="22"/>
        </w:rPr>
        <w:t xml:space="preserve">Zhu, T., </w:t>
      </w:r>
      <w:proofErr w:type="spellStart"/>
      <w:r>
        <w:rPr>
          <w:rFonts w:ascii="Arial" w:eastAsia="Arial" w:hAnsi="Arial" w:cs="Arial"/>
          <w:sz w:val="22"/>
          <w:szCs w:val="22"/>
        </w:rPr>
        <w:t>Uduku</w:t>
      </w:r>
      <w:proofErr w:type="spellEnd"/>
      <w:r>
        <w:rPr>
          <w:rFonts w:ascii="Arial" w:eastAsia="Arial" w:hAnsi="Arial" w:cs="Arial"/>
          <w:sz w:val="22"/>
          <w:szCs w:val="22"/>
        </w:rPr>
        <w:t xml:space="preserve">, C., Li, K., Herrero, P., Oliver, N. and Georgiou, P. (2022). Enhancing self-management in type 1 diabetes with wearables and deep learning. </w:t>
      </w:r>
      <w:proofErr w:type="spellStart"/>
      <w:r>
        <w:rPr>
          <w:rFonts w:ascii="Arial" w:eastAsia="Arial" w:hAnsi="Arial" w:cs="Arial"/>
          <w:i/>
          <w:iCs/>
          <w:sz w:val="22"/>
          <w:szCs w:val="22"/>
        </w:rPr>
        <w:t>npj</w:t>
      </w:r>
      <w:proofErr w:type="spellEnd"/>
      <w:r>
        <w:rPr>
          <w:rFonts w:ascii="Arial" w:eastAsia="Arial" w:hAnsi="Arial" w:cs="Arial"/>
          <w:i/>
          <w:iCs/>
          <w:sz w:val="22"/>
          <w:szCs w:val="22"/>
        </w:rPr>
        <w:t xml:space="preserve"> Digital Medicine</w:t>
      </w:r>
      <w:r>
        <w:rPr>
          <w:rFonts w:ascii="Arial" w:eastAsia="Arial" w:hAnsi="Arial" w:cs="Arial"/>
          <w:sz w:val="22"/>
          <w:szCs w:val="22"/>
        </w:rPr>
        <w:t xml:space="preserve">, [online] 5(1), pp.1–11. </w:t>
      </w:r>
      <w:proofErr w:type="spellStart"/>
      <w:r>
        <w:rPr>
          <w:rFonts w:ascii="Arial" w:eastAsia="Arial" w:hAnsi="Arial" w:cs="Arial"/>
          <w:sz w:val="22"/>
          <w:szCs w:val="22"/>
        </w:rPr>
        <w:t>doi</w:t>
      </w:r>
      <w:proofErr w:type="spellEnd"/>
      <w:r>
        <w:rPr>
          <w:rFonts w:ascii="Arial" w:eastAsia="Arial" w:hAnsi="Arial" w:cs="Arial"/>
          <w:sz w:val="22"/>
          <w:szCs w:val="22"/>
        </w:rPr>
        <w:t xml:space="preserve">: </w:t>
      </w:r>
      <w:hyperlink r:id="rId22">
        <w:r w:rsidR="009F7A3D">
          <w:rPr>
            <w:rFonts w:ascii="Arial" w:eastAsia="Arial" w:hAnsi="Arial" w:cs="Arial"/>
            <w:color w:val="1155CC"/>
            <w:sz w:val="22"/>
            <w:szCs w:val="22"/>
            <w:u w:val="single"/>
          </w:rPr>
          <w:t>https://doi.org/10.1038/s41746-022-00626-5</w:t>
        </w:r>
      </w:hyperlink>
      <w:r>
        <w:rPr>
          <w:rFonts w:ascii="Arial" w:eastAsia="Arial" w:hAnsi="Arial" w:cs="Arial"/>
          <w:sz w:val="22"/>
          <w:szCs w:val="22"/>
        </w:rPr>
        <w:t xml:space="preserve">. </w:t>
      </w:r>
    </w:p>
    <w:sectPr w:rsidR="009F7A3D" w:rsidSect="00393B58">
      <w:footerReference w:type="default" r:id="rId2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D304D" w14:textId="77777777" w:rsidR="00184348" w:rsidRDefault="00184348">
      <w:pPr>
        <w:spacing w:before="0" w:after="0" w:line="240" w:lineRule="auto"/>
      </w:pPr>
      <w:r>
        <w:separator/>
      </w:r>
    </w:p>
  </w:endnote>
  <w:endnote w:type="continuationSeparator" w:id="0">
    <w:p w14:paraId="1E7E61F7" w14:textId="77777777" w:rsidR="00184348" w:rsidRDefault="0018434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C28FC738-1F16-40D6-A387-A068A5427F8E}"/>
  </w:font>
  <w:font w:name="Calibri">
    <w:panose1 w:val="020F0502020204030204"/>
    <w:charset w:val="00"/>
    <w:family w:val="swiss"/>
    <w:pitch w:val="variable"/>
    <w:sig w:usb0="E4002EFF" w:usb1="C200247B" w:usb2="00000009" w:usb3="00000000" w:csb0="000001FF" w:csb1="00000000"/>
    <w:embedRegular r:id="rId2" w:fontKey="{ACE12992-E3F5-49D0-A40F-ADF7AFF74E6A}"/>
  </w:font>
  <w:font w:name="Vrinda">
    <w:panose1 w:val="00000400000000000000"/>
    <w:charset w:val="00"/>
    <w:family w:val="swiss"/>
    <w:pitch w:val="variable"/>
    <w:sig w:usb0="00010003" w:usb1="00000000" w:usb2="00000000" w:usb3="00000000" w:csb0="00000001" w:csb1="00000000"/>
    <w:embedRegular r:id="rId3" w:fontKey="{57581748-8E7E-4483-B364-819EF5DA1DC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95A1C" w14:textId="77777777" w:rsidR="009F7A3D" w:rsidRDefault="00000000">
    <w:pPr>
      <w:pBdr>
        <w:top w:val="nil"/>
        <w:left w:val="nil"/>
        <w:bottom w:val="nil"/>
        <w:right w:val="nil"/>
        <w:between w:val="nil"/>
      </w:pBdr>
      <w:tabs>
        <w:tab w:val="center" w:pos="4513"/>
        <w:tab w:val="right" w:pos="9026"/>
      </w:tabs>
      <w:spacing w:before="0" w:after="0" w:line="240" w:lineRule="auto"/>
      <w:jc w:val="right"/>
      <w:rPr>
        <w:color w:val="000000"/>
      </w:rPr>
    </w:pPr>
    <w:r>
      <w:rPr>
        <w:color w:val="000000"/>
      </w:rPr>
      <w:fldChar w:fldCharType="begin"/>
    </w:r>
    <w:r>
      <w:rPr>
        <w:color w:val="000000"/>
      </w:rPr>
      <w:instrText>PAGE</w:instrText>
    </w:r>
    <w:r>
      <w:rPr>
        <w:color w:val="000000"/>
      </w:rPr>
      <w:fldChar w:fldCharType="separate"/>
    </w:r>
    <w:r w:rsidR="00A95F69">
      <w:rPr>
        <w:noProof/>
        <w:color w:val="000000"/>
      </w:rPr>
      <w:t>1</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22F0F7" w14:textId="77777777" w:rsidR="00184348" w:rsidRDefault="00184348">
      <w:pPr>
        <w:spacing w:before="0" w:after="0" w:line="240" w:lineRule="auto"/>
      </w:pPr>
      <w:r>
        <w:separator/>
      </w:r>
    </w:p>
  </w:footnote>
  <w:footnote w:type="continuationSeparator" w:id="0">
    <w:p w14:paraId="05D3D081" w14:textId="77777777" w:rsidR="00184348" w:rsidRDefault="0018434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B45A0F"/>
    <w:multiLevelType w:val="multilevel"/>
    <w:tmpl w:val="DDF0CD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9194370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7A3D"/>
    <w:rsid w:val="000442B8"/>
    <w:rsid w:val="00184348"/>
    <w:rsid w:val="001A4A9D"/>
    <w:rsid w:val="00367EB8"/>
    <w:rsid w:val="00393B58"/>
    <w:rsid w:val="004274C2"/>
    <w:rsid w:val="006B5B34"/>
    <w:rsid w:val="009F7A3D"/>
    <w:rsid w:val="00A95F69"/>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B84F5"/>
  <w15:docId w15:val="{774F0F34-04C8-42F3-AC3B-A76D11E3A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highlight w:val="white"/>
        <w:lang w:val="en-GB" w:eastAsia="en-IN" w:bidi="bn-IN"/>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120" w:after="120"/>
      <w:outlineLvl w:val="0"/>
    </w:pPr>
    <w:rPr>
      <w:rFonts w:ascii="Arial" w:eastAsia="Arial" w:hAnsi="Arial" w:cs="Arial"/>
      <w:b/>
      <w:bCs/>
      <w:color w:val="000000"/>
      <w:sz w:val="28"/>
      <w:szCs w:val="28"/>
    </w:rPr>
  </w:style>
  <w:style w:type="paragraph" w:styleId="Heading2">
    <w:name w:val="heading 2"/>
    <w:basedOn w:val="Normal"/>
    <w:next w:val="Normal"/>
    <w:uiPriority w:val="9"/>
    <w:unhideWhenUsed/>
    <w:qFormat/>
    <w:pPr>
      <w:keepNext/>
      <w:keepLines/>
      <w:spacing w:before="120" w:after="120"/>
      <w:outlineLvl w:val="1"/>
    </w:pPr>
    <w:rPr>
      <w:rFonts w:ascii="Arial" w:eastAsia="Arial" w:hAnsi="Arial" w:cs="Arial"/>
      <w:b/>
      <w:bCs/>
      <w:color w:val="000000"/>
      <w:sz w:val="26"/>
      <w:szCs w:val="26"/>
    </w:rPr>
  </w:style>
  <w:style w:type="paragraph" w:styleId="Heading3">
    <w:name w:val="heading 3"/>
    <w:basedOn w:val="Normal"/>
    <w:next w:val="Normal"/>
    <w:uiPriority w:val="9"/>
    <w:unhideWhenUsed/>
    <w:qFormat/>
    <w:pPr>
      <w:keepNext/>
      <w:keepLines/>
      <w:spacing w:after="40"/>
      <w:outlineLvl w:val="2"/>
    </w:pPr>
    <w:rPr>
      <w:b/>
      <w:bCs/>
      <w:color w:val="000000"/>
    </w:rPr>
  </w:style>
  <w:style w:type="paragraph" w:styleId="Heading4">
    <w:name w:val="heading 4"/>
    <w:basedOn w:val="Normal"/>
    <w:next w:val="Normal"/>
    <w:uiPriority w:val="9"/>
    <w:unhideWhenUsed/>
    <w:qFormat/>
    <w:pPr>
      <w:keepNext/>
      <w:keepLines/>
      <w:jc w:val="center"/>
      <w:outlineLvl w:val="3"/>
    </w:pPr>
    <w:rPr>
      <w:b/>
      <w:bCs/>
      <w:i/>
      <w:iCs/>
      <w:color w:val="020817"/>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0"/>
    <w:pPr>
      <w:spacing w:before="0"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doi.org/10.4274/tjem.2441" TargetMode="External"/><Relationship Id="rId3" Type="http://schemas.openxmlformats.org/officeDocument/2006/relationships/styles" Target="styles.xml"/><Relationship Id="rId21" Type="http://schemas.openxmlformats.org/officeDocument/2006/relationships/hyperlink" Target="https://doi.org/10.4239/wjd.v14.i8.1194"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177/193229681300700227"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016/j.eclinm.2021.101186" TargetMode="External"/><Relationship Id="rId20" Type="http://schemas.openxmlformats.org/officeDocument/2006/relationships/hyperlink" Target="https://doi.org/10.1016/j.ejim.2024.03.03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thelancet.com/article/S0140-6736%2823%2901301-6/fulltex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1038/s41746-022-00626-5"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X5s3gN1GID7bMxyRMzFLjYEmlA==">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Pages>
  <Words>3998</Words>
  <Characters>22794</Characters>
  <Application>Microsoft Office Word</Application>
  <DocSecurity>0</DocSecurity>
  <Lines>189</Lines>
  <Paragraphs>53</Paragraphs>
  <ScaleCrop>false</ScaleCrop>
  <Company/>
  <LinksUpToDate>false</LinksUpToDate>
  <CharactersWithSpaces>26739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Kashyap Kanasara</cp:lastModifiedBy>
  <cp:revision>7</cp:revision>
  <dcterms:created xsi:type="dcterms:W3CDTF">2026-04-21T09:19:00Z</dcterms:created>
  <dcterms:modified xsi:type="dcterms:W3CDTF">2026-04-21T11:19:00Z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8c04fea1-4bf0-46fa-98a6-144c27e539b1</vt:lpwstr>
  </property>
</Properties>
</file>