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9D28B4" w14:textId="77777777" w:rsidR="003508AC" w:rsidRDefault="003508AC" w:rsidP="00C11890">
      <w:pPr>
        <w:spacing w:line="360" w:lineRule="auto"/>
        <w:rPr>
          <w:rFonts w:ascii="Times New Roman" w:hAnsi="Times New Roman" w:cs="Times New Roman"/>
          <w:sz w:val="32"/>
          <w:szCs w:val="32"/>
        </w:rPr>
      </w:pPr>
    </w:p>
    <w:p w14:paraId="7C93143D" w14:textId="35A6F044" w:rsidR="003508AC" w:rsidRDefault="008C3988" w:rsidP="008C3988">
      <w:pPr>
        <w:spacing w:line="360" w:lineRule="auto"/>
        <w:jc w:val="center"/>
        <w:rPr>
          <w:rFonts w:ascii="Times New Roman" w:hAnsi="Times New Roman" w:cs="Times New Roman"/>
          <w:b/>
          <w:bCs/>
          <w:sz w:val="32"/>
          <w:szCs w:val="32"/>
        </w:rPr>
      </w:pPr>
      <w:r w:rsidRPr="008C3988">
        <w:rPr>
          <w:rFonts w:ascii="Times New Roman" w:hAnsi="Times New Roman" w:cs="Times New Roman"/>
          <w:b/>
          <w:bCs/>
          <w:sz w:val="32"/>
          <w:szCs w:val="32"/>
        </w:rPr>
        <w:t>The separation of powers theory</w:t>
      </w:r>
      <w:r w:rsidR="000F4A89">
        <w:rPr>
          <w:rFonts w:ascii="Times New Roman" w:hAnsi="Times New Roman" w:cs="Times New Roman"/>
          <w:b/>
          <w:bCs/>
          <w:sz w:val="32"/>
          <w:szCs w:val="32"/>
        </w:rPr>
        <w:t xml:space="preserve"> </w:t>
      </w:r>
      <w:r w:rsidR="00370D99">
        <w:rPr>
          <w:rFonts w:ascii="Times New Roman" w:hAnsi="Times New Roman" w:cs="Times New Roman"/>
          <w:b/>
          <w:bCs/>
          <w:sz w:val="32"/>
          <w:szCs w:val="32"/>
        </w:rPr>
        <w:t xml:space="preserve">in the </w:t>
      </w:r>
      <w:r w:rsidR="000F4A89">
        <w:rPr>
          <w:rFonts w:ascii="Times New Roman" w:hAnsi="Times New Roman" w:cs="Times New Roman"/>
          <w:b/>
          <w:bCs/>
          <w:sz w:val="32"/>
          <w:szCs w:val="32"/>
        </w:rPr>
        <w:t>U</w:t>
      </w:r>
      <w:r w:rsidR="00370D99">
        <w:rPr>
          <w:rFonts w:ascii="Times New Roman" w:hAnsi="Times New Roman" w:cs="Times New Roman"/>
          <w:b/>
          <w:bCs/>
          <w:sz w:val="32"/>
          <w:szCs w:val="32"/>
        </w:rPr>
        <w:t xml:space="preserve">nited </w:t>
      </w:r>
      <w:r w:rsidR="000F4A89">
        <w:rPr>
          <w:rFonts w:ascii="Times New Roman" w:hAnsi="Times New Roman" w:cs="Times New Roman"/>
          <w:b/>
          <w:bCs/>
          <w:sz w:val="32"/>
          <w:szCs w:val="32"/>
        </w:rPr>
        <w:t>K</w:t>
      </w:r>
      <w:r w:rsidR="00370D99">
        <w:rPr>
          <w:rFonts w:ascii="Times New Roman" w:hAnsi="Times New Roman" w:cs="Times New Roman"/>
          <w:b/>
          <w:bCs/>
          <w:sz w:val="32"/>
          <w:szCs w:val="32"/>
        </w:rPr>
        <w:t>ingdom (UK)</w:t>
      </w:r>
      <w:r w:rsidR="000F4A89">
        <w:rPr>
          <w:rFonts w:ascii="Times New Roman" w:hAnsi="Times New Roman" w:cs="Times New Roman"/>
          <w:b/>
          <w:bCs/>
          <w:sz w:val="32"/>
          <w:szCs w:val="32"/>
        </w:rPr>
        <w:t xml:space="preserve"> </w:t>
      </w:r>
    </w:p>
    <w:p w14:paraId="0C39C2E1" w14:textId="77777777" w:rsidR="008C3988" w:rsidRDefault="008C3988" w:rsidP="008C3988">
      <w:pPr>
        <w:spacing w:line="360" w:lineRule="auto"/>
        <w:jc w:val="center"/>
        <w:rPr>
          <w:rFonts w:ascii="Times New Roman" w:hAnsi="Times New Roman" w:cs="Times New Roman"/>
          <w:b/>
          <w:bCs/>
          <w:sz w:val="32"/>
          <w:szCs w:val="32"/>
        </w:rPr>
      </w:pPr>
    </w:p>
    <w:p w14:paraId="5582F512" w14:textId="77777777" w:rsidR="00370D99" w:rsidRDefault="00370D99" w:rsidP="008C3988">
      <w:pPr>
        <w:spacing w:line="360" w:lineRule="auto"/>
        <w:jc w:val="center"/>
        <w:rPr>
          <w:rFonts w:ascii="Times New Roman" w:hAnsi="Times New Roman" w:cs="Times New Roman"/>
          <w:b/>
          <w:bCs/>
          <w:sz w:val="32"/>
          <w:szCs w:val="32"/>
        </w:rPr>
      </w:pPr>
    </w:p>
    <w:p w14:paraId="5CD20D2F" w14:textId="77777777" w:rsidR="00370D99" w:rsidRDefault="00370D99" w:rsidP="008C3988">
      <w:pPr>
        <w:spacing w:line="360" w:lineRule="auto"/>
        <w:jc w:val="center"/>
        <w:rPr>
          <w:rFonts w:ascii="Times New Roman" w:hAnsi="Times New Roman" w:cs="Times New Roman"/>
          <w:b/>
          <w:bCs/>
          <w:sz w:val="32"/>
          <w:szCs w:val="32"/>
        </w:rPr>
      </w:pPr>
    </w:p>
    <w:p w14:paraId="0F17110B" w14:textId="77777777" w:rsidR="00370D99" w:rsidRDefault="00370D99" w:rsidP="008C3988">
      <w:pPr>
        <w:spacing w:line="360" w:lineRule="auto"/>
        <w:jc w:val="center"/>
        <w:rPr>
          <w:rFonts w:ascii="Times New Roman" w:hAnsi="Times New Roman" w:cs="Times New Roman"/>
          <w:b/>
          <w:bCs/>
          <w:sz w:val="32"/>
          <w:szCs w:val="32"/>
        </w:rPr>
      </w:pPr>
    </w:p>
    <w:p w14:paraId="1F65B672" w14:textId="77777777" w:rsidR="00370D99" w:rsidRDefault="00370D99" w:rsidP="008C3988">
      <w:pPr>
        <w:spacing w:line="360" w:lineRule="auto"/>
        <w:jc w:val="center"/>
        <w:rPr>
          <w:rFonts w:ascii="Times New Roman" w:hAnsi="Times New Roman" w:cs="Times New Roman"/>
          <w:b/>
          <w:bCs/>
          <w:sz w:val="32"/>
          <w:szCs w:val="32"/>
        </w:rPr>
      </w:pPr>
    </w:p>
    <w:p w14:paraId="69846A95" w14:textId="77777777" w:rsidR="00370D99" w:rsidRDefault="00370D99" w:rsidP="008C3988">
      <w:pPr>
        <w:spacing w:line="360" w:lineRule="auto"/>
        <w:jc w:val="center"/>
        <w:rPr>
          <w:rFonts w:ascii="Times New Roman" w:hAnsi="Times New Roman" w:cs="Times New Roman"/>
          <w:b/>
          <w:bCs/>
          <w:sz w:val="32"/>
          <w:szCs w:val="32"/>
        </w:rPr>
      </w:pPr>
    </w:p>
    <w:p w14:paraId="768DBB9C" w14:textId="1C14EAE7" w:rsidR="00B907D8" w:rsidRDefault="00B907D8" w:rsidP="008C3988">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Denise Jones </w:t>
      </w:r>
    </w:p>
    <w:p w14:paraId="70AB467B" w14:textId="427AA80C" w:rsidR="000B1B1C" w:rsidRDefault="00B21906" w:rsidP="008C3988">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Student no 24058</w:t>
      </w:r>
      <w:r w:rsidR="007D3D49">
        <w:rPr>
          <w:rFonts w:ascii="Times New Roman" w:hAnsi="Times New Roman" w:cs="Times New Roman"/>
          <w:b/>
          <w:bCs/>
          <w:sz w:val="32"/>
          <w:szCs w:val="32"/>
        </w:rPr>
        <w:t>45.</w:t>
      </w:r>
    </w:p>
    <w:p w14:paraId="7B403079" w14:textId="77777777" w:rsidR="007D3D49" w:rsidRDefault="007D3D49" w:rsidP="008C3988">
      <w:pPr>
        <w:spacing w:line="360" w:lineRule="auto"/>
        <w:jc w:val="center"/>
        <w:rPr>
          <w:rFonts w:ascii="Times New Roman" w:hAnsi="Times New Roman" w:cs="Times New Roman"/>
          <w:b/>
          <w:bCs/>
          <w:sz w:val="32"/>
          <w:szCs w:val="32"/>
        </w:rPr>
      </w:pPr>
    </w:p>
    <w:p w14:paraId="0E973162" w14:textId="54E6FACC" w:rsidR="007D3D49" w:rsidRPr="008C3988" w:rsidRDefault="007D3D49" w:rsidP="008C3988">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BW</w:t>
      </w:r>
      <w:r w:rsidR="000F4A89">
        <w:rPr>
          <w:rFonts w:ascii="Times New Roman" w:hAnsi="Times New Roman" w:cs="Times New Roman"/>
          <w:b/>
          <w:bCs/>
          <w:sz w:val="32"/>
          <w:szCs w:val="32"/>
        </w:rPr>
        <w:t>LW</w:t>
      </w:r>
      <w:r w:rsidR="006C360C">
        <w:rPr>
          <w:rFonts w:ascii="Times New Roman" w:hAnsi="Times New Roman" w:cs="Times New Roman"/>
          <w:b/>
          <w:bCs/>
          <w:sz w:val="32"/>
          <w:szCs w:val="32"/>
        </w:rPr>
        <w:t xml:space="preserve">4012. </w:t>
      </w:r>
    </w:p>
    <w:p w14:paraId="294229DE" w14:textId="77777777" w:rsidR="008C3988" w:rsidRDefault="008C3988" w:rsidP="00C11890">
      <w:pPr>
        <w:spacing w:line="360" w:lineRule="auto"/>
        <w:rPr>
          <w:rFonts w:ascii="Times New Roman" w:hAnsi="Times New Roman" w:cs="Times New Roman"/>
          <w:sz w:val="32"/>
          <w:szCs w:val="32"/>
        </w:rPr>
      </w:pPr>
    </w:p>
    <w:p w14:paraId="23ABF0B4" w14:textId="77777777" w:rsidR="008C3988" w:rsidRDefault="008C3988" w:rsidP="00C11890">
      <w:pPr>
        <w:spacing w:line="360" w:lineRule="auto"/>
        <w:rPr>
          <w:rFonts w:ascii="Times New Roman" w:hAnsi="Times New Roman" w:cs="Times New Roman"/>
          <w:sz w:val="32"/>
          <w:szCs w:val="32"/>
        </w:rPr>
      </w:pPr>
    </w:p>
    <w:p w14:paraId="5E96DF16" w14:textId="77777777" w:rsidR="008C3988" w:rsidRDefault="008C3988" w:rsidP="00C11890">
      <w:pPr>
        <w:spacing w:line="360" w:lineRule="auto"/>
        <w:rPr>
          <w:rFonts w:ascii="Times New Roman" w:hAnsi="Times New Roman" w:cs="Times New Roman"/>
          <w:sz w:val="32"/>
          <w:szCs w:val="32"/>
        </w:rPr>
      </w:pPr>
    </w:p>
    <w:p w14:paraId="5F5DD101" w14:textId="77777777" w:rsidR="008C3988" w:rsidRDefault="008C3988" w:rsidP="00C11890">
      <w:pPr>
        <w:spacing w:line="360" w:lineRule="auto"/>
        <w:rPr>
          <w:rFonts w:ascii="Times New Roman" w:hAnsi="Times New Roman" w:cs="Times New Roman"/>
          <w:sz w:val="32"/>
          <w:szCs w:val="32"/>
        </w:rPr>
      </w:pPr>
    </w:p>
    <w:p w14:paraId="71B4FF30" w14:textId="77777777" w:rsidR="008C3988" w:rsidRDefault="008C3988" w:rsidP="00C11890">
      <w:pPr>
        <w:spacing w:line="360" w:lineRule="auto"/>
        <w:rPr>
          <w:rFonts w:ascii="Times New Roman" w:hAnsi="Times New Roman" w:cs="Times New Roman"/>
          <w:sz w:val="32"/>
          <w:szCs w:val="32"/>
        </w:rPr>
      </w:pPr>
    </w:p>
    <w:p w14:paraId="15B3B0D9" w14:textId="77777777" w:rsidR="008C3988" w:rsidRDefault="008C3988" w:rsidP="00C11890">
      <w:pPr>
        <w:spacing w:line="360" w:lineRule="auto"/>
        <w:rPr>
          <w:rFonts w:ascii="Times New Roman" w:hAnsi="Times New Roman" w:cs="Times New Roman"/>
          <w:sz w:val="32"/>
          <w:szCs w:val="32"/>
        </w:rPr>
      </w:pPr>
    </w:p>
    <w:p w14:paraId="3484C8BE" w14:textId="77777777" w:rsidR="008C3988" w:rsidRDefault="008C3988" w:rsidP="00C11890">
      <w:pPr>
        <w:spacing w:line="360" w:lineRule="auto"/>
        <w:rPr>
          <w:rFonts w:ascii="Times New Roman" w:hAnsi="Times New Roman" w:cs="Times New Roman"/>
          <w:sz w:val="32"/>
          <w:szCs w:val="32"/>
        </w:rPr>
      </w:pPr>
    </w:p>
    <w:p w14:paraId="663FD1E9" w14:textId="77777777" w:rsidR="00370D99" w:rsidRDefault="00370D99" w:rsidP="00881B66">
      <w:pPr>
        <w:spacing w:line="360" w:lineRule="auto"/>
        <w:jc w:val="center"/>
        <w:rPr>
          <w:rFonts w:ascii="Times New Roman" w:hAnsi="Times New Roman" w:cs="Times New Roman"/>
          <w:sz w:val="32"/>
          <w:szCs w:val="32"/>
        </w:rPr>
      </w:pPr>
    </w:p>
    <w:p w14:paraId="3EE58350" w14:textId="282BDCA6" w:rsidR="00C11890" w:rsidRPr="00122E2C" w:rsidRDefault="00C11890" w:rsidP="00881B66">
      <w:pPr>
        <w:spacing w:line="360" w:lineRule="auto"/>
        <w:jc w:val="center"/>
        <w:rPr>
          <w:rFonts w:ascii="Times New Roman" w:hAnsi="Times New Roman" w:cs="Times New Roman"/>
          <w:b/>
          <w:bCs/>
        </w:rPr>
      </w:pPr>
      <w:r w:rsidRPr="00122E2C">
        <w:rPr>
          <w:rFonts w:ascii="Times New Roman" w:hAnsi="Times New Roman" w:cs="Times New Roman"/>
          <w:b/>
          <w:bCs/>
        </w:rPr>
        <w:lastRenderedPageBreak/>
        <w:t xml:space="preserve">The separation of powers theory </w:t>
      </w:r>
      <w:r w:rsidR="006C360C" w:rsidRPr="00122E2C">
        <w:rPr>
          <w:rFonts w:ascii="Times New Roman" w:hAnsi="Times New Roman" w:cs="Times New Roman"/>
          <w:b/>
          <w:bCs/>
        </w:rPr>
        <w:t xml:space="preserve">in the </w:t>
      </w:r>
      <w:r w:rsidRPr="00122E2C">
        <w:rPr>
          <w:rFonts w:ascii="Times New Roman" w:hAnsi="Times New Roman" w:cs="Times New Roman"/>
          <w:b/>
          <w:bCs/>
        </w:rPr>
        <w:t>U</w:t>
      </w:r>
      <w:r w:rsidR="00370D99" w:rsidRPr="00122E2C">
        <w:rPr>
          <w:rFonts w:ascii="Times New Roman" w:hAnsi="Times New Roman" w:cs="Times New Roman"/>
          <w:b/>
          <w:bCs/>
        </w:rPr>
        <w:t xml:space="preserve">nited </w:t>
      </w:r>
      <w:r w:rsidRPr="00122E2C">
        <w:rPr>
          <w:rFonts w:ascii="Times New Roman" w:hAnsi="Times New Roman" w:cs="Times New Roman"/>
          <w:b/>
          <w:bCs/>
        </w:rPr>
        <w:t>K</w:t>
      </w:r>
      <w:r w:rsidR="00370D99" w:rsidRPr="00122E2C">
        <w:rPr>
          <w:rFonts w:ascii="Times New Roman" w:hAnsi="Times New Roman" w:cs="Times New Roman"/>
          <w:b/>
          <w:bCs/>
        </w:rPr>
        <w:t>ingdom (UK)</w:t>
      </w:r>
    </w:p>
    <w:p w14:paraId="25CCE039" w14:textId="3CAA0016" w:rsidR="006E11EE" w:rsidRPr="00122E2C" w:rsidRDefault="003508AC" w:rsidP="00B907D8">
      <w:pPr>
        <w:spacing w:line="360" w:lineRule="auto"/>
        <w:rPr>
          <w:rFonts w:ascii="Times New Roman" w:hAnsi="Times New Roman" w:cs="Times New Roman"/>
        </w:rPr>
      </w:pPr>
      <w:r w:rsidRPr="00122E2C">
        <w:rPr>
          <w:rFonts w:ascii="Times New Roman" w:hAnsi="Times New Roman" w:cs="Times New Roman"/>
        </w:rPr>
        <w:t>Introduction</w:t>
      </w:r>
      <w:r w:rsidR="006E11EE" w:rsidRPr="00122E2C">
        <w:rPr>
          <w:rFonts w:ascii="Times New Roman" w:hAnsi="Times New Roman" w:cs="Times New Roman"/>
        </w:rPr>
        <w:t xml:space="preserve"> </w:t>
      </w:r>
    </w:p>
    <w:p w14:paraId="32DC708B" w14:textId="0CA0B0FD" w:rsidR="00C11890" w:rsidRPr="00122E2C" w:rsidRDefault="00AF0757" w:rsidP="00B907D8">
      <w:pPr>
        <w:spacing w:line="360" w:lineRule="auto"/>
        <w:rPr>
          <w:rFonts w:ascii="Times New Roman" w:hAnsi="Times New Roman" w:cs="Times New Roman"/>
        </w:rPr>
      </w:pPr>
      <w:r w:rsidRPr="00122E2C">
        <w:rPr>
          <w:rFonts w:ascii="Times New Roman" w:hAnsi="Times New Roman" w:cs="Times New Roman"/>
        </w:rPr>
        <w:t>Montesquieu</w:t>
      </w:r>
      <w:r w:rsidR="006E11EE" w:rsidRPr="00122E2C">
        <w:rPr>
          <w:rFonts w:ascii="Times New Roman" w:hAnsi="Times New Roman" w:cs="Times New Roman"/>
        </w:rPr>
        <w:t xml:space="preserve"> stated in the </w:t>
      </w:r>
      <w:r w:rsidR="00C11890" w:rsidRPr="00122E2C">
        <w:rPr>
          <w:rFonts w:ascii="Times New Roman" w:hAnsi="Times New Roman" w:cs="Times New Roman"/>
        </w:rPr>
        <w:t>“The Spirit of the Laws” (1948</w:t>
      </w:r>
      <w:r w:rsidR="00AD1DCC" w:rsidRPr="00122E2C">
        <w:rPr>
          <w:rFonts w:ascii="Times New Roman" w:hAnsi="Times New Roman" w:cs="Times New Roman"/>
        </w:rPr>
        <w:t>), that</w:t>
      </w:r>
      <w:r w:rsidR="00C11890" w:rsidRPr="00122E2C">
        <w:rPr>
          <w:rFonts w:ascii="Times New Roman" w:hAnsi="Times New Roman" w:cs="Times New Roman"/>
        </w:rPr>
        <w:t xml:space="preserve"> government functions are divided into legislative, executive, and judicial branches. </w:t>
      </w:r>
      <w:r w:rsidR="00C11890" w:rsidRPr="00122E2C">
        <w:rPr>
          <w:rFonts w:ascii="Times New Roman" w:hAnsi="Times New Roman" w:cs="Times New Roman"/>
          <w:color w:val="000000"/>
        </w:rPr>
        <w:t xml:space="preserve">Legislation: - is responsible for creating laws, The Executive; - implements them, and the Judiciary: - ensures they are applied relatively </w:t>
      </w:r>
      <w:r w:rsidR="00C11890" w:rsidRPr="00122E2C">
        <w:rPr>
          <w:rFonts w:ascii="Times New Roman" w:hAnsi="Times New Roman" w:cs="Times New Roman"/>
        </w:rPr>
        <w:t xml:space="preserve">to prevent tyranny, a fundamental principle in the United Kingdom (UK) government, </w:t>
      </w:r>
      <w:r w:rsidR="007D102A" w:rsidRPr="00122E2C">
        <w:rPr>
          <w:rFonts w:ascii="Times New Roman" w:hAnsi="Times New Roman" w:cs="Times New Roman"/>
        </w:rPr>
        <w:t xml:space="preserve">which was also stated by </w:t>
      </w:r>
      <w:r w:rsidR="00C11890" w:rsidRPr="00122E2C">
        <w:rPr>
          <w:rFonts w:ascii="Times New Roman" w:hAnsi="Times New Roman" w:cs="Times New Roman"/>
        </w:rPr>
        <w:t>Loughlin</w:t>
      </w:r>
      <w:r w:rsidR="00AD1DCC" w:rsidRPr="00122E2C">
        <w:rPr>
          <w:rFonts w:ascii="Times New Roman" w:hAnsi="Times New Roman" w:cs="Times New Roman"/>
        </w:rPr>
        <w:t xml:space="preserve"> </w:t>
      </w:r>
      <w:r w:rsidR="00C11890" w:rsidRPr="00122E2C">
        <w:rPr>
          <w:rFonts w:ascii="Times New Roman" w:hAnsi="Times New Roman" w:cs="Times New Roman"/>
        </w:rPr>
        <w:t>(2013)</w:t>
      </w:r>
      <w:r w:rsidR="00012139" w:rsidRPr="00122E2C">
        <w:rPr>
          <w:rFonts w:ascii="Times New Roman" w:hAnsi="Times New Roman" w:cs="Times New Roman"/>
        </w:rPr>
        <w:t xml:space="preserve">. </w:t>
      </w:r>
      <w:r w:rsidR="00C11890" w:rsidRPr="00122E2C">
        <w:rPr>
          <w:rFonts w:ascii="Times New Roman" w:hAnsi="Times New Roman" w:cs="Times New Roman"/>
        </w:rPr>
        <w:t xml:space="preserve">This principle is designed </w:t>
      </w:r>
      <w:r w:rsidR="006C360C" w:rsidRPr="00122E2C">
        <w:rPr>
          <w:rFonts w:ascii="Times New Roman" w:hAnsi="Times New Roman" w:cs="Times New Roman"/>
        </w:rPr>
        <w:t>to</w:t>
      </w:r>
      <w:r w:rsidR="00C11890" w:rsidRPr="00122E2C">
        <w:rPr>
          <w:rFonts w:ascii="Times New Roman" w:hAnsi="Times New Roman" w:cs="Times New Roman"/>
        </w:rPr>
        <w:t xml:space="preserve"> </w:t>
      </w:r>
      <w:r w:rsidR="00AD1DCC" w:rsidRPr="00122E2C">
        <w:rPr>
          <w:rFonts w:ascii="Times New Roman" w:hAnsi="Times New Roman" w:cs="Times New Roman"/>
        </w:rPr>
        <w:t>prevent any single branch from becoming too powerful</w:t>
      </w:r>
      <w:r w:rsidR="00C11890" w:rsidRPr="00122E2C">
        <w:rPr>
          <w:rFonts w:ascii="Times New Roman" w:hAnsi="Times New Roman" w:cs="Times New Roman"/>
        </w:rPr>
        <w:t>. However, it is still flexible due to its unwritten constitution, which can lead to overlaps. These authorities are divided into three branches: Parliament, the Government, and the Judiciary</w:t>
      </w:r>
      <w:r w:rsidR="00D24ED2" w:rsidRPr="00122E2C">
        <w:rPr>
          <w:rFonts w:ascii="Times New Roman" w:hAnsi="Times New Roman" w:cs="Times New Roman"/>
        </w:rPr>
        <w:t>.</w:t>
      </w:r>
      <w:r w:rsidR="000E3682" w:rsidRPr="00122E2C">
        <w:rPr>
          <w:rFonts w:ascii="Times New Roman" w:hAnsi="Times New Roman" w:cs="Times New Roman"/>
        </w:rPr>
        <w:t xml:space="preserve"> </w:t>
      </w:r>
      <w:r w:rsidR="00D24ED2" w:rsidRPr="00122E2C">
        <w:rPr>
          <w:rFonts w:ascii="Times New Roman" w:hAnsi="Times New Roman" w:cs="Times New Roman"/>
        </w:rPr>
        <w:t>T</w:t>
      </w:r>
      <w:r w:rsidR="0055539C" w:rsidRPr="00122E2C">
        <w:rPr>
          <w:rFonts w:ascii="Times New Roman" w:hAnsi="Times New Roman" w:cs="Times New Roman"/>
        </w:rPr>
        <w:t>his</w:t>
      </w:r>
      <w:r w:rsidR="00C11890" w:rsidRPr="00122E2C">
        <w:rPr>
          <w:rFonts w:ascii="Times New Roman" w:hAnsi="Times New Roman" w:cs="Times New Roman"/>
        </w:rPr>
        <w:t xml:space="preserve"> assignment examines the principles and how the Constitutional Reform Act (2005) introduced under Tony Blair, has strengthened judicial independence. It looks at the advantages and disadvantages and will look at legal cases that highlight the separation of powers, as Dicey (1885) argues</w:t>
      </w:r>
      <w:r w:rsidR="004350C8" w:rsidRPr="00122E2C">
        <w:rPr>
          <w:rFonts w:ascii="Times New Roman" w:hAnsi="Times New Roman" w:cs="Times New Roman"/>
        </w:rPr>
        <w:t xml:space="preserve">, </w:t>
      </w:r>
      <w:r w:rsidR="00C11890" w:rsidRPr="00122E2C">
        <w:rPr>
          <w:rFonts w:ascii="Times New Roman" w:hAnsi="Times New Roman" w:cs="Times New Roman"/>
        </w:rPr>
        <w:t>several of the points</w:t>
      </w:r>
      <w:r w:rsidR="008C3CA9" w:rsidRPr="00122E2C">
        <w:rPr>
          <w:rFonts w:ascii="Times New Roman" w:hAnsi="Times New Roman" w:cs="Times New Roman"/>
        </w:rPr>
        <w:t xml:space="preserve">, which we </w:t>
      </w:r>
      <w:r w:rsidR="00C731E3" w:rsidRPr="00122E2C">
        <w:rPr>
          <w:rFonts w:ascii="Times New Roman" w:hAnsi="Times New Roman" w:cs="Times New Roman"/>
        </w:rPr>
        <w:t>will</w:t>
      </w:r>
      <w:r w:rsidR="00405A71" w:rsidRPr="00122E2C">
        <w:rPr>
          <w:rFonts w:ascii="Times New Roman" w:hAnsi="Times New Roman" w:cs="Times New Roman"/>
        </w:rPr>
        <w:t xml:space="preserve"> consider later</w:t>
      </w:r>
      <w:r w:rsidR="0055539C" w:rsidRPr="00122E2C">
        <w:rPr>
          <w:rFonts w:ascii="Times New Roman" w:hAnsi="Times New Roman" w:cs="Times New Roman"/>
        </w:rPr>
        <w:t xml:space="preserve"> in</w:t>
      </w:r>
      <w:r w:rsidR="006A0D55" w:rsidRPr="00122E2C">
        <w:rPr>
          <w:rFonts w:ascii="Times New Roman" w:hAnsi="Times New Roman" w:cs="Times New Roman"/>
        </w:rPr>
        <w:t xml:space="preserve"> addition to</w:t>
      </w:r>
      <w:r w:rsidR="00C731E3" w:rsidRPr="00122E2C">
        <w:rPr>
          <w:rFonts w:ascii="Times New Roman" w:hAnsi="Times New Roman" w:cs="Times New Roman"/>
        </w:rPr>
        <w:t xml:space="preserve"> considering</w:t>
      </w:r>
      <w:r w:rsidR="00C11890" w:rsidRPr="00122E2C">
        <w:rPr>
          <w:rFonts w:ascii="Times New Roman" w:hAnsi="Times New Roman" w:cs="Times New Roman"/>
        </w:rPr>
        <w:t xml:space="preserve"> potential reforms to improve the balance between each government branch</w:t>
      </w:r>
      <w:r w:rsidR="004350C8" w:rsidRPr="00122E2C">
        <w:rPr>
          <w:rFonts w:ascii="Times New Roman" w:hAnsi="Times New Roman" w:cs="Times New Roman"/>
        </w:rPr>
        <w:t>, understanding</w:t>
      </w:r>
      <w:r w:rsidR="00C11890" w:rsidRPr="00122E2C">
        <w:rPr>
          <w:rFonts w:ascii="Times New Roman" w:hAnsi="Times New Roman" w:cs="Times New Roman"/>
        </w:rPr>
        <w:t xml:space="preserve"> why the separation of powers theory matters will help us assess its impact on the political system and government in the UK. Historically, judges were part of the House of Lords, making the separation of the judiciary and parliament unclear and raising concerns about judicial </w:t>
      </w:r>
      <w:r w:rsidR="00472A16" w:rsidRPr="00122E2C">
        <w:rPr>
          <w:rFonts w:ascii="Times New Roman" w:hAnsi="Times New Roman" w:cs="Times New Roman"/>
        </w:rPr>
        <w:t>independence (Barber 2018)</w:t>
      </w:r>
      <w:r w:rsidR="00685350" w:rsidRPr="00122E2C">
        <w:rPr>
          <w:rFonts w:ascii="Times New Roman" w:hAnsi="Times New Roman" w:cs="Times New Roman"/>
        </w:rPr>
        <w:t xml:space="preserve">. </w:t>
      </w:r>
      <w:r w:rsidR="006F0307" w:rsidRPr="00122E2C">
        <w:rPr>
          <w:rFonts w:ascii="Times New Roman" w:hAnsi="Times New Roman" w:cs="Times New Roman"/>
        </w:rPr>
        <w:t xml:space="preserve">The Constitutional Reform Act was passed by Parliament and received Royal Assent; </w:t>
      </w:r>
      <w:r w:rsidR="006C4BC3" w:rsidRPr="00122E2C">
        <w:rPr>
          <w:rFonts w:ascii="Times New Roman" w:hAnsi="Times New Roman" w:cs="Times New Roman"/>
        </w:rPr>
        <w:t xml:space="preserve">this is </w:t>
      </w:r>
      <w:r w:rsidR="006F0307" w:rsidRPr="00122E2C">
        <w:rPr>
          <w:rFonts w:ascii="Times New Roman" w:hAnsi="Times New Roman" w:cs="Times New Roman"/>
        </w:rPr>
        <w:t xml:space="preserve">the </w:t>
      </w:r>
      <w:r w:rsidR="006C4BC3" w:rsidRPr="00122E2C">
        <w:rPr>
          <w:rFonts w:ascii="Times New Roman" w:hAnsi="Times New Roman" w:cs="Times New Roman"/>
        </w:rPr>
        <w:t>monarch's formal approval (King) approval</w:t>
      </w:r>
      <w:r w:rsidR="006F0307" w:rsidRPr="00122E2C">
        <w:rPr>
          <w:rFonts w:ascii="Times New Roman" w:hAnsi="Times New Roman" w:cs="Times New Roman"/>
        </w:rPr>
        <w:t xml:space="preserve"> for a bill to become law. According to Gearty (2009), modernising the constitutional framework ensures judicial independence and the separation of powers. Several changes were introduced to make the judiciary independent from the government. </w:t>
      </w:r>
      <w:r w:rsidR="00C11890" w:rsidRPr="00122E2C">
        <w:rPr>
          <w:rFonts w:ascii="Times New Roman" w:hAnsi="Times New Roman" w:cs="Times New Roman"/>
          <w:color w:val="000000" w:themeColor="text1"/>
        </w:rPr>
        <w:t xml:space="preserve">The key rules included in the Constitutional Reform Act were creating the Supreme Court (2009), reducing the chancellor's power, establishing judicial appointments, and ensuring judges were selected relatively and </w:t>
      </w:r>
      <w:r w:rsidR="00C11890" w:rsidRPr="00122E2C">
        <w:rPr>
          <w:rFonts w:ascii="Times New Roman" w:hAnsi="Times New Roman" w:cs="Times New Roman"/>
        </w:rPr>
        <w:t>independently without bias</w:t>
      </w:r>
      <w:r w:rsidR="00E87679" w:rsidRPr="00122E2C">
        <w:rPr>
          <w:rFonts w:ascii="Times New Roman" w:hAnsi="Times New Roman" w:cs="Times New Roman"/>
        </w:rPr>
        <w:t xml:space="preserve"> </w:t>
      </w:r>
      <w:r w:rsidR="00C11890" w:rsidRPr="00122E2C">
        <w:rPr>
          <w:rFonts w:ascii="Times New Roman" w:hAnsi="Times New Roman" w:cs="Times New Roman"/>
        </w:rPr>
        <w:t>(United Kingdom 2005)</w:t>
      </w:r>
      <w:r w:rsidR="00AD44C7" w:rsidRPr="00122E2C">
        <w:rPr>
          <w:rFonts w:ascii="Times New Roman" w:hAnsi="Times New Roman" w:cs="Times New Roman"/>
        </w:rPr>
        <w:t>.</w:t>
      </w:r>
      <w:r w:rsidR="00BE6DE6" w:rsidRPr="00122E2C">
        <w:rPr>
          <w:rFonts w:ascii="Times New Roman" w:hAnsi="Times New Roman" w:cs="Times New Roman"/>
        </w:rPr>
        <w:t xml:space="preserve"> Before</w:t>
      </w:r>
      <w:r w:rsidR="00C11890" w:rsidRPr="00122E2C">
        <w:rPr>
          <w:rFonts w:ascii="Times New Roman" w:hAnsi="Times New Roman" w:cs="Times New Roman"/>
        </w:rPr>
        <w:t xml:space="preserve"> </w:t>
      </w:r>
      <w:r w:rsidR="00C11890" w:rsidRPr="00122E2C">
        <w:rPr>
          <w:rFonts w:ascii="Times New Roman" w:hAnsi="Times New Roman" w:cs="Times New Roman"/>
          <w:color w:val="000000" w:themeColor="text1"/>
        </w:rPr>
        <w:t>this, the lord chancellor had power in government and the courts</w:t>
      </w:r>
      <w:r w:rsidR="00D47D65" w:rsidRPr="00122E2C">
        <w:rPr>
          <w:rFonts w:ascii="Times New Roman" w:hAnsi="Times New Roman" w:cs="Times New Roman"/>
          <w:color w:val="000000" w:themeColor="text1"/>
        </w:rPr>
        <w:t>. When in place</w:t>
      </w:r>
      <w:r w:rsidR="003173E9" w:rsidRPr="00122E2C">
        <w:rPr>
          <w:rFonts w:ascii="Times New Roman" w:hAnsi="Times New Roman" w:cs="Times New Roman"/>
          <w:color w:val="000000" w:themeColor="text1"/>
        </w:rPr>
        <w:t>,</w:t>
      </w:r>
      <w:r w:rsidR="00D47D65" w:rsidRPr="00122E2C">
        <w:rPr>
          <w:rFonts w:ascii="Times New Roman" w:hAnsi="Times New Roman" w:cs="Times New Roman"/>
          <w:color w:val="000000" w:themeColor="text1"/>
        </w:rPr>
        <w:t xml:space="preserve"> the </w:t>
      </w:r>
      <w:r w:rsidR="00C11890" w:rsidRPr="00122E2C">
        <w:rPr>
          <w:rFonts w:ascii="Times New Roman" w:hAnsi="Times New Roman" w:cs="Times New Roman"/>
          <w:color w:val="000000" w:themeColor="text1"/>
        </w:rPr>
        <w:t xml:space="preserve">Supreme Court </w:t>
      </w:r>
      <w:r w:rsidR="00C11890" w:rsidRPr="00122E2C">
        <w:rPr>
          <w:rFonts w:ascii="Times New Roman" w:hAnsi="Times New Roman" w:cs="Times New Roman"/>
        </w:rPr>
        <w:t xml:space="preserve">became the highest in the land, over the House of Lords. </w:t>
      </w:r>
    </w:p>
    <w:p w14:paraId="128208B7" w14:textId="0AC164A8" w:rsidR="00C11890" w:rsidRPr="00122E2C" w:rsidRDefault="00C11890" w:rsidP="00B907D8">
      <w:pPr>
        <w:spacing w:line="360" w:lineRule="auto"/>
        <w:rPr>
          <w:rFonts w:ascii="Times New Roman" w:hAnsi="Times New Roman" w:cs="Times New Roman"/>
          <w:color w:val="000000" w:themeColor="text1"/>
        </w:rPr>
      </w:pPr>
      <w:r w:rsidRPr="00122E2C">
        <w:rPr>
          <w:rFonts w:ascii="Times New Roman" w:hAnsi="Times New Roman" w:cs="Times New Roman"/>
        </w:rPr>
        <w:t xml:space="preserve">Feldman (2012) </w:t>
      </w:r>
      <w:r w:rsidRPr="00122E2C">
        <w:rPr>
          <w:rFonts w:ascii="Times New Roman" w:hAnsi="Times New Roman" w:cs="Times New Roman"/>
          <w:color w:val="000000" w:themeColor="text1"/>
        </w:rPr>
        <w:t xml:space="preserve">mentions that the separation of powers has several advantages, including preventing the abuse of power, protecting individuals' rights, and promoting efficiency and accountability. This also reinforces the rule of law, preventing excessive authority within one branch and facilitating impartial decision-making. The benefits are evident in key legal cases </w:t>
      </w:r>
      <w:r w:rsidRPr="00122E2C">
        <w:rPr>
          <w:rFonts w:ascii="Times New Roman" w:hAnsi="Times New Roman" w:cs="Times New Roman"/>
          <w:color w:val="000000" w:themeColor="text1"/>
        </w:rPr>
        <w:lastRenderedPageBreak/>
        <w:t xml:space="preserve">such as A v Secretary of State for the Home Department (2004), known as the Belmarsh case. In this case, the courts ruled that detaining foreign nationals without trial under anti-terrorism laws was unlawful, reinforcing the judiciary's role in upholding human rights and the rule of law, while ensuring the executive did not overstep its boundaries. This intervention reflects the importance of the separation of powers. Similarly, in R (Miller) v Secretary of State for Exiting the </w:t>
      </w:r>
      <w:r w:rsidRPr="00122E2C">
        <w:rPr>
          <w:rFonts w:ascii="Times New Roman" w:hAnsi="Times New Roman" w:cs="Times New Roman"/>
        </w:rPr>
        <w:t>European Union (2017), the court affirmed that it was Parliament, not the government, that held the authority to trigger Brexit under Article 50. This reinforced the principle of parliamentary sovereignty over executive decisions.</w:t>
      </w:r>
      <w:r w:rsidR="009278C0" w:rsidRPr="00122E2C">
        <w:rPr>
          <w:rFonts w:ascii="Times New Roman" w:hAnsi="Times New Roman" w:cs="Times New Roman"/>
          <w:color w:val="000000" w:themeColor="text1"/>
        </w:rPr>
        <w:t xml:space="preserve"> </w:t>
      </w:r>
      <w:r w:rsidRPr="00122E2C">
        <w:rPr>
          <w:rFonts w:ascii="Times New Roman" w:hAnsi="Times New Roman" w:cs="Times New Roman"/>
        </w:rPr>
        <w:t>A further example is R (Evans) v Attorney General (2015)</w:t>
      </w:r>
    </w:p>
    <w:p w14:paraId="219504D0" w14:textId="77777777" w:rsidR="00C11890" w:rsidRPr="00122E2C" w:rsidRDefault="00C11890" w:rsidP="00B907D8">
      <w:pPr>
        <w:spacing w:line="360" w:lineRule="auto"/>
        <w:rPr>
          <w:rFonts w:ascii="Times New Roman" w:hAnsi="Times New Roman" w:cs="Times New Roman"/>
        </w:rPr>
      </w:pPr>
      <w:r w:rsidRPr="00122E2C">
        <w:rPr>
          <w:rFonts w:ascii="Times New Roman" w:hAnsi="Times New Roman" w:cs="Times New Roman"/>
        </w:rPr>
        <w:t>“The Prince Charles Letters case”.</w:t>
      </w:r>
    </w:p>
    <w:p w14:paraId="5BF54DD4" w14:textId="1520D110" w:rsidR="00C11890" w:rsidRPr="00122E2C" w:rsidRDefault="00C11890" w:rsidP="00B907D8">
      <w:pPr>
        <w:spacing w:line="360" w:lineRule="auto"/>
        <w:rPr>
          <w:rFonts w:ascii="Times New Roman" w:hAnsi="Times New Roman" w:cs="Times New Roman"/>
        </w:rPr>
      </w:pPr>
      <w:r w:rsidRPr="00122E2C">
        <w:rPr>
          <w:rFonts w:ascii="Times New Roman" w:hAnsi="Times New Roman" w:cs="Times New Roman"/>
        </w:rPr>
        <w:t>This involved the government trying to block the release of a group of letters from Charles to ministers</w:t>
      </w:r>
      <w:r w:rsidR="00F84D0A" w:rsidRPr="00122E2C">
        <w:rPr>
          <w:rFonts w:ascii="Times New Roman" w:hAnsi="Times New Roman" w:cs="Times New Roman"/>
        </w:rPr>
        <w:t xml:space="preserve">, as </w:t>
      </w:r>
      <w:r w:rsidR="00E745D9" w:rsidRPr="00122E2C">
        <w:rPr>
          <w:rFonts w:ascii="Times New Roman" w:hAnsi="Times New Roman" w:cs="Times New Roman"/>
        </w:rPr>
        <w:t>Barendt noted</w:t>
      </w:r>
      <w:r w:rsidRPr="00122E2C">
        <w:rPr>
          <w:rFonts w:ascii="Times New Roman" w:hAnsi="Times New Roman" w:cs="Times New Roman"/>
        </w:rPr>
        <w:t xml:space="preserve"> </w:t>
      </w:r>
      <w:r w:rsidR="00E745D9" w:rsidRPr="00122E2C">
        <w:rPr>
          <w:rFonts w:ascii="Times New Roman" w:hAnsi="Times New Roman" w:cs="Times New Roman"/>
        </w:rPr>
        <w:t>(</w:t>
      </w:r>
      <w:r w:rsidRPr="00122E2C">
        <w:rPr>
          <w:rFonts w:ascii="Times New Roman" w:hAnsi="Times New Roman" w:cs="Times New Roman"/>
        </w:rPr>
        <w:t xml:space="preserve">2019) after a tribunal ruled that they should be </w:t>
      </w:r>
      <w:r w:rsidR="00AB1E7D" w:rsidRPr="00122E2C">
        <w:rPr>
          <w:rFonts w:ascii="Times New Roman" w:hAnsi="Times New Roman" w:cs="Times New Roman"/>
        </w:rPr>
        <w:t>published</w:t>
      </w:r>
      <w:r w:rsidRPr="00122E2C">
        <w:rPr>
          <w:rFonts w:ascii="Times New Roman" w:hAnsi="Times New Roman" w:cs="Times New Roman"/>
        </w:rPr>
        <w:t>. This case is particularly significant, as it is directly related to the separation of powers theory, which ensures that the executive does not overrule court decisions without justification and clarifies independence by separating it further from the legislature and executive</w:t>
      </w:r>
      <w:r w:rsidR="000409EC" w:rsidRPr="00122E2C">
        <w:rPr>
          <w:rFonts w:ascii="Times New Roman" w:hAnsi="Times New Roman" w:cs="Times New Roman"/>
        </w:rPr>
        <w:t xml:space="preserve">, </w:t>
      </w:r>
      <w:r w:rsidR="00F761D2" w:rsidRPr="00122E2C">
        <w:rPr>
          <w:rFonts w:ascii="Times New Roman" w:hAnsi="Times New Roman" w:cs="Times New Roman"/>
        </w:rPr>
        <w:t xml:space="preserve">as </w:t>
      </w:r>
      <w:r w:rsidR="008F4860" w:rsidRPr="00122E2C">
        <w:rPr>
          <w:rFonts w:ascii="Times New Roman" w:hAnsi="Times New Roman" w:cs="Times New Roman"/>
        </w:rPr>
        <w:t xml:space="preserve">indicated by </w:t>
      </w:r>
      <w:r w:rsidRPr="00122E2C">
        <w:rPr>
          <w:rFonts w:ascii="Times New Roman" w:hAnsi="Times New Roman" w:cs="Times New Roman"/>
        </w:rPr>
        <w:t>Jowell</w:t>
      </w:r>
      <w:r w:rsidR="008F4860" w:rsidRPr="00122E2C">
        <w:rPr>
          <w:rFonts w:ascii="Times New Roman" w:hAnsi="Times New Roman" w:cs="Times New Roman"/>
        </w:rPr>
        <w:t xml:space="preserve"> </w:t>
      </w:r>
      <w:r w:rsidRPr="00122E2C">
        <w:rPr>
          <w:rFonts w:ascii="Times New Roman" w:hAnsi="Times New Roman" w:cs="Times New Roman"/>
        </w:rPr>
        <w:t>(2011)</w:t>
      </w:r>
      <w:r w:rsidR="008F4860" w:rsidRPr="00122E2C">
        <w:rPr>
          <w:rFonts w:ascii="Times New Roman" w:hAnsi="Times New Roman" w:cs="Times New Roman"/>
        </w:rPr>
        <w:t xml:space="preserve">. </w:t>
      </w:r>
      <w:r w:rsidRPr="00122E2C">
        <w:rPr>
          <w:rFonts w:ascii="Times New Roman" w:hAnsi="Times New Roman" w:cs="Times New Roman"/>
        </w:rPr>
        <w:t>Another primary advantage is its role in preventing the abuse of power</w:t>
      </w:r>
      <w:r w:rsidR="00DF12DD" w:rsidRPr="00122E2C">
        <w:rPr>
          <w:rFonts w:ascii="Times New Roman" w:hAnsi="Times New Roman" w:cs="Times New Roman"/>
        </w:rPr>
        <w:t>,</w:t>
      </w:r>
      <w:r w:rsidRPr="00122E2C">
        <w:rPr>
          <w:rFonts w:ascii="Times New Roman" w:hAnsi="Times New Roman" w:cs="Times New Roman"/>
        </w:rPr>
        <w:t xml:space="preserve"> </w:t>
      </w:r>
      <w:r w:rsidR="00DF12DD" w:rsidRPr="00122E2C">
        <w:rPr>
          <w:rFonts w:ascii="Times New Roman" w:hAnsi="Times New Roman" w:cs="Times New Roman"/>
        </w:rPr>
        <w:t>b</w:t>
      </w:r>
      <w:r w:rsidR="00812402" w:rsidRPr="00122E2C">
        <w:rPr>
          <w:rFonts w:ascii="Times New Roman" w:hAnsi="Times New Roman" w:cs="Times New Roman"/>
        </w:rPr>
        <w:t>y</w:t>
      </w:r>
      <w:r w:rsidR="004D40CB" w:rsidRPr="00122E2C">
        <w:rPr>
          <w:rFonts w:ascii="Times New Roman" w:hAnsi="Times New Roman" w:cs="Times New Roman"/>
        </w:rPr>
        <w:t xml:space="preserve"> dividing</w:t>
      </w:r>
      <w:r w:rsidRPr="00122E2C">
        <w:rPr>
          <w:rFonts w:ascii="Times New Roman" w:hAnsi="Times New Roman" w:cs="Times New Roman"/>
        </w:rPr>
        <w:t xml:space="preserve"> government functions among different branches, no single branch can dominate</w:t>
      </w:r>
      <w:r w:rsidR="00766A7C" w:rsidRPr="00122E2C">
        <w:rPr>
          <w:rFonts w:ascii="Times New Roman" w:hAnsi="Times New Roman" w:cs="Times New Roman"/>
        </w:rPr>
        <w:t xml:space="preserve"> </w:t>
      </w:r>
      <w:r w:rsidRPr="00122E2C">
        <w:rPr>
          <w:rFonts w:ascii="Times New Roman" w:hAnsi="Times New Roman" w:cs="Times New Roman"/>
        </w:rPr>
        <w:t xml:space="preserve">decision-making or exceed its legal authority. This helps maintain the balance of power and prevents authoritarian rule while protecting individual rights, as </w:t>
      </w:r>
      <w:r w:rsidR="004D40CB" w:rsidRPr="00122E2C">
        <w:rPr>
          <w:rFonts w:ascii="Times New Roman" w:hAnsi="Times New Roman" w:cs="Times New Roman"/>
        </w:rPr>
        <w:t>Starmer (1999)</w:t>
      </w:r>
      <w:r w:rsidR="00766A7C" w:rsidRPr="00122E2C">
        <w:rPr>
          <w:rFonts w:ascii="Times New Roman" w:hAnsi="Times New Roman" w:cs="Times New Roman"/>
        </w:rPr>
        <w:t xml:space="preserve"> </w:t>
      </w:r>
      <w:r w:rsidR="00037843" w:rsidRPr="00122E2C">
        <w:rPr>
          <w:rFonts w:ascii="Times New Roman" w:hAnsi="Times New Roman" w:cs="Times New Roman"/>
        </w:rPr>
        <w:t>conveyed</w:t>
      </w:r>
      <w:r w:rsidRPr="00122E2C">
        <w:rPr>
          <w:rFonts w:ascii="Times New Roman" w:hAnsi="Times New Roman" w:cs="Times New Roman"/>
        </w:rPr>
        <w:t>.</w:t>
      </w:r>
      <w:r w:rsidR="001A14FC" w:rsidRPr="00122E2C">
        <w:rPr>
          <w:rFonts w:ascii="Times New Roman" w:hAnsi="Times New Roman" w:cs="Times New Roman"/>
        </w:rPr>
        <w:t xml:space="preserve"> </w:t>
      </w:r>
      <w:r w:rsidRPr="00122E2C">
        <w:rPr>
          <w:rFonts w:ascii="Times New Roman" w:hAnsi="Times New Roman" w:cs="Times New Roman"/>
        </w:rPr>
        <w:t xml:space="preserve">The </w:t>
      </w:r>
      <w:r w:rsidRPr="00122E2C">
        <w:rPr>
          <w:rStyle w:val="Strong"/>
          <w:rFonts w:ascii="Times New Roman" w:hAnsi="Times New Roman" w:cs="Times New Roman"/>
          <w:b w:val="0"/>
          <w:bCs w:val="0"/>
        </w:rPr>
        <w:t>Human Rights Act 1998</w:t>
      </w:r>
      <w:r w:rsidRPr="00122E2C">
        <w:rPr>
          <w:rFonts w:ascii="Times New Roman" w:hAnsi="Times New Roman" w:cs="Times New Roman"/>
        </w:rPr>
        <w:t xml:space="preserve"> ensures these protections align with the principle of the </w:t>
      </w:r>
      <w:r w:rsidRPr="00122E2C">
        <w:rPr>
          <w:rStyle w:val="Strong"/>
          <w:rFonts w:ascii="Times New Roman" w:hAnsi="Times New Roman" w:cs="Times New Roman"/>
          <w:b w:val="0"/>
          <w:bCs w:val="0"/>
        </w:rPr>
        <w:t>separation of powers</w:t>
      </w:r>
      <w:r w:rsidRPr="00122E2C">
        <w:rPr>
          <w:rFonts w:ascii="Times New Roman" w:hAnsi="Times New Roman" w:cs="Times New Roman"/>
          <w:b/>
          <w:bCs/>
        </w:rPr>
        <w:t>.</w:t>
      </w:r>
      <w:r w:rsidRPr="00122E2C">
        <w:rPr>
          <w:rFonts w:ascii="Times New Roman" w:hAnsi="Times New Roman" w:cs="Times New Roman"/>
        </w:rPr>
        <w:t xml:space="preserve"> This principle also enhances efficiency by allowing each branch to focus on its responsibilities.</w:t>
      </w:r>
      <w:r w:rsidR="009D59B1" w:rsidRPr="00122E2C">
        <w:rPr>
          <w:rFonts w:ascii="Times New Roman" w:hAnsi="Times New Roman" w:cs="Times New Roman"/>
        </w:rPr>
        <w:t xml:space="preserve"> </w:t>
      </w:r>
      <w:r w:rsidRPr="00122E2C">
        <w:rPr>
          <w:rFonts w:ascii="Times New Roman" w:hAnsi="Times New Roman" w:cs="Times New Roman"/>
        </w:rPr>
        <w:t xml:space="preserve">This clear distinction helps streamline government processes and reduce conflicts. Keeping the judiciary independent ensures legal decisions are based on law, not politics. Finally, separating powers is crucial in safeguarding parliament's authority and ensuring that the executive does not dictate national choices. </w:t>
      </w:r>
      <w:r w:rsidR="001755AC" w:rsidRPr="00122E2C">
        <w:rPr>
          <w:rFonts w:ascii="Times New Roman" w:hAnsi="Times New Roman" w:cs="Times New Roman"/>
        </w:rPr>
        <w:t xml:space="preserve">Marshall </w:t>
      </w:r>
      <w:r w:rsidR="00240239" w:rsidRPr="00122E2C">
        <w:rPr>
          <w:rFonts w:ascii="Times New Roman" w:hAnsi="Times New Roman" w:cs="Times New Roman"/>
        </w:rPr>
        <w:t>(1984) expressed that t</w:t>
      </w:r>
      <w:r w:rsidRPr="00122E2C">
        <w:rPr>
          <w:rFonts w:ascii="Times New Roman" w:hAnsi="Times New Roman" w:cs="Times New Roman"/>
        </w:rPr>
        <w:t>he system upholds fairness and justice</w:t>
      </w:r>
      <w:r w:rsidR="00240239" w:rsidRPr="00122E2C">
        <w:rPr>
          <w:rFonts w:ascii="Times New Roman" w:hAnsi="Times New Roman" w:cs="Times New Roman"/>
        </w:rPr>
        <w:t xml:space="preserve">. </w:t>
      </w:r>
    </w:p>
    <w:p w14:paraId="5BF2EB17" w14:textId="3B2DCC30" w:rsidR="00C11890" w:rsidRPr="00122E2C" w:rsidRDefault="00C11890" w:rsidP="00B907D8">
      <w:pPr>
        <w:spacing w:line="360" w:lineRule="auto"/>
        <w:rPr>
          <w:rFonts w:ascii="Times New Roman" w:hAnsi="Times New Roman" w:cs="Times New Roman"/>
        </w:rPr>
      </w:pPr>
      <w:r w:rsidRPr="00122E2C">
        <w:rPr>
          <w:rFonts w:ascii="Times New Roman" w:hAnsi="Times New Roman" w:cs="Times New Roman"/>
        </w:rPr>
        <w:t xml:space="preserve">Despite these advantages, Smith (2020) disagreed that </w:t>
      </w:r>
      <w:r w:rsidR="00904D03" w:rsidRPr="00122E2C">
        <w:rPr>
          <w:rFonts w:ascii="Times New Roman" w:hAnsi="Times New Roman" w:cs="Times New Roman"/>
        </w:rPr>
        <w:t>disadvantages exist</w:t>
      </w:r>
      <w:r w:rsidR="007550AB" w:rsidRPr="00122E2C">
        <w:rPr>
          <w:rFonts w:ascii="Times New Roman" w:hAnsi="Times New Roman" w:cs="Times New Roman"/>
        </w:rPr>
        <w:t xml:space="preserve"> u</w:t>
      </w:r>
      <w:r w:rsidRPr="00122E2C">
        <w:rPr>
          <w:rFonts w:ascii="Times New Roman" w:hAnsi="Times New Roman" w:cs="Times New Roman"/>
        </w:rPr>
        <w:t>nder the Parliament Acts of 1911 and 1949, Parliament cannot always control the government, and the House of Lords cannot stop laws, only delay them for up to a year, as in 2006, the House of Lords delayed the Identity Cards Act, but could not prevent it from becoming law. There is a fusion of powers rather than a complete separation</w:t>
      </w:r>
      <w:r w:rsidR="007B5E98" w:rsidRPr="00122E2C">
        <w:rPr>
          <w:rFonts w:ascii="Times New Roman" w:hAnsi="Times New Roman" w:cs="Times New Roman"/>
        </w:rPr>
        <w:t>, which</w:t>
      </w:r>
      <w:r w:rsidR="00CD65D4" w:rsidRPr="00122E2C">
        <w:rPr>
          <w:rFonts w:ascii="Times New Roman" w:hAnsi="Times New Roman" w:cs="Times New Roman"/>
        </w:rPr>
        <w:t xml:space="preserve"> </w:t>
      </w:r>
      <w:r w:rsidRPr="00122E2C">
        <w:rPr>
          <w:rFonts w:ascii="Times New Roman" w:hAnsi="Times New Roman" w:cs="Times New Roman"/>
        </w:rPr>
        <w:t xml:space="preserve">could reduce the effectiveness of checks and balances, with a lack of precise limits, so it would not prevent the abuse of these </w:t>
      </w:r>
      <w:r w:rsidRPr="00122E2C">
        <w:rPr>
          <w:rFonts w:ascii="Times New Roman" w:hAnsi="Times New Roman" w:cs="Times New Roman"/>
        </w:rPr>
        <w:lastRenderedPageBreak/>
        <w:t>powers, as there is no strict legal framework</w:t>
      </w:r>
      <w:r w:rsidR="00984C63" w:rsidRPr="00122E2C">
        <w:rPr>
          <w:rFonts w:ascii="Times New Roman" w:hAnsi="Times New Roman" w:cs="Times New Roman"/>
        </w:rPr>
        <w:t xml:space="preserve">. It also ensures the </w:t>
      </w:r>
      <w:r w:rsidRPr="00122E2C">
        <w:rPr>
          <w:rFonts w:ascii="Times New Roman" w:hAnsi="Times New Roman" w:cs="Times New Roman"/>
        </w:rPr>
        <w:t xml:space="preserve">prime minister cannot act without parliament's approval. </w:t>
      </w:r>
    </w:p>
    <w:p w14:paraId="62B9BBE2" w14:textId="53856744" w:rsidR="00C11890" w:rsidRPr="00122E2C" w:rsidRDefault="00C11890" w:rsidP="00B907D8">
      <w:pPr>
        <w:spacing w:line="360" w:lineRule="auto"/>
        <w:rPr>
          <w:rFonts w:ascii="Times New Roman" w:hAnsi="Times New Roman" w:cs="Times New Roman"/>
        </w:rPr>
      </w:pPr>
      <w:r w:rsidRPr="00122E2C">
        <w:rPr>
          <w:rFonts w:ascii="Times New Roman" w:hAnsi="Times New Roman" w:cs="Times New Roman"/>
        </w:rPr>
        <w:t xml:space="preserve">These points show that the system mixes government powers instead of separating them completely. This makes decisions quicker, giving the government excessive control. This can weaken parliament's ability to check power and create uncertainty, </w:t>
      </w:r>
      <w:r w:rsidR="002F5455" w:rsidRPr="00122E2C">
        <w:rPr>
          <w:rFonts w:ascii="Times New Roman" w:hAnsi="Times New Roman" w:cs="Times New Roman"/>
        </w:rPr>
        <w:t xml:space="preserve">for example </w:t>
      </w:r>
      <w:r w:rsidRPr="00122E2C">
        <w:rPr>
          <w:rFonts w:ascii="Times New Roman" w:hAnsi="Times New Roman" w:cs="Times New Roman"/>
        </w:rPr>
        <w:t xml:space="preserve">when the legislature passes laws, but the executive changes or vetoes them. Judicial review allows courts to check if government actions respect people's rights. </w:t>
      </w:r>
      <w:r w:rsidR="000D4149" w:rsidRPr="00122E2C">
        <w:rPr>
          <w:rFonts w:ascii="Times New Roman" w:hAnsi="Times New Roman" w:cs="Times New Roman"/>
        </w:rPr>
        <w:t>An e</w:t>
      </w:r>
      <w:r w:rsidRPr="00122E2C">
        <w:rPr>
          <w:rFonts w:ascii="Times New Roman" w:hAnsi="Times New Roman" w:cs="Times New Roman"/>
        </w:rPr>
        <w:t xml:space="preserve">xample of this is: - </w:t>
      </w:r>
    </w:p>
    <w:p w14:paraId="0A69AD50" w14:textId="77777777" w:rsidR="00C11890" w:rsidRPr="00122E2C" w:rsidRDefault="00C11890" w:rsidP="00B907D8">
      <w:pPr>
        <w:spacing w:line="360" w:lineRule="auto"/>
        <w:rPr>
          <w:rFonts w:ascii="Times New Roman" w:hAnsi="Times New Roman" w:cs="Times New Roman"/>
        </w:rPr>
      </w:pPr>
      <w:r w:rsidRPr="00122E2C">
        <w:rPr>
          <w:rFonts w:ascii="Times New Roman" w:hAnsi="Times New Roman" w:cs="Times New Roman"/>
        </w:rPr>
        <w:t>Mc Connell V United Kingdom (2000) 30 EHRR289.</w:t>
      </w:r>
    </w:p>
    <w:p w14:paraId="132A923C" w14:textId="367A5030" w:rsidR="00C11890" w:rsidRPr="00122E2C" w:rsidRDefault="00C11890" w:rsidP="00B907D8">
      <w:pPr>
        <w:spacing w:line="360" w:lineRule="auto"/>
        <w:rPr>
          <w:rFonts w:ascii="Times New Roman" w:hAnsi="Times New Roman" w:cs="Times New Roman"/>
        </w:rPr>
      </w:pPr>
      <w:r w:rsidRPr="00122E2C">
        <w:rPr>
          <w:rFonts w:ascii="Times New Roman" w:hAnsi="Times New Roman" w:cs="Times New Roman"/>
        </w:rPr>
        <w:t xml:space="preserve">This case involved a Scottish prisoner who argued that his right to a fair trial, under article 6 of the European Convention on Human Rights, was violated because he challenged the prisoner's </w:t>
      </w:r>
      <w:r w:rsidR="00C41FAA" w:rsidRPr="00122E2C">
        <w:rPr>
          <w:rFonts w:ascii="Times New Roman" w:hAnsi="Times New Roman" w:cs="Times New Roman"/>
        </w:rPr>
        <w:t>“</w:t>
      </w:r>
      <w:r w:rsidRPr="00122E2C">
        <w:rPr>
          <w:rFonts w:ascii="Times New Roman" w:hAnsi="Times New Roman" w:cs="Times New Roman"/>
        </w:rPr>
        <w:t>right to vote ban</w:t>
      </w:r>
      <w:r w:rsidR="00C41FAA" w:rsidRPr="00122E2C">
        <w:rPr>
          <w:rFonts w:ascii="Times New Roman" w:hAnsi="Times New Roman" w:cs="Times New Roman"/>
        </w:rPr>
        <w:t>”</w:t>
      </w:r>
      <w:r w:rsidRPr="00122E2C">
        <w:rPr>
          <w:rFonts w:ascii="Times New Roman" w:hAnsi="Times New Roman" w:cs="Times New Roman"/>
        </w:rPr>
        <w:t xml:space="preserve">. While the </w:t>
      </w:r>
      <w:r w:rsidR="00BF06FD" w:rsidRPr="00122E2C">
        <w:rPr>
          <w:rFonts w:ascii="Times New Roman" w:hAnsi="Times New Roman" w:cs="Times New Roman"/>
        </w:rPr>
        <w:t>E</w:t>
      </w:r>
      <w:r w:rsidR="00E33BA4" w:rsidRPr="00122E2C">
        <w:rPr>
          <w:rFonts w:ascii="Times New Roman" w:hAnsi="Times New Roman" w:cs="Times New Roman"/>
        </w:rPr>
        <w:t>uropean Convention on Human Rights (</w:t>
      </w:r>
      <w:r w:rsidRPr="00122E2C">
        <w:rPr>
          <w:rFonts w:ascii="Times New Roman" w:hAnsi="Times New Roman" w:cs="Times New Roman"/>
        </w:rPr>
        <w:t>ECHR</w:t>
      </w:r>
      <w:r w:rsidR="00E33BA4" w:rsidRPr="00122E2C">
        <w:rPr>
          <w:rFonts w:ascii="Times New Roman" w:hAnsi="Times New Roman" w:cs="Times New Roman"/>
        </w:rPr>
        <w:t>)</w:t>
      </w:r>
      <w:r w:rsidRPr="00122E2C">
        <w:rPr>
          <w:rFonts w:ascii="Times New Roman" w:hAnsi="Times New Roman" w:cs="Times New Roman"/>
        </w:rPr>
        <w:t xml:space="preserve"> ruled that it violated </w:t>
      </w:r>
      <w:r w:rsidR="00E65B36" w:rsidRPr="00122E2C">
        <w:rPr>
          <w:rFonts w:ascii="Times New Roman" w:hAnsi="Times New Roman" w:cs="Times New Roman"/>
        </w:rPr>
        <w:t xml:space="preserve">prisoners' </w:t>
      </w:r>
      <w:r w:rsidRPr="00122E2C">
        <w:rPr>
          <w:rFonts w:ascii="Times New Roman" w:hAnsi="Times New Roman" w:cs="Times New Roman"/>
        </w:rPr>
        <w:t>voting rights, it emphasi</w:t>
      </w:r>
      <w:r w:rsidR="006D2931" w:rsidRPr="00122E2C">
        <w:rPr>
          <w:rFonts w:ascii="Times New Roman" w:hAnsi="Times New Roman" w:cs="Times New Roman"/>
        </w:rPr>
        <w:t>s</w:t>
      </w:r>
      <w:r w:rsidRPr="00122E2C">
        <w:rPr>
          <w:rFonts w:ascii="Times New Roman" w:hAnsi="Times New Roman" w:cs="Times New Roman"/>
        </w:rPr>
        <w:t>ed that there was no automatic right to vote</w:t>
      </w:r>
      <w:r w:rsidR="00E33BA4" w:rsidRPr="00122E2C">
        <w:rPr>
          <w:rFonts w:ascii="Times New Roman" w:hAnsi="Times New Roman" w:cs="Times New Roman"/>
        </w:rPr>
        <w:t>. Still, each</w:t>
      </w:r>
      <w:r w:rsidRPr="00122E2C">
        <w:rPr>
          <w:rFonts w:ascii="Times New Roman" w:hAnsi="Times New Roman" w:cs="Times New Roman"/>
        </w:rPr>
        <w:t xml:space="preserve"> country is left to decide whether to impose it. </w:t>
      </w:r>
    </w:p>
    <w:p w14:paraId="6338B5CD" w14:textId="77777777" w:rsidR="00C11890" w:rsidRPr="00122E2C" w:rsidRDefault="00C11890" w:rsidP="00B907D8">
      <w:pPr>
        <w:spacing w:line="360" w:lineRule="auto"/>
        <w:rPr>
          <w:rFonts w:ascii="Times New Roman" w:hAnsi="Times New Roman" w:cs="Times New Roman"/>
        </w:rPr>
      </w:pPr>
    </w:p>
    <w:p w14:paraId="11A3678C" w14:textId="0D6310A4" w:rsidR="00C11890" w:rsidRPr="00122E2C" w:rsidRDefault="00C11890" w:rsidP="00B907D8">
      <w:pPr>
        <w:spacing w:line="360" w:lineRule="auto"/>
        <w:rPr>
          <w:rFonts w:ascii="Times New Roman" w:hAnsi="Times New Roman" w:cs="Times New Roman"/>
        </w:rPr>
      </w:pPr>
      <w:r w:rsidRPr="00122E2C">
        <w:rPr>
          <w:rFonts w:ascii="Times New Roman" w:hAnsi="Times New Roman" w:cs="Times New Roman"/>
        </w:rPr>
        <w:t>Reform suggestions</w:t>
      </w:r>
    </w:p>
    <w:p w14:paraId="44C812D1" w14:textId="5962D33E" w:rsidR="00C11890" w:rsidRPr="00122E2C" w:rsidRDefault="00C11890" w:rsidP="00B907D8">
      <w:pPr>
        <w:pBdr>
          <w:bottom w:val="double" w:sz="6" w:space="4" w:color="auto"/>
        </w:pBdr>
        <w:spacing w:line="360" w:lineRule="auto"/>
        <w:rPr>
          <w:rFonts w:ascii="Times New Roman" w:hAnsi="Times New Roman" w:cs="Times New Roman"/>
        </w:rPr>
      </w:pPr>
      <w:r w:rsidRPr="00122E2C">
        <w:rPr>
          <w:rFonts w:ascii="Times New Roman" w:hAnsi="Times New Roman" w:cs="Times New Roman"/>
        </w:rPr>
        <w:t>A few recommendations have been made to strengthen the UK's separation of powers. Bingham,</w:t>
      </w:r>
      <w:r w:rsidR="005E72AC" w:rsidRPr="00122E2C">
        <w:rPr>
          <w:rFonts w:ascii="Times New Roman" w:hAnsi="Times New Roman" w:cs="Times New Roman"/>
        </w:rPr>
        <w:t xml:space="preserve"> </w:t>
      </w:r>
      <w:r w:rsidRPr="00122E2C">
        <w:rPr>
          <w:rFonts w:ascii="Times New Roman" w:hAnsi="Times New Roman" w:cs="Times New Roman"/>
        </w:rPr>
        <w:t>(2010)</w:t>
      </w:r>
      <w:r w:rsidR="002A2602" w:rsidRPr="00122E2C">
        <w:rPr>
          <w:rFonts w:ascii="Times New Roman" w:hAnsi="Times New Roman" w:cs="Times New Roman"/>
        </w:rPr>
        <w:t>,</w:t>
      </w:r>
      <w:r w:rsidRPr="00122E2C">
        <w:rPr>
          <w:rFonts w:ascii="Times New Roman" w:hAnsi="Times New Roman" w:cs="Times New Roman"/>
        </w:rPr>
        <w:t xml:space="preserve"> </w:t>
      </w:r>
      <w:r w:rsidR="005E72AC" w:rsidRPr="00122E2C">
        <w:rPr>
          <w:rFonts w:ascii="Times New Roman" w:hAnsi="Times New Roman" w:cs="Times New Roman"/>
        </w:rPr>
        <w:t xml:space="preserve">advised </w:t>
      </w:r>
      <w:r w:rsidR="0063362A" w:rsidRPr="00122E2C">
        <w:rPr>
          <w:rFonts w:ascii="Times New Roman" w:hAnsi="Times New Roman" w:cs="Times New Roman"/>
        </w:rPr>
        <w:t xml:space="preserve">that </w:t>
      </w:r>
      <w:r w:rsidRPr="00122E2C">
        <w:rPr>
          <w:rFonts w:ascii="Times New Roman" w:hAnsi="Times New Roman" w:cs="Times New Roman"/>
        </w:rPr>
        <w:t>when the idea is implemented broadly, there are noticeable overlaps, particularly across the legislative and executive branches</w:t>
      </w:r>
      <w:r w:rsidR="0063362A" w:rsidRPr="00122E2C">
        <w:rPr>
          <w:rFonts w:ascii="Times New Roman" w:hAnsi="Times New Roman" w:cs="Times New Roman"/>
        </w:rPr>
        <w:t xml:space="preserve">. </w:t>
      </w:r>
    </w:p>
    <w:p w14:paraId="6C173018" w14:textId="12F952A0" w:rsidR="001459D5" w:rsidRPr="00122E2C" w:rsidRDefault="00997304" w:rsidP="001459D5">
      <w:pPr>
        <w:pBdr>
          <w:bottom w:val="double" w:sz="6" w:space="4" w:color="auto"/>
        </w:pBdr>
        <w:spacing w:line="360" w:lineRule="auto"/>
        <w:rPr>
          <w:rFonts w:ascii="Times New Roman" w:hAnsi="Times New Roman" w:cs="Times New Roman"/>
        </w:rPr>
      </w:pPr>
      <w:r w:rsidRPr="00122E2C">
        <w:rPr>
          <w:rFonts w:ascii="Times New Roman" w:hAnsi="Times New Roman" w:cs="Times New Roman"/>
        </w:rPr>
        <w:t xml:space="preserve">One </w:t>
      </w:r>
      <w:r w:rsidR="00C11890" w:rsidRPr="00122E2C">
        <w:rPr>
          <w:rFonts w:ascii="Times New Roman" w:hAnsi="Times New Roman" w:cs="Times New Roman"/>
        </w:rPr>
        <w:t>reform suggested</w:t>
      </w:r>
      <w:r w:rsidR="007052CC" w:rsidRPr="00122E2C">
        <w:rPr>
          <w:rFonts w:ascii="Times New Roman" w:hAnsi="Times New Roman" w:cs="Times New Roman"/>
        </w:rPr>
        <w:t xml:space="preserve"> addressed the fact that ministers</w:t>
      </w:r>
      <w:r w:rsidR="00C11890" w:rsidRPr="00122E2C">
        <w:rPr>
          <w:rFonts w:ascii="Times New Roman" w:hAnsi="Times New Roman" w:cs="Times New Roman"/>
        </w:rPr>
        <w:t xml:space="preserve"> are also </w:t>
      </w:r>
      <w:r w:rsidR="00BB6E65" w:rsidRPr="00122E2C">
        <w:rPr>
          <w:rFonts w:ascii="Times New Roman" w:hAnsi="Times New Roman" w:cs="Times New Roman"/>
        </w:rPr>
        <w:t>Members of Parliament (</w:t>
      </w:r>
      <w:r w:rsidR="00C11890" w:rsidRPr="00122E2C">
        <w:rPr>
          <w:rFonts w:ascii="Times New Roman" w:hAnsi="Times New Roman" w:cs="Times New Roman"/>
        </w:rPr>
        <w:t>MPs</w:t>
      </w:r>
      <w:r w:rsidR="00BB6E65" w:rsidRPr="00122E2C">
        <w:rPr>
          <w:rFonts w:ascii="Times New Roman" w:hAnsi="Times New Roman" w:cs="Times New Roman"/>
        </w:rPr>
        <w:t>)</w:t>
      </w:r>
      <w:r w:rsidR="00C11890" w:rsidRPr="00122E2C">
        <w:rPr>
          <w:rFonts w:ascii="Times New Roman" w:hAnsi="Times New Roman" w:cs="Times New Roman"/>
        </w:rPr>
        <w:t>, which allows the executive to dominate the parliament. Requiring ministers to resign from parliament would be an answer when they join the government. This would reduce the government's control over legislative decisions. A</w:t>
      </w:r>
      <w:r w:rsidR="00212301" w:rsidRPr="00122E2C">
        <w:rPr>
          <w:rFonts w:ascii="Times New Roman" w:hAnsi="Times New Roman" w:cs="Times New Roman"/>
        </w:rPr>
        <w:t xml:space="preserve">nother </w:t>
      </w:r>
      <w:r w:rsidR="00C11890" w:rsidRPr="00122E2C">
        <w:rPr>
          <w:rFonts w:ascii="Times New Roman" w:hAnsi="Times New Roman" w:cs="Times New Roman"/>
        </w:rPr>
        <w:t xml:space="preserve">reform addresses the courts, which could still be subject to government interference. Reducing the government's control over legislative decisions would ensure better, more effective overall outcomes. </w:t>
      </w:r>
      <w:r w:rsidR="00903DC8" w:rsidRPr="00122E2C">
        <w:rPr>
          <w:rFonts w:ascii="Times New Roman" w:hAnsi="Times New Roman" w:cs="Times New Roman"/>
        </w:rPr>
        <w:t xml:space="preserve">A stronger </w:t>
      </w:r>
      <w:r w:rsidR="00C11890" w:rsidRPr="00122E2C">
        <w:rPr>
          <w:rFonts w:ascii="Times New Roman" w:hAnsi="Times New Roman" w:cs="Times New Roman"/>
        </w:rPr>
        <w:t xml:space="preserve">reform could introduce protections against executive overreach, such as stricter rules on judicial appointments, helping safeguard the judiciary's independence and prevent undue political influence. </w:t>
      </w:r>
      <w:r w:rsidR="00903DC8" w:rsidRPr="00122E2C">
        <w:rPr>
          <w:rFonts w:ascii="Times New Roman" w:hAnsi="Times New Roman" w:cs="Times New Roman"/>
        </w:rPr>
        <w:t>Finally</w:t>
      </w:r>
      <w:r w:rsidR="00B74228" w:rsidRPr="00122E2C">
        <w:rPr>
          <w:rFonts w:ascii="Times New Roman" w:hAnsi="Times New Roman" w:cs="Times New Roman"/>
        </w:rPr>
        <w:t>,</w:t>
      </w:r>
      <w:r w:rsidR="00903DC8" w:rsidRPr="00122E2C">
        <w:rPr>
          <w:rFonts w:ascii="Times New Roman" w:hAnsi="Times New Roman" w:cs="Times New Roman"/>
        </w:rPr>
        <w:t xml:space="preserve"> a </w:t>
      </w:r>
      <w:r w:rsidR="00C11890" w:rsidRPr="00122E2C">
        <w:rPr>
          <w:rFonts w:ascii="Times New Roman" w:hAnsi="Times New Roman" w:cs="Times New Roman"/>
        </w:rPr>
        <w:t xml:space="preserve">reform </w:t>
      </w:r>
      <w:r w:rsidR="00903DC8" w:rsidRPr="00122E2C">
        <w:rPr>
          <w:rFonts w:ascii="Times New Roman" w:hAnsi="Times New Roman" w:cs="Times New Roman"/>
        </w:rPr>
        <w:t xml:space="preserve">that </w:t>
      </w:r>
      <w:r w:rsidR="00C11890" w:rsidRPr="00122E2C">
        <w:rPr>
          <w:rFonts w:ascii="Times New Roman" w:hAnsi="Times New Roman" w:cs="Times New Roman"/>
        </w:rPr>
        <w:t xml:space="preserve">relates to the House of Lords, which is unelected; introducing an elected second chamber to strengthen checks on the government would have an impact, providing a more democratic and accountable oversight body, as </w:t>
      </w:r>
      <w:r w:rsidR="007512BF" w:rsidRPr="00122E2C">
        <w:rPr>
          <w:rFonts w:ascii="Times New Roman" w:hAnsi="Times New Roman" w:cs="Times New Roman"/>
        </w:rPr>
        <w:t>outlined</w:t>
      </w:r>
      <w:r w:rsidR="00C11890" w:rsidRPr="00122E2C">
        <w:rPr>
          <w:rFonts w:ascii="Times New Roman" w:hAnsi="Times New Roman" w:cs="Times New Roman"/>
        </w:rPr>
        <w:t xml:space="preserve"> by Elliott, </w:t>
      </w:r>
      <w:r w:rsidR="007512BF" w:rsidRPr="00122E2C">
        <w:rPr>
          <w:rFonts w:ascii="Times New Roman" w:hAnsi="Times New Roman" w:cs="Times New Roman"/>
        </w:rPr>
        <w:t>(</w:t>
      </w:r>
      <w:r w:rsidR="00C11890" w:rsidRPr="00122E2C">
        <w:rPr>
          <w:rFonts w:ascii="Times New Roman" w:hAnsi="Times New Roman" w:cs="Times New Roman"/>
        </w:rPr>
        <w:t>2001</w:t>
      </w:r>
      <w:r w:rsidR="007512BF" w:rsidRPr="00122E2C">
        <w:rPr>
          <w:rFonts w:ascii="Times New Roman" w:hAnsi="Times New Roman" w:cs="Times New Roman"/>
        </w:rPr>
        <w:t>)</w:t>
      </w:r>
      <w:r w:rsidR="00C11890" w:rsidRPr="00122E2C">
        <w:rPr>
          <w:rFonts w:ascii="Times New Roman" w:hAnsi="Times New Roman" w:cs="Times New Roman"/>
        </w:rPr>
        <w:t xml:space="preserve">. </w:t>
      </w:r>
      <w:r w:rsidR="001459D5" w:rsidRPr="00122E2C">
        <w:rPr>
          <w:rFonts w:ascii="Times New Roman" w:hAnsi="Times New Roman" w:cs="Times New Roman"/>
        </w:rPr>
        <w:t xml:space="preserve">Furthermore, creating legislative committees with greater independence and investigative </w:t>
      </w:r>
      <w:r w:rsidR="001459D5" w:rsidRPr="00122E2C">
        <w:rPr>
          <w:rFonts w:ascii="Times New Roman" w:hAnsi="Times New Roman" w:cs="Times New Roman"/>
        </w:rPr>
        <w:lastRenderedPageBreak/>
        <w:t xml:space="preserve">authority may enable more effective </w:t>
      </w:r>
      <w:r w:rsidR="00054075" w:rsidRPr="00122E2C">
        <w:rPr>
          <w:rFonts w:ascii="Times New Roman" w:hAnsi="Times New Roman" w:cs="Times New Roman"/>
        </w:rPr>
        <w:t>executive oversight, providing better decision-making responsibility</w:t>
      </w:r>
      <w:r w:rsidR="001459D5" w:rsidRPr="00122E2C">
        <w:rPr>
          <w:rFonts w:ascii="Times New Roman" w:hAnsi="Times New Roman" w:cs="Times New Roman"/>
        </w:rPr>
        <w:t>.</w:t>
      </w:r>
    </w:p>
    <w:p w14:paraId="2CE0F2E9" w14:textId="7C71B03A" w:rsidR="00C11890" w:rsidRPr="00122E2C" w:rsidRDefault="00C11890" w:rsidP="00B907D8">
      <w:pPr>
        <w:pBdr>
          <w:bottom w:val="double" w:sz="6" w:space="4" w:color="auto"/>
        </w:pBdr>
        <w:spacing w:line="360" w:lineRule="auto"/>
        <w:rPr>
          <w:rFonts w:ascii="Times New Roman" w:hAnsi="Times New Roman" w:cs="Times New Roman"/>
        </w:rPr>
      </w:pPr>
      <w:r w:rsidRPr="00122E2C">
        <w:rPr>
          <w:rFonts w:ascii="Times New Roman" w:hAnsi="Times New Roman" w:cs="Times New Roman"/>
        </w:rPr>
        <w:t xml:space="preserve"> </w:t>
      </w:r>
    </w:p>
    <w:p w14:paraId="3520F08D" w14:textId="77777777" w:rsidR="007512BF" w:rsidRPr="00122E2C" w:rsidRDefault="00C11890" w:rsidP="007512BF">
      <w:pPr>
        <w:pBdr>
          <w:bottom w:val="double" w:sz="6" w:space="4" w:color="auto"/>
        </w:pBdr>
        <w:spacing w:line="360" w:lineRule="auto"/>
        <w:rPr>
          <w:rFonts w:ascii="Times New Roman" w:hAnsi="Times New Roman" w:cs="Times New Roman"/>
        </w:rPr>
      </w:pPr>
      <w:r w:rsidRPr="00122E2C">
        <w:rPr>
          <w:rFonts w:ascii="Times New Roman" w:hAnsi="Times New Roman" w:cs="Times New Roman"/>
        </w:rPr>
        <w:t>Conclusion</w:t>
      </w:r>
    </w:p>
    <w:p w14:paraId="6F7C502D" w14:textId="1D3C94A2" w:rsidR="00EB3577" w:rsidRPr="00122E2C" w:rsidRDefault="00C11890" w:rsidP="00EB3577">
      <w:pPr>
        <w:pBdr>
          <w:bottom w:val="double" w:sz="6" w:space="4" w:color="auto"/>
        </w:pBdr>
        <w:spacing w:line="360" w:lineRule="auto"/>
        <w:rPr>
          <w:rFonts w:ascii="Times New Roman" w:hAnsi="Times New Roman" w:cs="Times New Roman"/>
        </w:rPr>
      </w:pPr>
      <w:r w:rsidRPr="00122E2C">
        <w:rPr>
          <w:rFonts w:ascii="Times New Roman" w:hAnsi="Times New Roman" w:cs="Times New Roman"/>
        </w:rPr>
        <w:t xml:space="preserve">Separating powers is a fundamental principle ensuring democracy, accountability, and the rule of law within the UK’s political system. While the Constitutional Reform Act (2005) significantly strengthened judicial independence, challenges remain due to the fusion of powers between the executive and legislative branches. The cases analysed demonstrate the judiciary's role in upholding individual rights and checking government power. However, concerns about excessive executive influence over Parliament and judicial appointments highlight the need for further reform. Implementing measures such as stricter parliamentary oversight, ensuring judicial independence from political influence, and considering an elected second chamber for the House of Lords could enhance the separation of powers. These reforms would clarify the distinction between government functions, ensuring a fairer and more accountable political system. Ultimately, while the UK’s approach to the separation of powers has evolved, continuous improvements are necessary to maintain an effective balance of authority and uphold democratic </w:t>
      </w:r>
      <w:r w:rsidR="00CB5AC7" w:rsidRPr="00122E2C">
        <w:rPr>
          <w:rFonts w:ascii="Times New Roman" w:hAnsi="Times New Roman" w:cs="Times New Roman"/>
        </w:rPr>
        <w:t xml:space="preserve">principles. </w:t>
      </w:r>
      <w:r w:rsidR="00415966" w:rsidRPr="00122E2C">
        <w:rPr>
          <w:rFonts w:ascii="Times New Roman" w:hAnsi="Times New Roman" w:cs="Times New Roman"/>
        </w:rPr>
        <w:t>Therefore, ensuring the separation of powers in the UK</w:t>
      </w:r>
      <w:r w:rsidR="00CB5AC7" w:rsidRPr="00122E2C">
        <w:rPr>
          <w:rFonts w:ascii="Times New Roman" w:hAnsi="Times New Roman" w:cs="Times New Roman"/>
        </w:rPr>
        <w:t xml:space="preserve"> remains robust and fully safeguards the rights of the people and the integrity of the state.</w:t>
      </w:r>
      <w:r w:rsidR="00EB3577" w:rsidRPr="00122E2C">
        <w:rPr>
          <w:rFonts w:ascii="Times New Roman" w:hAnsi="Times New Roman" w:cs="Times New Roman"/>
        </w:rPr>
        <w:t xml:space="preserve"> A commitment to these modifications will strengthen the UK's constitutional framework while reinforcing public trust in the democratic process.</w:t>
      </w:r>
    </w:p>
    <w:p w14:paraId="6C84022A" w14:textId="0F1CC915" w:rsidR="004F4357" w:rsidRPr="00122E2C" w:rsidRDefault="004F4357" w:rsidP="004F4357">
      <w:pPr>
        <w:pBdr>
          <w:bottom w:val="double" w:sz="6" w:space="4" w:color="auto"/>
        </w:pBdr>
        <w:spacing w:line="360" w:lineRule="auto"/>
        <w:rPr>
          <w:rFonts w:ascii="Times New Roman" w:hAnsi="Times New Roman" w:cs="Times New Roman"/>
        </w:rPr>
      </w:pPr>
    </w:p>
    <w:p w14:paraId="72D00F4D" w14:textId="77777777" w:rsidR="004F4357" w:rsidRPr="00122E2C" w:rsidRDefault="004F4357" w:rsidP="004F4357">
      <w:pPr>
        <w:pBdr>
          <w:bottom w:val="double" w:sz="6" w:space="4" w:color="auto"/>
        </w:pBdr>
        <w:spacing w:line="360" w:lineRule="auto"/>
        <w:rPr>
          <w:rFonts w:ascii="Times New Roman" w:hAnsi="Times New Roman" w:cs="Times New Roman"/>
        </w:rPr>
      </w:pPr>
    </w:p>
    <w:p w14:paraId="638BED49" w14:textId="77777777" w:rsidR="00122E2C" w:rsidRDefault="00122E2C" w:rsidP="004F4357">
      <w:pPr>
        <w:pBdr>
          <w:bottom w:val="double" w:sz="6" w:space="4" w:color="auto"/>
        </w:pBdr>
        <w:spacing w:line="360" w:lineRule="auto"/>
        <w:rPr>
          <w:rFonts w:ascii="Times New Roman" w:hAnsi="Times New Roman" w:cs="Times New Roman"/>
        </w:rPr>
      </w:pPr>
    </w:p>
    <w:p w14:paraId="45B08529" w14:textId="77777777" w:rsidR="00122E2C" w:rsidRDefault="00122E2C" w:rsidP="004F4357">
      <w:pPr>
        <w:pBdr>
          <w:bottom w:val="double" w:sz="6" w:space="4" w:color="auto"/>
        </w:pBdr>
        <w:spacing w:line="360" w:lineRule="auto"/>
        <w:rPr>
          <w:rFonts w:ascii="Times New Roman" w:hAnsi="Times New Roman" w:cs="Times New Roman"/>
        </w:rPr>
      </w:pPr>
    </w:p>
    <w:p w14:paraId="08F6E0AD" w14:textId="77777777" w:rsidR="00122E2C" w:rsidRDefault="00122E2C" w:rsidP="004F4357">
      <w:pPr>
        <w:pBdr>
          <w:bottom w:val="double" w:sz="6" w:space="4" w:color="auto"/>
        </w:pBdr>
        <w:spacing w:line="360" w:lineRule="auto"/>
        <w:rPr>
          <w:rFonts w:ascii="Times New Roman" w:hAnsi="Times New Roman" w:cs="Times New Roman"/>
        </w:rPr>
      </w:pPr>
    </w:p>
    <w:p w14:paraId="23B223D3" w14:textId="77777777" w:rsidR="00122E2C" w:rsidRDefault="00122E2C" w:rsidP="004F4357">
      <w:pPr>
        <w:pBdr>
          <w:bottom w:val="double" w:sz="6" w:space="4" w:color="auto"/>
        </w:pBdr>
        <w:spacing w:line="360" w:lineRule="auto"/>
        <w:rPr>
          <w:rFonts w:ascii="Times New Roman" w:hAnsi="Times New Roman" w:cs="Times New Roman"/>
        </w:rPr>
      </w:pPr>
    </w:p>
    <w:p w14:paraId="366DDB44" w14:textId="77777777" w:rsidR="00122E2C" w:rsidRDefault="00122E2C" w:rsidP="004F4357">
      <w:pPr>
        <w:pBdr>
          <w:bottom w:val="double" w:sz="6" w:space="4" w:color="auto"/>
        </w:pBdr>
        <w:spacing w:line="360" w:lineRule="auto"/>
        <w:rPr>
          <w:rFonts w:ascii="Times New Roman" w:hAnsi="Times New Roman" w:cs="Times New Roman"/>
        </w:rPr>
      </w:pPr>
    </w:p>
    <w:p w14:paraId="1A7ED493" w14:textId="77777777" w:rsidR="00122E2C" w:rsidRDefault="00122E2C" w:rsidP="004F4357">
      <w:pPr>
        <w:pBdr>
          <w:bottom w:val="double" w:sz="6" w:space="4" w:color="auto"/>
        </w:pBdr>
        <w:spacing w:line="360" w:lineRule="auto"/>
        <w:rPr>
          <w:rFonts w:ascii="Times New Roman" w:hAnsi="Times New Roman" w:cs="Times New Roman"/>
        </w:rPr>
      </w:pPr>
    </w:p>
    <w:p w14:paraId="3D6ECDA8" w14:textId="77777777" w:rsidR="00122E2C" w:rsidRDefault="00122E2C" w:rsidP="004F4357">
      <w:pPr>
        <w:pBdr>
          <w:bottom w:val="double" w:sz="6" w:space="4" w:color="auto"/>
        </w:pBdr>
        <w:spacing w:line="360" w:lineRule="auto"/>
        <w:rPr>
          <w:rFonts w:ascii="Times New Roman" w:hAnsi="Times New Roman" w:cs="Times New Roman"/>
        </w:rPr>
      </w:pPr>
    </w:p>
    <w:p w14:paraId="4C984873" w14:textId="0EADD270" w:rsidR="004F4357" w:rsidRPr="00122E2C" w:rsidRDefault="004F4357" w:rsidP="004F4357">
      <w:pPr>
        <w:pBdr>
          <w:bottom w:val="double" w:sz="6" w:space="4" w:color="auto"/>
        </w:pBdr>
        <w:spacing w:line="360" w:lineRule="auto"/>
        <w:rPr>
          <w:rFonts w:ascii="Times New Roman" w:hAnsi="Times New Roman" w:cs="Times New Roman"/>
        </w:rPr>
      </w:pPr>
      <w:r w:rsidRPr="00122E2C">
        <w:rPr>
          <w:rFonts w:ascii="Times New Roman" w:hAnsi="Times New Roman" w:cs="Times New Roman"/>
          <w:b/>
          <w:bCs/>
        </w:rPr>
        <w:lastRenderedPageBreak/>
        <w:t xml:space="preserve">Reference list. </w:t>
      </w:r>
    </w:p>
    <w:p w14:paraId="09205346" w14:textId="77777777" w:rsidR="004F4357" w:rsidRPr="00122E2C" w:rsidRDefault="004F4357" w:rsidP="004F4357">
      <w:pPr>
        <w:spacing w:line="360" w:lineRule="auto"/>
        <w:rPr>
          <w:rFonts w:ascii="Times New Roman" w:hAnsi="Times New Roman" w:cs="Times New Roman"/>
        </w:rPr>
      </w:pPr>
      <w:r w:rsidRPr="00122E2C">
        <w:rPr>
          <w:rFonts w:ascii="Times New Roman" w:hAnsi="Times New Roman" w:cs="Times New Roman"/>
        </w:rPr>
        <w:t xml:space="preserve">Anon (2020) Elliott and </w:t>
      </w:r>
      <w:proofErr w:type="spellStart"/>
      <w:r w:rsidRPr="00122E2C">
        <w:rPr>
          <w:rFonts w:ascii="Times New Roman" w:hAnsi="Times New Roman" w:cs="Times New Roman"/>
        </w:rPr>
        <w:t>Quinnʹs</w:t>
      </w:r>
      <w:proofErr w:type="spellEnd"/>
      <w:r w:rsidRPr="00122E2C">
        <w:rPr>
          <w:rFonts w:ascii="Times New Roman" w:hAnsi="Times New Roman" w:cs="Times New Roman"/>
        </w:rPr>
        <w:t xml:space="preserve"> English legal system /. Twenty-first edition. Harlow, Pearson Education Limited.</w:t>
      </w:r>
    </w:p>
    <w:p w14:paraId="382762B2" w14:textId="77777777" w:rsidR="004F4357" w:rsidRPr="00122E2C" w:rsidRDefault="004F4357" w:rsidP="004F4357">
      <w:pPr>
        <w:spacing w:line="360" w:lineRule="auto"/>
        <w:rPr>
          <w:rFonts w:ascii="Times New Roman" w:hAnsi="Times New Roman" w:cs="Times New Roman"/>
        </w:rPr>
      </w:pPr>
      <w:r w:rsidRPr="00122E2C">
        <w:rPr>
          <w:rFonts w:ascii="Times New Roman" w:hAnsi="Times New Roman" w:cs="Times New Roman"/>
        </w:rPr>
        <w:t xml:space="preserve">Barba, N. (2018). </w:t>
      </w:r>
      <w:r w:rsidRPr="00122E2C">
        <w:rPr>
          <w:rFonts w:ascii="Times New Roman" w:hAnsi="Times New Roman" w:cs="Times New Roman"/>
          <w:i/>
          <w:iCs/>
        </w:rPr>
        <w:t xml:space="preserve">The constitutional state. </w:t>
      </w:r>
      <w:r w:rsidRPr="00122E2C">
        <w:rPr>
          <w:rFonts w:ascii="Times New Roman" w:hAnsi="Times New Roman" w:cs="Times New Roman"/>
        </w:rPr>
        <w:t xml:space="preserve">Oxford. Oxford University Press. </w:t>
      </w:r>
    </w:p>
    <w:p w14:paraId="5A021E54" w14:textId="77777777" w:rsidR="004F4357" w:rsidRPr="00122E2C" w:rsidRDefault="004F4357" w:rsidP="004F4357">
      <w:pPr>
        <w:spacing w:line="360" w:lineRule="auto"/>
        <w:rPr>
          <w:rFonts w:ascii="Times New Roman" w:hAnsi="Times New Roman" w:cs="Times New Roman"/>
        </w:rPr>
      </w:pPr>
      <w:r w:rsidRPr="00122E2C">
        <w:rPr>
          <w:rFonts w:ascii="Times New Roman" w:hAnsi="Times New Roman" w:cs="Times New Roman"/>
        </w:rPr>
        <w:t xml:space="preserve">Barendt. (2018). Media law: </w:t>
      </w:r>
      <w:r w:rsidRPr="00122E2C">
        <w:rPr>
          <w:rFonts w:ascii="Times New Roman" w:hAnsi="Times New Roman" w:cs="Times New Roman"/>
          <w:i/>
          <w:iCs/>
        </w:rPr>
        <w:t xml:space="preserve">Cases and Materials. </w:t>
      </w:r>
      <w:r w:rsidRPr="00122E2C">
        <w:rPr>
          <w:rFonts w:ascii="Times New Roman" w:hAnsi="Times New Roman" w:cs="Times New Roman"/>
        </w:rPr>
        <w:t>Cambridge. Cambridge University Press.</w:t>
      </w:r>
    </w:p>
    <w:p w14:paraId="1E526A4A" w14:textId="77777777" w:rsidR="004F4357" w:rsidRPr="00122E2C" w:rsidRDefault="004F4357" w:rsidP="004F4357">
      <w:pPr>
        <w:spacing w:line="360" w:lineRule="auto"/>
        <w:rPr>
          <w:rFonts w:ascii="Times New Roman" w:hAnsi="Times New Roman" w:cs="Times New Roman"/>
        </w:rPr>
      </w:pPr>
      <w:r w:rsidRPr="00122E2C">
        <w:rPr>
          <w:rFonts w:ascii="Times New Roman" w:hAnsi="Times New Roman" w:cs="Times New Roman"/>
        </w:rPr>
        <w:t xml:space="preserve">Bingham, T., 2010. </w:t>
      </w:r>
      <w:r w:rsidRPr="00122E2C">
        <w:rPr>
          <w:rStyle w:val="Emphasis"/>
          <w:rFonts w:ascii="Times New Roman" w:hAnsi="Times New Roman" w:cs="Times New Roman"/>
        </w:rPr>
        <w:t>The Rule of Law</w:t>
      </w:r>
      <w:r w:rsidRPr="00122E2C">
        <w:rPr>
          <w:rFonts w:ascii="Times New Roman" w:hAnsi="Times New Roman" w:cs="Times New Roman"/>
        </w:rPr>
        <w:t>. London: Penguin Books.</w:t>
      </w:r>
    </w:p>
    <w:p w14:paraId="5AC45054" w14:textId="77777777" w:rsidR="004F4357" w:rsidRPr="00122E2C" w:rsidRDefault="004F4357" w:rsidP="004F4357">
      <w:pPr>
        <w:spacing w:line="360" w:lineRule="auto"/>
        <w:rPr>
          <w:rFonts w:ascii="Times New Roman" w:hAnsi="Times New Roman" w:cs="Times New Roman"/>
        </w:rPr>
      </w:pPr>
      <w:proofErr w:type="spellStart"/>
      <w:r w:rsidRPr="00122E2C">
        <w:rPr>
          <w:rFonts w:ascii="Times New Roman" w:hAnsi="Times New Roman" w:cs="Times New Roman"/>
        </w:rPr>
        <w:t>Bogdanor</w:t>
      </w:r>
      <w:proofErr w:type="spellEnd"/>
      <w:r w:rsidRPr="00122E2C">
        <w:rPr>
          <w:rFonts w:ascii="Times New Roman" w:hAnsi="Times New Roman" w:cs="Times New Roman"/>
        </w:rPr>
        <w:t>, V (2009). The new British constitution. London. Hart Publishing.</w:t>
      </w:r>
    </w:p>
    <w:p w14:paraId="384A903E" w14:textId="77777777" w:rsidR="004F4357" w:rsidRPr="00122E2C" w:rsidRDefault="004F4357" w:rsidP="004F4357">
      <w:pPr>
        <w:spacing w:line="360" w:lineRule="auto"/>
        <w:rPr>
          <w:rFonts w:ascii="Times New Roman" w:hAnsi="Times New Roman" w:cs="Times New Roman"/>
        </w:rPr>
      </w:pPr>
      <w:r w:rsidRPr="00122E2C">
        <w:rPr>
          <w:rFonts w:ascii="Times New Roman" w:hAnsi="Times New Roman" w:cs="Times New Roman"/>
        </w:rPr>
        <w:t>Bradley, A, W. and, K, D. Ewing, (2018).</w:t>
      </w:r>
      <w:r w:rsidRPr="00122E2C">
        <w:rPr>
          <w:rFonts w:ascii="Times New Roman" w:hAnsi="Times New Roman" w:cs="Times New Roman"/>
          <w:i/>
          <w:iCs/>
        </w:rPr>
        <w:t xml:space="preserve"> Constitutional and Administrative</w:t>
      </w:r>
      <w:r w:rsidRPr="00122E2C">
        <w:rPr>
          <w:rFonts w:ascii="Times New Roman" w:hAnsi="Times New Roman" w:cs="Times New Roman"/>
        </w:rPr>
        <w:t xml:space="preserve"> law 15</w:t>
      </w:r>
      <w:r w:rsidRPr="00122E2C">
        <w:rPr>
          <w:rFonts w:ascii="Times New Roman" w:hAnsi="Times New Roman" w:cs="Times New Roman"/>
          <w:vertAlign w:val="superscript"/>
        </w:rPr>
        <w:t>th</w:t>
      </w:r>
      <w:r w:rsidRPr="00122E2C">
        <w:rPr>
          <w:rFonts w:ascii="Times New Roman" w:hAnsi="Times New Roman" w:cs="Times New Roman"/>
        </w:rPr>
        <w:t xml:space="preserve"> </w:t>
      </w:r>
      <w:proofErr w:type="spellStart"/>
      <w:r w:rsidRPr="00122E2C">
        <w:rPr>
          <w:rFonts w:ascii="Times New Roman" w:hAnsi="Times New Roman" w:cs="Times New Roman"/>
        </w:rPr>
        <w:t>edn</w:t>
      </w:r>
      <w:proofErr w:type="spellEnd"/>
      <w:r w:rsidRPr="00122E2C">
        <w:rPr>
          <w:rFonts w:ascii="Times New Roman" w:hAnsi="Times New Roman" w:cs="Times New Roman"/>
        </w:rPr>
        <w:t xml:space="preserve">. London. London Press. </w:t>
      </w:r>
    </w:p>
    <w:p w14:paraId="1F8C5951" w14:textId="77777777" w:rsidR="004F4357" w:rsidRPr="00122E2C" w:rsidRDefault="004F4357" w:rsidP="004F4357">
      <w:pPr>
        <w:spacing w:line="360" w:lineRule="auto"/>
        <w:rPr>
          <w:rFonts w:ascii="Times New Roman" w:hAnsi="Times New Roman" w:cs="Times New Roman"/>
        </w:rPr>
      </w:pPr>
      <w:r w:rsidRPr="00122E2C">
        <w:rPr>
          <w:rFonts w:ascii="Times New Roman" w:hAnsi="Times New Roman" w:cs="Times New Roman"/>
        </w:rPr>
        <w:t xml:space="preserve">Dicey, A.V., (1885). </w:t>
      </w:r>
      <w:r w:rsidRPr="00122E2C">
        <w:rPr>
          <w:rStyle w:val="Emphasis"/>
          <w:rFonts w:ascii="Times New Roman" w:hAnsi="Times New Roman" w:cs="Times New Roman"/>
        </w:rPr>
        <w:t>Introduction to the Study of the Law of the Constitution</w:t>
      </w:r>
      <w:r w:rsidRPr="00122E2C">
        <w:rPr>
          <w:rFonts w:ascii="Times New Roman" w:hAnsi="Times New Roman" w:cs="Times New Roman"/>
        </w:rPr>
        <w:t>. 8th ed. London: Macmillan.</w:t>
      </w:r>
    </w:p>
    <w:p w14:paraId="664B3424" w14:textId="77777777" w:rsidR="004F4357" w:rsidRPr="00122E2C" w:rsidRDefault="004F4357" w:rsidP="004F4357">
      <w:pPr>
        <w:spacing w:line="360" w:lineRule="auto"/>
        <w:rPr>
          <w:rFonts w:ascii="Times New Roman" w:hAnsi="Times New Roman" w:cs="Times New Roman"/>
        </w:rPr>
      </w:pPr>
      <w:r w:rsidRPr="00122E2C">
        <w:rPr>
          <w:rFonts w:ascii="Times New Roman" w:hAnsi="Times New Roman" w:cs="Times New Roman"/>
        </w:rPr>
        <w:t xml:space="preserve">Elliott, M., (2001). </w:t>
      </w:r>
      <w:r w:rsidRPr="00122E2C">
        <w:rPr>
          <w:rStyle w:val="Emphasis"/>
          <w:rFonts w:ascii="Times New Roman" w:hAnsi="Times New Roman" w:cs="Times New Roman"/>
        </w:rPr>
        <w:t>The Constitutional Foundations of Judicial Review</w:t>
      </w:r>
      <w:r w:rsidRPr="00122E2C">
        <w:rPr>
          <w:rFonts w:ascii="Times New Roman" w:hAnsi="Times New Roman" w:cs="Times New Roman"/>
        </w:rPr>
        <w:t>. Oxford: Oxford University Press.</w:t>
      </w:r>
    </w:p>
    <w:p w14:paraId="6E1C405D" w14:textId="77777777" w:rsidR="004F4357" w:rsidRPr="00122E2C" w:rsidRDefault="004F4357" w:rsidP="004F4357">
      <w:pPr>
        <w:spacing w:line="360" w:lineRule="auto"/>
        <w:rPr>
          <w:rFonts w:ascii="Times New Roman" w:hAnsi="Times New Roman" w:cs="Times New Roman"/>
        </w:rPr>
      </w:pPr>
      <w:r w:rsidRPr="00122E2C">
        <w:rPr>
          <w:rFonts w:ascii="Times New Roman" w:hAnsi="Times New Roman" w:cs="Times New Roman"/>
        </w:rPr>
        <w:t>English legal system, 4</w:t>
      </w:r>
      <w:r w:rsidRPr="00122E2C">
        <w:rPr>
          <w:rFonts w:ascii="Times New Roman" w:hAnsi="Times New Roman" w:cs="Times New Roman"/>
          <w:vertAlign w:val="superscript"/>
        </w:rPr>
        <w:t>th</w:t>
      </w:r>
      <w:r w:rsidRPr="00122E2C">
        <w:rPr>
          <w:rFonts w:ascii="Times New Roman" w:hAnsi="Times New Roman" w:cs="Times New Roman"/>
        </w:rPr>
        <w:t xml:space="preserve"> </w:t>
      </w:r>
      <w:proofErr w:type="spellStart"/>
      <w:r w:rsidRPr="00122E2C">
        <w:rPr>
          <w:rFonts w:ascii="Times New Roman" w:hAnsi="Times New Roman" w:cs="Times New Roman"/>
        </w:rPr>
        <w:t>edn</w:t>
      </w:r>
      <w:proofErr w:type="spellEnd"/>
      <w:r w:rsidRPr="00122E2C">
        <w:rPr>
          <w:rFonts w:ascii="Times New Roman" w:hAnsi="Times New Roman" w:cs="Times New Roman"/>
        </w:rPr>
        <w:t xml:space="preserve">, (2020), oxford. Publisher: Oxford University Press. </w:t>
      </w:r>
    </w:p>
    <w:p w14:paraId="4CDE1038" w14:textId="77777777" w:rsidR="004F4357" w:rsidRPr="00122E2C" w:rsidRDefault="004F4357" w:rsidP="004F4357">
      <w:pPr>
        <w:spacing w:line="360" w:lineRule="auto"/>
        <w:rPr>
          <w:rFonts w:ascii="Times New Roman" w:hAnsi="Times New Roman" w:cs="Times New Roman"/>
        </w:rPr>
      </w:pPr>
      <w:bookmarkStart w:id="0" w:name="_Hlk191939493"/>
      <w:r w:rsidRPr="00122E2C">
        <w:rPr>
          <w:rFonts w:ascii="Times New Roman" w:hAnsi="Times New Roman" w:cs="Times New Roman"/>
        </w:rPr>
        <w:t>Feldman, D., (2012</w:t>
      </w:r>
      <w:bookmarkEnd w:id="0"/>
      <w:r w:rsidRPr="00122E2C">
        <w:rPr>
          <w:rFonts w:ascii="Times New Roman" w:hAnsi="Times New Roman" w:cs="Times New Roman"/>
        </w:rPr>
        <w:t xml:space="preserve">). </w:t>
      </w:r>
      <w:r w:rsidRPr="00122E2C">
        <w:rPr>
          <w:rStyle w:val="Emphasis"/>
          <w:rFonts w:ascii="Times New Roman" w:hAnsi="Times New Roman" w:cs="Times New Roman"/>
        </w:rPr>
        <w:t>The Development of English Public Law: A Casebook</w:t>
      </w:r>
      <w:r w:rsidRPr="00122E2C">
        <w:rPr>
          <w:rFonts w:ascii="Times New Roman" w:hAnsi="Times New Roman" w:cs="Times New Roman"/>
        </w:rPr>
        <w:t>. Oxford: Oxford University Press.</w:t>
      </w:r>
    </w:p>
    <w:p w14:paraId="7E21057D" w14:textId="77777777" w:rsidR="004F4357" w:rsidRPr="00122E2C" w:rsidRDefault="004F4357" w:rsidP="004F4357">
      <w:pPr>
        <w:spacing w:line="360" w:lineRule="auto"/>
        <w:rPr>
          <w:rFonts w:ascii="Times New Roman" w:hAnsi="Times New Roman" w:cs="Times New Roman"/>
        </w:rPr>
      </w:pPr>
      <w:r w:rsidRPr="00122E2C">
        <w:rPr>
          <w:rFonts w:ascii="Times New Roman" w:hAnsi="Times New Roman" w:cs="Times New Roman"/>
        </w:rPr>
        <w:t xml:space="preserve">Gearty, C., (2009). </w:t>
      </w:r>
      <w:r w:rsidRPr="00122E2C">
        <w:rPr>
          <w:rStyle w:val="Emphasis"/>
          <w:rFonts w:ascii="Times New Roman" w:hAnsi="Times New Roman" w:cs="Times New Roman"/>
        </w:rPr>
        <w:t>Liberty and Security: The Case for Reform of British Constitutional Law</w:t>
      </w:r>
      <w:r w:rsidRPr="00122E2C">
        <w:rPr>
          <w:rFonts w:ascii="Times New Roman" w:hAnsi="Times New Roman" w:cs="Times New Roman"/>
        </w:rPr>
        <w:t>. Oxford: Oxford University Press.</w:t>
      </w:r>
    </w:p>
    <w:p w14:paraId="53DC81BF" w14:textId="77777777" w:rsidR="004F4357" w:rsidRPr="00122E2C" w:rsidRDefault="004F4357" w:rsidP="004F4357">
      <w:pPr>
        <w:spacing w:line="360" w:lineRule="auto"/>
        <w:rPr>
          <w:rFonts w:ascii="Times New Roman" w:hAnsi="Times New Roman" w:cs="Times New Roman"/>
        </w:rPr>
      </w:pPr>
      <w:r w:rsidRPr="00122E2C">
        <w:rPr>
          <w:rFonts w:ascii="Times New Roman" w:hAnsi="Times New Roman" w:cs="Times New Roman"/>
        </w:rPr>
        <w:t>Introducing to the English legal system (2021).15</w:t>
      </w:r>
      <w:r w:rsidRPr="00122E2C">
        <w:rPr>
          <w:rFonts w:ascii="Times New Roman" w:hAnsi="Times New Roman" w:cs="Times New Roman"/>
          <w:vertAlign w:val="superscript"/>
        </w:rPr>
        <w:t>th</w:t>
      </w:r>
      <w:r w:rsidRPr="00122E2C">
        <w:rPr>
          <w:rFonts w:ascii="Times New Roman" w:hAnsi="Times New Roman" w:cs="Times New Roman"/>
        </w:rPr>
        <w:t xml:space="preserve"> </w:t>
      </w:r>
      <w:proofErr w:type="spellStart"/>
      <w:r w:rsidRPr="00122E2C">
        <w:rPr>
          <w:rFonts w:ascii="Times New Roman" w:hAnsi="Times New Roman" w:cs="Times New Roman"/>
        </w:rPr>
        <w:t>edn</w:t>
      </w:r>
      <w:proofErr w:type="spellEnd"/>
      <w:r w:rsidRPr="00122E2C">
        <w:rPr>
          <w:rFonts w:ascii="Times New Roman" w:hAnsi="Times New Roman" w:cs="Times New Roman"/>
        </w:rPr>
        <w:t xml:space="preserve">.; Oxford, Oxford, University Press. </w:t>
      </w:r>
    </w:p>
    <w:p w14:paraId="4D6A679C" w14:textId="77777777" w:rsidR="004F4357" w:rsidRPr="00122E2C" w:rsidRDefault="004F4357" w:rsidP="004F4357">
      <w:pPr>
        <w:spacing w:line="360" w:lineRule="auto"/>
        <w:rPr>
          <w:rFonts w:ascii="Times New Roman" w:hAnsi="Times New Roman" w:cs="Times New Roman"/>
        </w:rPr>
      </w:pPr>
      <w:r w:rsidRPr="00122E2C">
        <w:rPr>
          <w:rFonts w:ascii="Times New Roman" w:hAnsi="Times New Roman" w:cs="Times New Roman"/>
        </w:rPr>
        <w:t xml:space="preserve">Journal of law and society. (1982). Oxford&lt; Publisher: Martin Roberson. </w:t>
      </w:r>
    </w:p>
    <w:p w14:paraId="0615A2BE" w14:textId="77777777" w:rsidR="004F4357" w:rsidRPr="00122E2C" w:rsidRDefault="004F4357" w:rsidP="004F4357">
      <w:pPr>
        <w:spacing w:line="360" w:lineRule="auto"/>
        <w:rPr>
          <w:rFonts w:ascii="Times New Roman" w:hAnsi="Times New Roman" w:cs="Times New Roman"/>
        </w:rPr>
      </w:pPr>
      <w:r w:rsidRPr="00122E2C">
        <w:rPr>
          <w:rFonts w:ascii="Times New Roman" w:hAnsi="Times New Roman" w:cs="Times New Roman"/>
        </w:rPr>
        <w:t xml:space="preserve">Jowell, J., (2011). </w:t>
      </w:r>
      <w:r w:rsidRPr="00122E2C">
        <w:rPr>
          <w:rStyle w:val="Emphasis"/>
          <w:rFonts w:ascii="Times New Roman" w:hAnsi="Times New Roman" w:cs="Times New Roman"/>
        </w:rPr>
        <w:t>The United Kingdom Constitution: A Contextual Analysis</w:t>
      </w:r>
      <w:r w:rsidRPr="00122E2C">
        <w:rPr>
          <w:rFonts w:ascii="Times New Roman" w:hAnsi="Times New Roman" w:cs="Times New Roman"/>
        </w:rPr>
        <w:t>. Oxford: Hart Publishing.</w:t>
      </w:r>
    </w:p>
    <w:p w14:paraId="0711090D" w14:textId="77777777" w:rsidR="004F4357" w:rsidRPr="00122E2C" w:rsidRDefault="004F4357" w:rsidP="004F4357">
      <w:pPr>
        <w:spacing w:line="360" w:lineRule="auto"/>
        <w:rPr>
          <w:rFonts w:ascii="Times New Roman" w:hAnsi="Times New Roman" w:cs="Times New Roman"/>
        </w:rPr>
      </w:pPr>
      <w:r w:rsidRPr="00122E2C">
        <w:rPr>
          <w:rFonts w:ascii="Times New Roman" w:hAnsi="Times New Roman" w:cs="Times New Roman"/>
        </w:rPr>
        <w:t xml:space="preserve">Loughlin, M. (2013) </w:t>
      </w:r>
      <w:r w:rsidRPr="00122E2C">
        <w:rPr>
          <w:rStyle w:val="Emphasis"/>
          <w:rFonts w:ascii="Times New Roman" w:hAnsi="Times New Roman" w:cs="Times New Roman"/>
        </w:rPr>
        <w:t>The UK Constitution: A Very Short Introduction</w:t>
      </w:r>
      <w:r w:rsidRPr="00122E2C">
        <w:rPr>
          <w:rFonts w:ascii="Times New Roman" w:hAnsi="Times New Roman" w:cs="Times New Roman"/>
        </w:rPr>
        <w:t>. Oxford: Oxford University Press.</w:t>
      </w:r>
    </w:p>
    <w:p w14:paraId="3394E9C7" w14:textId="77777777" w:rsidR="004F4357" w:rsidRPr="00122E2C" w:rsidRDefault="004F4357" w:rsidP="004F4357">
      <w:pPr>
        <w:spacing w:line="360" w:lineRule="auto"/>
        <w:rPr>
          <w:rFonts w:ascii="Times New Roman" w:hAnsi="Times New Roman" w:cs="Times New Roman"/>
          <w:i/>
          <w:iCs/>
        </w:rPr>
      </w:pPr>
      <w:r w:rsidRPr="00122E2C">
        <w:rPr>
          <w:rFonts w:ascii="Times New Roman" w:hAnsi="Times New Roman" w:cs="Times New Roman"/>
        </w:rPr>
        <w:t xml:space="preserve">Loveland. </w:t>
      </w:r>
      <w:proofErr w:type="gramStart"/>
      <w:r w:rsidRPr="00122E2C">
        <w:rPr>
          <w:rFonts w:ascii="Times New Roman" w:hAnsi="Times New Roman" w:cs="Times New Roman"/>
        </w:rPr>
        <w:t>I  (</w:t>
      </w:r>
      <w:proofErr w:type="gramEnd"/>
      <w:r w:rsidRPr="00122E2C">
        <w:rPr>
          <w:rFonts w:ascii="Times New Roman" w:hAnsi="Times New Roman" w:cs="Times New Roman"/>
        </w:rPr>
        <w:t>2016) “</w:t>
      </w:r>
      <w:r w:rsidRPr="00122E2C">
        <w:rPr>
          <w:rFonts w:ascii="Times New Roman" w:hAnsi="Times New Roman" w:cs="Times New Roman"/>
          <w:i/>
          <w:iCs/>
        </w:rPr>
        <w:t xml:space="preserve">The Prince Charles Letters” case, freedom of information and executive power. Public law review, 2016 (4) PP 567-590. </w:t>
      </w:r>
    </w:p>
    <w:p w14:paraId="72D937A7" w14:textId="77777777" w:rsidR="004F4357" w:rsidRPr="00122E2C" w:rsidRDefault="004F4357" w:rsidP="004F4357">
      <w:pPr>
        <w:spacing w:line="360" w:lineRule="auto"/>
        <w:rPr>
          <w:rFonts w:ascii="Times New Roman" w:hAnsi="Times New Roman" w:cs="Times New Roman"/>
        </w:rPr>
      </w:pPr>
      <w:r w:rsidRPr="00122E2C">
        <w:rPr>
          <w:rFonts w:ascii="Times New Roman" w:hAnsi="Times New Roman" w:cs="Times New Roman"/>
        </w:rPr>
        <w:t xml:space="preserve">Marshall, G., 1984. </w:t>
      </w:r>
      <w:r w:rsidRPr="00122E2C">
        <w:rPr>
          <w:rStyle w:val="Emphasis"/>
          <w:rFonts w:ascii="Times New Roman" w:hAnsi="Times New Roman" w:cs="Times New Roman"/>
        </w:rPr>
        <w:t>Constitutional Theory</w:t>
      </w:r>
      <w:r w:rsidRPr="00122E2C">
        <w:rPr>
          <w:rFonts w:ascii="Times New Roman" w:hAnsi="Times New Roman" w:cs="Times New Roman"/>
        </w:rPr>
        <w:t>. Oxford: Oxford University Press.</w:t>
      </w:r>
    </w:p>
    <w:p w14:paraId="123902FF" w14:textId="77777777" w:rsidR="004F4357" w:rsidRPr="00122E2C" w:rsidRDefault="004F4357" w:rsidP="004F4357">
      <w:pPr>
        <w:spacing w:line="360" w:lineRule="auto"/>
        <w:rPr>
          <w:rFonts w:ascii="Times New Roman" w:hAnsi="Times New Roman" w:cs="Times New Roman"/>
        </w:rPr>
      </w:pPr>
      <w:r w:rsidRPr="00122E2C">
        <w:rPr>
          <w:rFonts w:ascii="Times New Roman" w:hAnsi="Times New Roman" w:cs="Times New Roman"/>
          <w:i/>
          <w:iCs/>
        </w:rPr>
        <w:lastRenderedPageBreak/>
        <w:t xml:space="preserve">Montesquieu (1948), “The spirit of the laws” </w:t>
      </w:r>
      <w:r w:rsidRPr="00122E2C">
        <w:rPr>
          <w:rFonts w:ascii="Times New Roman" w:hAnsi="Times New Roman" w:cs="Times New Roman"/>
        </w:rPr>
        <w:t xml:space="preserve">Translated by Cohler, A.M. B, C. Miller, and, H, S. Stone. Cambridge. Cambridge University Press. </w:t>
      </w:r>
    </w:p>
    <w:p w14:paraId="3034B7E5" w14:textId="77777777" w:rsidR="004F4357" w:rsidRPr="00122E2C" w:rsidRDefault="004F4357" w:rsidP="004F4357">
      <w:pPr>
        <w:spacing w:line="360" w:lineRule="auto"/>
        <w:rPr>
          <w:rFonts w:ascii="Times New Roman" w:hAnsi="Times New Roman" w:cs="Times New Roman"/>
        </w:rPr>
      </w:pPr>
      <w:r w:rsidRPr="00122E2C">
        <w:rPr>
          <w:rFonts w:ascii="Times New Roman" w:hAnsi="Times New Roman" w:cs="Times New Roman"/>
        </w:rPr>
        <w:t>Oxford Journal of Legal Studies. (1981).</w:t>
      </w:r>
    </w:p>
    <w:p w14:paraId="717F9C10" w14:textId="77777777" w:rsidR="004F4357" w:rsidRPr="00122E2C" w:rsidRDefault="004F4357" w:rsidP="004F4357">
      <w:pPr>
        <w:spacing w:line="360" w:lineRule="auto"/>
        <w:rPr>
          <w:rFonts w:ascii="Times New Roman" w:hAnsi="Times New Roman" w:cs="Times New Roman"/>
        </w:rPr>
      </w:pPr>
      <w:r w:rsidRPr="00122E2C">
        <w:rPr>
          <w:rFonts w:ascii="Times New Roman" w:hAnsi="Times New Roman" w:cs="Times New Roman"/>
        </w:rPr>
        <w:t xml:space="preserve">Starmer, K. (1999) </w:t>
      </w:r>
      <w:r w:rsidRPr="00122E2C">
        <w:rPr>
          <w:rStyle w:val="Emphasis"/>
          <w:rFonts w:ascii="Times New Roman" w:hAnsi="Times New Roman" w:cs="Times New Roman"/>
        </w:rPr>
        <w:t>European Human Rights Law: The Human Rights Act 1998 and the European Convention on Human Rights</w:t>
      </w:r>
      <w:r w:rsidRPr="00122E2C">
        <w:rPr>
          <w:rFonts w:ascii="Times New Roman" w:hAnsi="Times New Roman" w:cs="Times New Roman"/>
        </w:rPr>
        <w:t>. London: Legal Action Group.</w:t>
      </w:r>
    </w:p>
    <w:p w14:paraId="479303C7" w14:textId="77777777" w:rsidR="004F4357" w:rsidRPr="00122E2C" w:rsidRDefault="004F4357" w:rsidP="004F4357">
      <w:pPr>
        <w:spacing w:line="360" w:lineRule="auto"/>
        <w:rPr>
          <w:rFonts w:ascii="Times New Roman" w:hAnsi="Times New Roman" w:cs="Times New Roman"/>
        </w:rPr>
      </w:pPr>
      <w:r w:rsidRPr="00122E2C">
        <w:rPr>
          <w:rFonts w:ascii="Times New Roman" w:hAnsi="Times New Roman" w:cs="Times New Roman"/>
        </w:rPr>
        <w:t>Turpin, C., and, Tomkins, A. (2011).</w:t>
      </w:r>
      <w:r w:rsidRPr="00122E2C">
        <w:rPr>
          <w:rFonts w:ascii="Times New Roman" w:hAnsi="Times New Roman" w:cs="Times New Roman"/>
          <w:i/>
          <w:iCs/>
        </w:rPr>
        <w:t xml:space="preserve"> The British government and the</w:t>
      </w:r>
      <w:r w:rsidRPr="00122E2C">
        <w:rPr>
          <w:rFonts w:ascii="Times New Roman" w:hAnsi="Times New Roman" w:cs="Times New Roman"/>
        </w:rPr>
        <w:t xml:space="preserve"> </w:t>
      </w:r>
      <w:r w:rsidRPr="00122E2C">
        <w:rPr>
          <w:rFonts w:ascii="Times New Roman" w:hAnsi="Times New Roman" w:cs="Times New Roman"/>
          <w:i/>
          <w:iCs/>
        </w:rPr>
        <w:t>constitution</w:t>
      </w:r>
      <w:r w:rsidRPr="00122E2C">
        <w:rPr>
          <w:rFonts w:ascii="Times New Roman" w:hAnsi="Times New Roman" w:cs="Times New Roman"/>
        </w:rPr>
        <w:t xml:space="preserve">: </w:t>
      </w:r>
      <w:r w:rsidRPr="00122E2C">
        <w:rPr>
          <w:rFonts w:ascii="Times New Roman" w:hAnsi="Times New Roman" w:cs="Times New Roman"/>
          <w:i/>
          <w:iCs/>
        </w:rPr>
        <w:t>text and Materials.</w:t>
      </w:r>
      <w:r w:rsidRPr="00122E2C">
        <w:rPr>
          <w:rFonts w:ascii="Times New Roman" w:hAnsi="Times New Roman" w:cs="Times New Roman"/>
        </w:rPr>
        <w:t xml:space="preserve"> 7</w:t>
      </w:r>
      <w:r w:rsidRPr="00122E2C">
        <w:rPr>
          <w:rFonts w:ascii="Times New Roman" w:hAnsi="Times New Roman" w:cs="Times New Roman"/>
          <w:vertAlign w:val="superscript"/>
        </w:rPr>
        <w:t>th</w:t>
      </w:r>
      <w:r w:rsidRPr="00122E2C">
        <w:rPr>
          <w:rFonts w:ascii="Times New Roman" w:hAnsi="Times New Roman" w:cs="Times New Roman"/>
        </w:rPr>
        <w:t xml:space="preserve"> in Cambridge: Cambridge University Press. </w:t>
      </w:r>
    </w:p>
    <w:p w14:paraId="6E04CDC5" w14:textId="77777777" w:rsidR="004F4357" w:rsidRPr="00122E2C" w:rsidRDefault="004F4357" w:rsidP="004F4357">
      <w:pPr>
        <w:spacing w:line="360" w:lineRule="auto"/>
        <w:rPr>
          <w:rFonts w:ascii="Times New Roman" w:hAnsi="Times New Roman" w:cs="Times New Roman"/>
        </w:rPr>
      </w:pPr>
      <w:r w:rsidRPr="00122E2C">
        <w:rPr>
          <w:rFonts w:ascii="Times New Roman" w:hAnsi="Times New Roman" w:cs="Times New Roman"/>
        </w:rPr>
        <w:t xml:space="preserve">United Kingdom (2005), </w:t>
      </w:r>
      <w:r w:rsidRPr="00122E2C">
        <w:rPr>
          <w:rFonts w:ascii="Times New Roman" w:hAnsi="Times New Roman" w:cs="Times New Roman"/>
          <w:i/>
          <w:iCs/>
        </w:rPr>
        <w:t xml:space="preserve">Constitutional Reform Act </w:t>
      </w:r>
      <w:r w:rsidRPr="00122E2C">
        <w:rPr>
          <w:rFonts w:ascii="Times New Roman" w:hAnsi="Times New Roman" w:cs="Times New Roman"/>
        </w:rPr>
        <w:t xml:space="preserve">(2005). London: The stationery office. </w:t>
      </w:r>
    </w:p>
    <w:p w14:paraId="48042462" w14:textId="77777777" w:rsidR="00C11890" w:rsidRDefault="00C11890"/>
    <w:sectPr w:rsidR="00C118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890"/>
    <w:rsid w:val="000008C0"/>
    <w:rsid w:val="00012139"/>
    <w:rsid w:val="00037843"/>
    <w:rsid w:val="000409EC"/>
    <w:rsid w:val="000428AF"/>
    <w:rsid w:val="00054075"/>
    <w:rsid w:val="00090C34"/>
    <w:rsid w:val="000B1B1C"/>
    <w:rsid w:val="000D4149"/>
    <w:rsid w:val="000E3682"/>
    <w:rsid w:val="000F4A89"/>
    <w:rsid w:val="00122E2C"/>
    <w:rsid w:val="00134ECA"/>
    <w:rsid w:val="001459D5"/>
    <w:rsid w:val="001755AC"/>
    <w:rsid w:val="001A14FC"/>
    <w:rsid w:val="001E473F"/>
    <w:rsid w:val="00212301"/>
    <w:rsid w:val="00240239"/>
    <w:rsid w:val="002A2602"/>
    <w:rsid w:val="002F5455"/>
    <w:rsid w:val="003173E9"/>
    <w:rsid w:val="0034420D"/>
    <w:rsid w:val="003508AC"/>
    <w:rsid w:val="00370D99"/>
    <w:rsid w:val="003A39A2"/>
    <w:rsid w:val="00405A71"/>
    <w:rsid w:val="00415966"/>
    <w:rsid w:val="004350C8"/>
    <w:rsid w:val="00472A16"/>
    <w:rsid w:val="004C0634"/>
    <w:rsid w:val="004C2876"/>
    <w:rsid w:val="004D40CB"/>
    <w:rsid w:val="004F4357"/>
    <w:rsid w:val="004F5132"/>
    <w:rsid w:val="00506BEC"/>
    <w:rsid w:val="005212FC"/>
    <w:rsid w:val="0055539C"/>
    <w:rsid w:val="00596C25"/>
    <w:rsid w:val="005B7175"/>
    <w:rsid w:val="005E3577"/>
    <w:rsid w:val="005E72AC"/>
    <w:rsid w:val="00603701"/>
    <w:rsid w:val="0063362A"/>
    <w:rsid w:val="006646F9"/>
    <w:rsid w:val="00685350"/>
    <w:rsid w:val="006A0D55"/>
    <w:rsid w:val="006C360C"/>
    <w:rsid w:val="006C4BC3"/>
    <w:rsid w:val="006C58D0"/>
    <w:rsid w:val="006D2931"/>
    <w:rsid w:val="006E11EE"/>
    <w:rsid w:val="006F0307"/>
    <w:rsid w:val="007052CC"/>
    <w:rsid w:val="007512BF"/>
    <w:rsid w:val="00751416"/>
    <w:rsid w:val="0075218A"/>
    <w:rsid w:val="007550AB"/>
    <w:rsid w:val="00762886"/>
    <w:rsid w:val="00766A7C"/>
    <w:rsid w:val="007B5E98"/>
    <w:rsid w:val="007D102A"/>
    <w:rsid w:val="007D3D49"/>
    <w:rsid w:val="00804F42"/>
    <w:rsid w:val="00812402"/>
    <w:rsid w:val="00881B66"/>
    <w:rsid w:val="008C3988"/>
    <w:rsid w:val="008C3CA9"/>
    <w:rsid w:val="008D4527"/>
    <w:rsid w:val="008F4860"/>
    <w:rsid w:val="00903DC8"/>
    <w:rsid w:val="00904D03"/>
    <w:rsid w:val="00913CD4"/>
    <w:rsid w:val="009162EA"/>
    <w:rsid w:val="009278C0"/>
    <w:rsid w:val="00984C63"/>
    <w:rsid w:val="00997304"/>
    <w:rsid w:val="009D0674"/>
    <w:rsid w:val="009D59B1"/>
    <w:rsid w:val="00A75CA4"/>
    <w:rsid w:val="00A974F2"/>
    <w:rsid w:val="00AB0ECE"/>
    <w:rsid w:val="00AB1E7D"/>
    <w:rsid w:val="00AC6A97"/>
    <w:rsid w:val="00AD1DCC"/>
    <w:rsid w:val="00AD44C7"/>
    <w:rsid w:val="00AF0757"/>
    <w:rsid w:val="00B21906"/>
    <w:rsid w:val="00B6301B"/>
    <w:rsid w:val="00B74228"/>
    <w:rsid w:val="00B8167F"/>
    <w:rsid w:val="00B907D8"/>
    <w:rsid w:val="00BB6E65"/>
    <w:rsid w:val="00BE04BA"/>
    <w:rsid w:val="00BE6DE6"/>
    <w:rsid w:val="00BF06FD"/>
    <w:rsid w:val="00BF1EC7"/>
    <w:rsid w:val="00C11890"/>
    <w:rsid w:val="00C41FAA"/>
    <w:rsid w:val="00C72CEF"/>
    <w:rsid w:val="00C731E3"/>
    <w:rsid w:val="00CB5AC7"/>
    <w:rsid w:val="00CD65D4"/>
    <w:rsid w:val="00CE7201"/>
    <w:rsid w:val="00D1411F"/>
    <w:rsid w:val="00D24ED2"/>
    <w:rsid w:val="00D47D65"/>
    <w:rsid w:val="00DD1F45"/>
    <w:rsid w:val="00DF12DD"/>
    <w:rsid w:val="00E33BA4"/>
    <w:rsid w:val="00E34FD4"/>
    <w:rsid w:val="00E466A1"/>
    <w:rsid w:val="00E65B36"/>
    <w:rsid w:val="00E745D9"/>
    <w:rsid w:val="00E87679"/>
    <w:rsid w:val="00EA0B7C"/>
    <w:rsid w:val="00EB3577"/>
    <w:rsid w:val="00F25DB7"/>
    <w:rsid w:val="00F761D2"/>
    <w:rsid w:val="00F84D0A"/>
    <w:rsid w:val="00FB153C"/>
    <w:rsid w:val="00FD4FE9"/>
    <w:rsid w:val="00FE5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135787"/>
  <w15:chartTrackingRefBased/>
  <w15:docId w15:val="{F1267835-092D-4FE3-9B41-7FCC5F3C9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1890"/>
    <w:pPr>
      <w:spacing w:line="276" w:lineRule="auto"/>
    </w:pPr>
  </w:style>
  <w:style w:type="paragraph" w:styleId="Heading1">
    <w:name w:val="heading 1"/>
    <w:basedOn w:val="Normal"/>
    <w:next w:val="Normal"/>
    <w:link w:val="Heading1Char"/>
    <w:uiPriority w:val="9"/>
    <w:qFormat/>
    <w:rsid w:val="00C11890"/>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1890"/>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1890"/>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1890"/>
    <w:pPr>
      <w:keepNext/>
      <w:keepLines/>
      <w:spacing w:before="80" w:after="40" w:line="278"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1890"/>
    <w:pPr>
      <w:keepNext/>
      <w:keepLines/>
      <w:spacing w:before="80" w:after="40" w:line="278"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1890"/>
    <w:pPr>
      <w:keepNext/>
      <w:keepLines/>
      <w:spacing w:before="40" w:after="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1890"/>
    <w:pPr>
      <w:keepNext/>
      <w:keepLines/>
      <w:spacing w:before="40" w:after="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1890"/>
    <w:pPr>
      <w:keepNext/>
      <w:keepLines/>
      <w:spacing w:after="0"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1890"/>
    <w:pPr>
      <w:keepNext/>
      <w:keepLines/>
      <w:spacing w:after="0" w:line="278"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8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18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18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18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18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18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18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18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1890"/>
    <w:rPr>
      <w:rFonts w:eastAsiaTheme="majorEastAsia" w:cstheme="majorBidi"/>
      <w:color w:val="272727" w:themeColor="text1" w:themeTint="D8"/>
    </w:rPr>
  </w:style>
  <w:style w:type="paragraph" w:styleId="Title">
    <w:name w:val="Title"/>
    <w:basedOn w:val="Normal"/>
    <w:next w:val="Normal"/>
    <w:link w:val="TitleChar"/>
    <w:uiPriority w:val="10"/>
    <w:qFormat/>
    <w:rsid w:val="00C118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18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1890"/>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18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1890"/>
    <w:pPr>
      <w:spacing w:before="160" w:line="278" w:lineRule="auto"/>
      <w:jc w:val="center"/>
    </w:pPr>
    <w:rPr>
      <w:i/>
      <w:iCs/>
      <w:color w:val="404040" w:themeColor="text1" w:themeTint="BF"/>
    </w:rPr>
  </w:style>
  <w:style w:type="character" w:customStyle="1" w:styleId="QuoteChar">
    <w:name w:val="Quote Char"/>
    <w:basedOn w:val="DefaultParagraphFont"/>
    <w:link w:val="Quote"/>
    <w:uiPriority w:val="29"/>
    <w:rsid w:val="00C11890"/>
    <w:rPr>
      <w:i/>
      <w:iCs/>
      <w:color w:val="404040" w:themeColor="text1" w:themeTint="BF"/>
    </w:rPr>
  </w:style>
  <w:style w:type="paragraph" w:styleId="ListParagraph">
    <w:name w:val="List Paragraph"/>
    <w:basedOn w:val="Normal"/>
    <w:uiPriority w:val="34"/>
    <w:qFormat/>
    <w:rsid w:val="00C11890"/>
    <w:pPr>
      <w:spacing w:line="278" w:lineRule="auto"/>
      <w:ind w:left="720"/>
      <w:contextualSpacing/>
    </w:pPr>
  </w:style>
  <w:style w:type="character" w:styleId="IntenseEmphasis">
    <w:name w:val="Intense Emphasis"/>
    <w:basedOn w:val="DefaultParagraphFont"/>
    <w:uiPriority w:val="21"/>
    <w:qFormat/>
    <w:rsid w:val="00C11890"/>
    <w:rPr>
      <w:i/>
      <w:iCs/>
      <w:color w:val="0F4761" w:themeColor="accent1" w:themeShade="BF"/>
    </w:rPr>
  </w:style>
  <w:style w:type="paragraph" w:styleId="IntenseQuote">
    <w:name w:val="Intense Quote"/>
    <w:basedOn w:val="Normal"/>
    <w:next w:val="Normal"/>
    <w:link w:val="IntenseQuoteChar"/>
    <w:uiPriority w:val="30"/>
    <w:qFormat/>
    <w:rsid w:val="00C11890"/>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1890"/>
    <w:rPr>
      <w:i/>
      <w:iCs/>
      <w:color w:val="0F4761" w:themeColor="accent1" w:themeShade="BF"/>
    </w:rPr>
  </w:style>
  <w:style w:type="character" w:styleId="IntenseReference">
    <w:name w:val="Intense Reference"/>
    <w:basedOn w:val="DefaultParagraphFont"/>
    <w:uiPriority w:val="32"/>
    <w:qFormat/>
    <w:rsid w:val="00C11890"/>
    <w:rPr>
      <w:b/>
      <w:bCs/>
      <w:smallCaps/>
      <w:color w:val="0F4761" w:themeColor="accent1" w:themeShade="BF"/>
      <w:spacing w:val="5"/>
    </w:rPr>
  </w:style>
  <w:style w:type="paragraph" w:styleId="NormalWeb">
    <w:name w:val="Normal (Web)"/>
    <w:basedOn w:val="Normal"/>
    <w:uiPriority w:val="99"/>
    <w:semiHidden/>
    <w:unhideWhenUsed/>
    <w:rsid w:val="00C1189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11890"/>
    <w:rPr>
      <w:b/>
      <w:bCs/>
    </w:rPr>
  </w:style>
  <w:style w:type="character" w:styleId="Emphasis">
    <w:name w:val="Emphasis"/>
    <w:basedOn w:val="DefaultParagraphFont"/>
    <w:uiPriority w:val="20"/>
    <w:qFormat/>
    <w:rsid w:val="00C1189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9909952">
      <w:bodyDiv w:val="1"/>
      <w:marLeft w:val="0"/>
      <w:marRight w:val="0"/>
      <w:marTop w:val="0"/>
      <w:marBottom w:val="0"/>
      <w:divBdr>
        <w:top w:val="none" w:sz="0" w:space="0" w:color="auto"/>
        <w:left w:val="none" w:sz="0" w:space="0" w:color="auto"/>
        <w:bottom w:val="none" w:sz="0" w:space="0" w:color="auto"/>
        <w:right w:val="none" w:sz="0" w:space="0" w:color="auto"/>
      </w:divBdr>
    </w:div>
    <w:div w:id="1377199395">
      <w:bodyDiv w:val="1"/>
      <w:marLeft w:val="0"/>
      <w:marRight w:val="0"/>
      <w:marTop w:val="0"/>
      <w:marBottom w:val="0"/>
      <w:divBdr>
        <w:top w:val="none" w:sz="0" w:space="0" w:color="auto"/>
        <w:left w:val="none" w:sz="0" w:space="0" w:color="auto"/>
        <w:bottom w:val="none" w:sz="0" w:space="0" w:color="auto"/>
        <w:right w:val="none" w:sz="0" w:space="0" w:color="auto"/>
      </w:divBdr>
    </w:div>
    <w:div w:id="1781098647">
      <w:bodyDiv w:val="1"/>
      <w:marLeft w:val="0"/>
      <w:marRight w:val="0"/>
      <w:marTop w:val="0"/>
      <w:marBottom w:val="0"/>
      <w:divBdr>
        <w:top w:val="none" w:sz="0" w:space="0" w:color="auto"/>
        <w:left w:val="none" w:sz="0" w:space="0" w:color="auto"/>
        <w:bottom w:val="none" w:sz="0" w:space="0" w:color="auto"/>
        <w:right w:val="none" w:sz="0" w:space="0" w:color="auto"/>
      </w:divBdr>
    </w:div>
    <w:div w:id="1827237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1705</Words>
  <Characters>10068</Characters>
  <Application>Microsoft Office Word</Application>
  <DocSecurity>0</DocSecurity>
  <Lines>179</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Jones</dc:creator>
  <cp:keywords/>
  <dc:description/>
  <cp:lastModifiedBy>Denise Jones</cp:lastModifiedBy>
  <cp:revision>3</cp:revision>
  <dcterms:created xsi:type="dcterms:W3CDTF">2025-03-06T19:11:00Z</dcterms:created>
  <dcterms:modified xsi:type="dcterms:W3CDTF">2025-03-06T19:15:00Z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d4d57263-397e-4a98-9b06-702486477c73</vt:lpwstr>
  </property>
</Properties>
</file>