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Web"/>
        <w:spacing w:before="0" w:after="0"/>
        <w:ind w:start="-180" w:end="-334"/>
        <w:rPr/>
      </w:pPr>
      <w:r>
        <w:rPr/>
        <w:drawing>
          <wp:inline distT="0" distB="0" distL="0" distR="0">
            <wp:extent cx="1907540" cy="635635"/>
            <wp:effectExtent l="0" t="0" r="0" b="0"/>
            <wp:docPr id="1"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title=""/>
                    <pic:cNvPicPr>
                      <a:picLocks noChangeAspect="1" noChangeArrowheads="1"/>
                    </pic:cNvPicPr>
                  </pic:nvPicPr>
                  <pic:blipFill>
                    <a:blip r:embed="rId2"/>
                    <a:stretch>
                      <a:fillRect/>
                    </a:stretch>
                  </pic:blipFill>
                  <pic:spPr bwMode="auto">
                    <a:xfrm>
                      <a:off x="0" y="0"/>
                      <a:ext cx="1907540" cy="635635"/>
                    </a:xfrm>
                    <a:prstGeom prst="rect">
                      <a:avLst/>
                    </a:prstGeom>
                    <a:ln w="19050">
                      <a:solidFill>
                        <a:srgbClr val="000000"/>
                      </a:solidFill>
                    </a:ln>
                  </pic:spPr>
                </pic:pic>
              </a:graphicData>
            </a:graphic>
          </wp:inline>
        </w:drawing>
      </w:r>
    </w:p>
    <w:p>
      <w:pPr>
        <w:pStyle w:val="NormalWeb"/>
        <w:spacing w:before="0" w:after="0"/>
        <w:ind w:start="-180" w:end="-334"/>
        <w:rPr/>
      </w:pPr>
      <w:r>
        <w:rPr/>
      </w:r>
    </w:p>
    <w:p>
      <w:pPr>
        <w:pStyle w:val="NormalWeb"/>
        <w:spacing w:before="0" w:after="0"/>
        <w:ind w:start="-180" w:end="-334"/>
        <w:rPr/>
      </w:pPr>
      <w:r>
        <w:rPr/>
      </w:r>
    </w:p>
    <w:p>
      <w:pPr>
        <w:pStyle w:val="NormalWeb"/>
        <w:spacing w:before="0" w:after="0"/>
        <w:ind w:start="-180" w:end="-334"/>
        <w:jc w:val="center"/>
        <w:rPr/>
      </w:pPr>
      <w:r>
        <w:rPr>
          <w:rFonts w:cs="Arial" w:ascii="Arial" w:hAnsi="Arial"/>
          <w:b/>
          <w:sz w:val="28"/>
          <w:szCs w:val="28"/>
          <w:lang w:val="cy-GB"/>
        </w:rPr>
        <w:t xml:space="preserve">Postgraduate/Distance Learning </w:t>
      </w:r>
    </w:p>
    <w:p>
      <w:pPr>
        <w:pStyle w:val="NormalWeb"/>
        <w:spacing w:before="0" w:after="0"/>
        <w:ind w:start="-180" w:end="-334"/>
        <w:jc w:val="center"/>
        <w:rPr>
          <w:rFonts w:ascii="Arial" w:hAnsi="Arial" w:cs="Arial"/>
          <w:b/>
          <w:sz w:val="28"/>
          <w:szCs w:val="28"/>
        </w:rPr>
      </w:pPr>
      <w:r>
        <w:rPr>
          <w:rFonts w:cs="Arial" w:ascii="Arial" w:hAnsi="Arial"/>
          <w:b/>
          <w:sz w:val="28"/>
          <w:szCs w:val="28"/>
          <w:lang w:val="cy-GB"/>
        </w:rPr>
        <w:t>Assignment coversheet &amp; feedback form</w:t>
      </w:r>
    </w:p>
    <w:p>
      <w:pPr>
        <w:pStyle w:val="Normal"/>
        <w:rPr>
          <w:rFonts w:ascii="Arial" w:hAnsi="Arial" w:cs="Arial"/>
          <w:b/>
          <w:sz w:val="28"/>
          <w:szCs w:val="28"/>
          <w:lang w:val="cy-GB"/>
        </w:rPr>
      </w:pPr>
      <w:r>
        <w:rPr>
          <w:rFonts w:cs="Arial" w:ascii="Arial" w:hAnsi="Arial"/>
          <w:b/>
          <w:sz w:val="28"/>
          <w:szCs w:val="28"/>
          <w:lang w:val="cy-GB"/>
        </w:rPr>
      </w:r>
    </w:p>
    <w:p>
      <w:pPr>
        <w:pStyle w:val="Heading3"/>
        <w:numPr>
          <w:ilvl w:val="2"/>
          <w:numId w:val="1"/>
        </w:numPr>
        <w:ind w:hanging="0" w:start="720" w:end="0"/>
        <w:jc w:val="center"/>
        <w:rPr>
          <w:lang w:val="cy-GB"/>
        </w:rPr>
      </w:pPr>
      <w:r>
        <w:rPr>
          <w:lang w:val="cy-GB"/>
        </w:rPr>
        <w:t>THIS SHEET MUST BE THE FIRST PAGE OF THE ASSIGNMENT YOU ARE SUBMITTING  (DO NOT SEND AS A SEPARATE FILE)</w:t>
      </w:r>
    </w:p>
    <w:p>
      <w:pPr>
        <w:pStyle w:val="Heading3"/>
        <w:numPr>
          <w:ilvl w:val="2"/>
          <w:numId w:val="1"/>
        </w:numPr>
        <w:ind w:hanging="0" w:start="720" w:end="0"/>
        <w:jc w:val="center"/>
        <w:rPr>
          <w:rFonts w:ascii="Trebuchet MS" w:hAnsi="Trebuchet MS" w:cs="Trebuchet MS"/>
          <w:lang w:val="cy-GB"/>
        </w:rPr>
      </w:pPr>
      <w:r>
        <w:rPr>
          <w:rFonts w:cs="Trebuchet MS" w:ascii="Trebuchet MS" w:hAnsi="Trebuchet MS"/>
          <w:lang w:val="cy-GB"/>
        </w:rPr>
      </w:r>
    </w:p>
    <w:tbl>
      <w:tblPr>
        <w:tblW w:w="8856" w:type="dxa"/>
        <w:jc w:val="start"/>
        <w:tblInd w:w="0" w:type="dxa"/>
        <w:tblLayout w:type="fixed"/>
        <w:tblCellMar>
          <w:top w:w="0" w:type="dxa"/>
          <w:start w:w="108" w:type="dxa"/>
          <w:bottom w:w="0" w:type="dxa"/>
          <w:end w:w="108" w:type="dxa"/>
        </w:tblCellMar>
      </w:tblPr>
      <w:tblGrid>
        <w:gridCol w:w="4788"/>
        <w:gridCol w:w="421"/>
        <w:gridCol w:w="1556"/>
        <w:gridCol w:w="287"/>
        <w:gridCol w:w="1804"/>
      </w:tblGrid>
      <w:tr>
        <w:trPr>
          <w:trHeight w:val="614" w:hRule="atLeast"/>
        </w:trPr>
        <w:tc>
          <w:tcPr>
            <w:tcW w:w="8856" w:type="dxa"/>
            <w:gridSpan w:val="5"/>
            <w:tcBorders>
              <w:top w:val="single" w:sz="4" w:space="0" w:color="000000"/>
              <w:start w:val="single" w:sz="4" w:space="0" w:color="000000"/>
              <w:bottom w:val="single" w:sz="4" w:space="0" w:color="000000"/>
              <w:end w:val="single" w:sz="4" w:space="0" w:color="000000"/>
            </w:tcBorders>
          </w:tcPr>
          <w:p>
            <w:pPr>
              <w:pStyle w:val="NormalWeb"/>
              <w:spacing w:before="0" w:after="0"/>
              <w:ind w:end="34"/>
              <w:rPr/>
            </w:pPr>
            <w:r>
              <w:rPr>
                <w:rFonts w:cs="Arial" w:ascii="Arial" w:hAnsi="Arial"/>
                <w:b/>
                <w:sz w:val="22"/>
                <w:szCs w:val="22"/>
              </w:rPr>
              <w:t>For completion by the student</w:t>
            </w:r>
            <w:r>
              <w:rPr>
                <w:rFonts w:cs="Arial" w:ascii="Arial" w:hAnsi="Arial"/>
                <w:sz w:val="22"/>
                <w:szCs w:val="22"/>
              </w:rPr>
              <w:t>:</w:t>
            </w:r>
          </w:p>
          <w:p>
            <w:pPr>
              <w:pStyle w:val="NormalWeb"/>
              <w:spacing w:before="0" w:after="0"/>
              <w:ind w:end="34"/>
              <w:rPr>
                <w:rFonts w:ascii="Arial" w:hAnsi="Arial" w:cs="Arial"/>
                <w:sz w:val="22"/>
                <w:szCs w:val="22"/>
              </w:rPr>
            </w:pPr>
            <w:r>
              <w:rPr>
                <w:rFonts w:cs="Arial" w:ascii="Arial" w:hAnsi="Arial"/>
                <w:sz w:val="22"/>
                <w:szCs w:val="22"/>
              </w:rPr>
            </w:r>
          </w:p>
        </w:tc>
      </w:tr>
      <w:tr>
        <w:trPr>
          <w:trHeight w:val="718" w:hRule="atLeast"/>
        </w:trPr>
        <w:tc>
          <w:tcPr>
            <w:tcW w:w="8856" w:type="dxa"/>
            <w:gridSpan w:val="5"/>
            <w:tcBorders>
              <w:top w:val="single" w:sz="4" w:space="0" w:color="000000"/>
              <w:start w:val="single" w:sz="4" w:space="0" w:color="000000"/>
              <w:bottom w:val="single" w:sz="4" w:space="0" w:color="000000"/>
              <w:end w:val="single" w:sz="4" w:space="0" w:color="000000"/>
            </w:tcBorders>
          </w:tcPr>
          <w:p>
            <w:pPr>
              <w:pStyle w:val="NormalWeb"/>
              <w:spacing w:before="0" w:after="0"/>
              <w:ind w:end="34"/>
              <w:rPr/>
            </w:pPr>
            <w:r>
              <w:rPr>
                <w:rFonts w:cs="Arial" w:ascii="Arial" w:hAnsi="Arial"/>
                <w:sz w:val="22"/>
                <w:szCs w:val="22"/>
              </w:rPr>
              <w:t>Student Name:</w:t>
            </w:r>
          </w:p>
          <w:p>
            <w:pPr>
              <w:pStyle w:val="NormalWeb"/>
              <w:spacing w:before="0" w:after="0"/>
              <w:ind w:end="34"/>
              <w:rPr/>
            </w:pPr>
            <w:r>
              <w:rPr>
                <w:rFonts w:cs="Arial" w:ascii="Arial" w:hAnsi="Arial"/>
                <w:sz w:val="22"/>
                <w:szCs w:val="22"/>
              </w:rPr>
              <w:t>Doris Maat</w:t>
            </w:r>
          </w:p>
        </w:tc>
      </w:tr>
      <w:tr>
        <w:trPr>
          <w:trHeight w:val="849" w:hRule="atLeast"/>
        </w:trPr>
        <w:tc>
          <w:tcPr>
            <w:tcW w:w="4788" w:type="dxa"/>
            <w:tcBorders>
              <w:top w:val="single" w:sz="4" w:space="0" w:color="000000"/>
              <w:start w:val="single" w:sz="4" w:space="0" w:color="000000"/>
              <w:bottom w:val="single" w:sz="4" w:space="0" w:color="000000"/>
              <w:end w:val="single" w:sz="4" w:space="0" w:color="000000"/>
            </w:tcBorders>
          </w:tcPr>
          <w:p>
            <w:pPr>
              <w:pStyle w:val="NormalWeb"/>
              <w:spacing w:before="0" w:after="0"/>
              <w:ind w:end="34"/>
              <w:rPr>
                <w:rFonts w:ascii="Arial" w:hAnsi="Arial" w:cs="Arial"/>
                <w:sz w:val="22"/>
                <w:szCs w:val="22"/>
              </w:rPr>
            </w:pPr>
            <w:r>
              <w:rPr>
                <w:rFonts w:cs="Arial" w:ascii="Arial" w:hAnsi="Arial"/>
                <w:sz w:val="22"/>
                <w:szCs w:val="22"/>
              </w:rPr>
              <w:t>Module code: HPCA7016</w:t>
            </w:r>
          </w:p>
          <w:p>
            <w:pPr>
              <w:pStyle w:val="NormalWeb"/>
              <w:spacing w:before="0" w:after="0"/>
              <w:ind w:end="34"/>
              <w:rPr>
                <w:rFonts w:ascii="Arial" w:hAnsi="Arial" w:cs="Arial"/>
                <w:sz w:val="22"/>
                <w:szCs w:val="22"/>
              </w:rPr>
            </w:pPr>
            <w:r>
              <w:rPr>
                <w:rFonts w:cs="Arial" w:ascii="Arial" w:hAnsi="Arial"/>
                <w:sz w:val="22"/>
                <w:szCs w:val="22"/>
              </w:rPr>
            </w:r>
          </w:p>
          <w:p>
            <w:pPr>
              <w:pStyle w:val="NormalWeb"/>
              <w:spacing w:before="0" w:after="0"/>
              <w:ind w:end="34"/>
              <w:rPr>
                <w:rFonts w:ascii="Arial" w:hAnsi="Arial" w:cs="Arial"/>
                <w:sz w:val="22"/>
                <w:szCs w:val="22"/>
              </w:rPr>
            </w:pPr>
            <w:r>
              <w:rPr>
                <w:rFonts w:cs="Arial" w:ascii="Arial" w:hAnsi="Arial"/>
                <w:sz w:val="22"/>
                <w:szCs w:val="22"/>
              </w:rPr>
              <w:t>Module title:</w:t>
            </w:r>
          </w:p>
          <w:p>
            <w:pPr>
              <w:pStyle w:val="NormalWeb"/>
              <w:spacing w:before="0" w:after="0"/>
              <w:ind w:end="34"/>
              <w:rPr>
                <w:rFonts w:ascii="Arial" w:hAnsi="Arial" w:cs="Arial"/>
                <w:sz w:val="22"/>
                <w:szCs w:val="22"/>
              </w:rPr>
            </w:pPr>
            <w:r>
              <w:rPr>
                <w:rFonts w:cs="Arial" w:ascii="Arial" w:hAnsi="Arial"/>
                <w:sz w:val="22"/>
                <w:szCs w:val="22"/>
              </w:rPr>
              <w:t>Researching Contemporary Cosmologies</w:t>
            </w:r>
          </w:p>
          <w:p>
            <w:pPr>
              <w:pStyle w:val="NormalWeb"/>
              <w:spacing w:before="0" w:after="0"/>
              <w:ind w:end="34"/>
              <w:rPr>
                <w:rFonts w:ascii="Arial" w:hAnsi="Arial" w:cs="Arial"/>
                <w:sz w:val="22"/>
                <w:szCs w:val="22"/>
              </w:rPr>
            </w:pPr>
            <w:r>
              <w:rPr>
                <w:rFonts w:cs="Arial" w:ascii="Arial" w:hAnsi="Arial"/>
                <w:sz w:val="22"/>
                <w:szCs w:val="22"/>
              </w:rPr>
            </w:r>
          </w:p>
          <w:p>
            <w:pPr>
              <w:pStyle w:val="NormalWeb"/>
              <w:spacing w:before="0" w:after="0"/>
              <w:ind w:end="34"/>
              <w:rPr>
                <w:rFonts w:ascii="Arial" w:hAnsi="Arial" w:cs="Arial"/>
                <w:sz w:val="22"/>
                <w:szCs w:val="22"/>
              </w:rPr>
            </w:pPr>
            <w:r>
              <w:rPr>
                <w:rFonts w:cs="Arial" w:ascii="Arial" w:hAnsi="Arial"/>
                <w:sz w:val="22"/>
                <w:szCs w:val="22"/>
              </w:rPr>
            </w:r>
          </w:p>
        </w:tc>
        <w:tc>
          <w:tcPr>
            <w:tcW w:w="2264" w:type="dxa"/>
            <w:gridSpan w:val="3"/>
            <w:tcBorders>
              <w:top w:val="single" w:sz="4" w:space="0" w:color="000000"/>
              <w:start w:val="single" w:sz="4" w:space="0" w:color="000000"/>
              <w:bottom w:val="single" w:sz="4" w:space="0" w:color="000000"/>
              <w:end w:val="single" w:sz="4" w:space="0" w:color="000000"/>
            </w:tcBorders>
          </w:tcPr>
          <w:p>
            <w:pPr>
              <w:pStyle w:val="NormalWeb"/>
              <w:spacing w:before="0" w:after="0"/>
              <w:ind w:end="34"/>
              <w:rPr>
                <w:rFonts w:ascii="Arial" w:hAnsi="Arial" w:cs="Arial"/>
                <w:sz w:val="22"/>
                <w:szCs w:val="22"/>
              </w:rPr>
            </w:pPr>
            <w:r>
              <w:rPr>
                <w:rFonts w:cs="Arial" w:ascii="Arial" w:hAnsi="Arial"/>
                <w:sz w:val="22"/>
                <w:szCs w:val="22"/>
              </w:rPr>
              <w:t>Student ID number:</w:t>
            </w:r>
          </w:p>
          <w:p>
            <w:pPr>
              <w:pStyle w:val="NormalWeb"/>
              <w:spacing w:before="0" w:after="0"/>
              <w:ind w:end="34"/>
              <w:rPr>
                <w:rFonts w:ascii="Arial" w:hAnsi="Arial" w:cs="Arial"/>
                <w:sz w:val="22"/>
                <w:szCs w:val="22"/>
              </w:rPr>
            </w:pPr>
            <w:r>
              <w:rPr>
                <w:rFonts w:cs="Arial" w:ascii="Arial" w:hAnsi="Arial"/>
                <w:sz w:val="22"/>
                <w:szCs w:val="22"/>
              </w:rPr>
              <w:t>2322109</w:t>
            </w:r>
          </w:p>
        </w:tc>
        <w:tc>
          <w:tcPr>
            <w:tcW w:w="1804" w:type="dxa"/>
            <w:tcBorders>
              <w:top w:val="single" w:sz="4" w:space="0" w:color="000000"/>
              <w:start w:val="single" w:sz="4" w:space="0" w:color="000000"/>
              <w:bottom w:val="single" w:sz="4" w:space="0" w:color="000000"/>
              <w:end w:val="single" w:sz="4" w:space="0" w:color="000000"/>
            </w:tcBorders>
          </w:tcPr>
          <w:p>
            <w:pPr>
              <w:pStyle w:val="NormalWeb"/>
              <w:spacing w:before="0" w:after="0"/>
              <w:ind w:end="34"/>
              <w:rPr>
                <w:rFonts w:ascii="Arial" w:hAnsi="Arial" w:cs="Arial"/>
                <w:sz w:val="22"/>
                <w:szCs w:val="22"/>
              </w:rPr>
            </w:pPr>
            <w:r>
              <w:rPr>
                <w:rFonts w:cs="Arial" w:ascii="Arial" w:hAnsi="Arial"/>
                <w:sz w:val="22"/>
                <w:szCs w:val="22"/>
              </w:rPr>
              <w:t>Educational support needs:</w:t>
            </w:r>
          </w:p>
          <w:p>
            <w:pPr>
              <w:pStyle w:val="NormalWeb"/>
              <w:spacing w:before="0" w:after="0"/>
              <w:ind w:end="34"/>
              <w:rPr>
                <w:rFonts w:ascii="Arial" w:hAnsi="Arial" w:cs="Arial"/>
                <w:sz w:val="22"/>
                <w:szCs w:val="22"/>
              </w:rPr>
            </w:pPr>
            <w:r>
              <w:rPr>
                <w:rFonts w:cs="Arial" w:ascii="Arial" w:hAnsi="Arial"/>
                <w:sz w:val="22"/>
                <w:szCs w:val="22"/>
              </w:rPr>
              <w:t>Yes/No</w:t>
            </w:r>
          </w:p>
          <w:p>
            <w:pPr>
              <w:pStyle w:val="NormalWeb"/>
              <w:spacing w:before="0" w:after="0"/>
              <w:ind w:end="34"/>
              <w:rPr>
                <w:rFonts w:ascii="Arial" w:hAnsi="Arial" w:cs="Arial"/>
                <w:sz w:val="22"/>
                <w:szCs w:val="22"/>
              </w:rPr>
            </w:pPr>
            <w:r>
              <w:rPr>
                <w:rFonts w:cs="Arial" w:ascii="Arial" w:hAnsi="Arial"/>
                <w:sz w:val="22"/>
                <w:szCs w:val="22"/>
              </w:rPr>
              <w:t>No</w:t>
            </w:r>
          </w:p>
        </w:tc>
      </w:tr>
      <w:tr>
        <w:trPr>
          <w:trHeight w:val="1139" w:hRule="atLeast"/>
        </w:trPr>
        <w:tc>
          <w:tcPr>
            <w:tcW w:w="8856" w:type="dxa"/>
            <w:gridSpan w:val="5"/>
            <w:tcBorders>
              <w:top w:val="single" w:sz="4" w:space="0" w:color="000000"/>
              <w:start w:val="single" w:sz="4" w:space="0" w:color="000000"/>
              <w:bottom w:val="single" w:sz="4" w:space="0" w:color="000000"/>
              <w:end w:val="single" w:sz="4" w:space="0" w:color="000000"/>
            </w:tcBorders>
          </w:tcPr>
          <w:p>
            <w:pPr>
              <w:pStyle w:val="NormalWeb"/>
              <w:spacing w:before="0" w:after="0"/>
              <w:ind w:end="34"/>
              <w:rPr>
                <w:rFonts w:ascii="Arial" w:hAnsi="Arial" w:cs="Arial"/>
                <w:sz w:val="22"/>
                <w:szCs w:val="22"/>
              </w:rPr>
            </w:pPr>
            <w:r>
              <w:rPr>
                <w:rFonts w:cs="Arial" w:ascii="Arial" w:hAnsi="Arial"/>
                <w:sz w:val="22"/>
                <w:szCs w:val="22"/>
              </w:rPr>
              <w:t>Module tutor: Jack Hunter, Dawn Collins, Wendy Alidina-Stacey</w:t>
            </w:r>
          </w:p>
          <w:p>
            <w:pPr>
              <w:pStyle w:val="NormalWeb"/>
              <w:spacing w:before="0" w:after="0"/>
              <w:ind w:end="34"/>
              <w:rPr>
                <w:rFonts w:ascii="Arial" w:hAnsi="Arial" w:cs="Arial"/>
                <w:sz w:val="22"/>
                <w:szCs w:val="22"/>
              </w:rPr>
            </w:pPr>
            <w:r>
              <w:rPr>
                <w:rFonts w:cs="Arial" w:ascii="Arial" w:hAnsi="Arial"/>
                <w:sz w:val="22"/>
                <w:szCs w:val="22"/>
              </w:rPr>
            </w:r>
          </w:p>
          <w:p>
            <w:pPr>
              <w:pStyle w:val="NormalWeb"/>
              <w:spacing w:before="0" w:after="0"/>
              <w:ind w:end="34"/>
              <w:rPr>
                <w:rFonts w:ascii="Arial" w:hAnsi="Arial" w:cs="Arial"/>
                <w:sz w:val="22"/>
                <w:szCs w:val="22"/>
              </w:rPr>
            </w:pPr>
            <w:r>
              <w:rPr>
                <w:rFonts w:cs="Arial" w:ascii="Arial" w:hAnsi="Arial"/>
                <w:sz w:val="22"/>
                <w:szCs w:val="22"/>
              </w:rPr>
            </w:r>
          </w:p>
          <w:p>
            <w:pPr>
              <w:pStyle w:val="NormalWeb"/>
              <w:spacing w:before="0" w:after="0"/>
              <w:ind w:end="34"/>
              <w:rPr>
                <w:rFonts w:ascii="Arial" w:hAnsi="Arial" w:cs="Arial"/>
                <w:sz w:val="22"/>
                <w:szCs w:val="22"/>
              </w:rPr>
            </w:pPr>
            <w:r>
              <w:rPr>
                <w:rFonts w:cs="Arial" w:ascii="Arial" w:hAnsi="Arial"/>
                <w:sz w:val="22"/>
                <w:szCs w:val="22"/>
              </w:rPr>
              <w:t>Assignment due date:15 March 2024</w:t>
            </w:r>
          </w:p>
        </w:tc>
      </w:tr>
      <w:tr>
        <w:trPr>
          <w:trHeight w:val="978" w:hRule="atLeast"/>
        </w:trPr>
        <w:tc>
          <w:tcPr>
            <w:tcW w:w="8856" w:type="dxa"/>
            <w:gridSpan w:val="5"/>
            <w:tcBorders>
              <w:top w:val="single" w:sz="4" w:space="0" w:color="000000"/>
              <w:start w:val="single" w:sz="4" w:space="0" w:color="000000"/>
              <w:bottom w:val="single" w:sz="4" w:space="0" w:color="000000"/>
              <w:end w:val="single" w:sz="4" w:space="0" w:color="000000"/>
            </w:tcBorders>
          </w:tcPr>
          <w:p>
            <w:pPr>
              <w:pStyle w:val="Normal"/>
              <w:rPr>
                <w:rFonts w:ascii="Arial" w:hAnsi="Arial" w:cs="Arial"/>
                <w:sz w:val="22"/>
                <w:szCs w:val="22"/>
              </w:rPr>
            </w:pPr>
            <w:r>
              <w:rPr>
                <w:rFonts w:cs="Arial" w:ascii="Arial" w:hAnsi="Arial"/>
                <w:sz w:val="22"/>
                <w:szCs w:val="22"/>
              </w:rPr>
              <w:t>If your module has multiple submissions please indicate which piece of work this is.</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1</w:t>
            </w:r>
            <w:r>
              <w:rPr>
                <w:rFonts w:cs="Arial" w:ascii="Arial" w:hAnsi="Arial"/>
                <w:sz w:val="22"/>
                <w:szCs w:val="22"/>
                <w:vertAlign w:val="superscript"/>
              </w:rPr>
              <w:t xml:space="preserve">st </w:t>
            </w:r>
            <w:r>
              <w:fldChar w:fldCharType="begin">
                <w:ffData>
                  <w:name w:val="Check13"/>
                  <w:enabled/>
                  <w:calcOnExit w:val="0"/>
                  <w:checkBox>
                    <w:sizeAuto/>
                    <w:checked/>
                  </w:checkBox>
                </w:ffData>
              </w:fldChar>
            </w:r>
            <w:r>
              <w:rPr>
                <w:vertAlign w:val="superscript"/>
                <w:sz w:val="22"/>
                <w:szCs w:val="22"/>
                <w:rFonts w:cs="Arial" w:ascii="Arial" w:hAnsi="Arial"/>
              </w:rPr>
              <w:instrText xml:space="preserve"> FORMCHECKBOX </w:instrText>
            </w:r>
            <w:r>
              <w:rPr>
                <w:vertAlign w:val="superscript"/>
                <w:sz w:val="22"/>
                <w:szCs w:val="22"/>
                <w:rFonts w:cs="Arial" w:ascii="Arial" w:hAnsi="Arial"/>
              </w:rPr>
              <w:fldChar w:fldCharType="separate"/>
            </w:r>
            <w:bookmarkStart w:id="0" w:name="Check13"/>
            <w:bookmarkStart w:id="1" w:name="Check13"/>
            <w:bookmarkEnd w:id="1"/>
            <w:r>
              <w:rPr>
                <w:rFonts w:cs="Arial" w:ascii="Arial" w:hAnsi="Arial"/>
                <w:sz w:val="22"/>
                <w:szCs w:val="22"/>
                <w:vertAlign w:val="superscript"/>
              </w:rPr>
            </w:r>
            <w:r>
              <w:rPr>
                <w:vertAlign w:val="superscript"/>
                <w:sz w:val="22"/>
                <w:szCs w:val="22"/>
                <w:rFonts w:cs="Arial" w:ascii="Arial" w:hAnsi="Arial"/>
              </w:rPr>
              <w:fldChar w:fldCharType="end"/>
            </w:r>
            <w:r>
              <w:rPr>
                <w:rFonts w:cs="Arial" w:ascii="Arial" w:hAnsi="Arial"/>
                <w:sz w:val="22"/>
                <w:szCs w:val="22"/>
              </w:rPr>
              <w:t xml:space="preserve">    2</w:t>
            </w:r>
            <w:r>
              <w:rPr>
                <w:rFonts w:cs="Arial" w:ascii="Arial" w:hAnsi="Arial"/>
                <w:sz w:val="22"/>
                <w:szCs w:val="22"/>
                <w:vertAlign w:val="superscript"/>
              </w:rPr>
              <w:t>nd</w:t>
            </w:r>
            <w:r>
              <w:rPr>
                <w:rFonts w:cs="Arial" w:ascii="Arial" w:hAnsi="Arial"/>
                <w:sz w:val="22"/>
                <w:szCs w:val="22"/>
              </w:rPr>
              <w:t xml:space="preserve">  </w:t>
            </w:r>
            <w:r>
              <w:fldChar w:fldCharType="begin">
                <w:ffData>
                  <w:name w:val="Check14"/>
                  <w:enabled/>
                  <w:calcOnExit w:val="0"/>
                  <w:checkBox>
                    <w:sizeAuto/>
                  </w:checkBox>
                </w:ffData>
              </w:fldChar>
            </w:r>
            <w:r>
              <w:rPr>
                <w:sz w:val="22"/>
                <w:szCs w:val="22"/>
                <w:rFonts w:cs="Arial" w:ascii="Arial" w:hAnsi="Arial"/>
              </w:rPr>
              <w:instrText xml:space="preserve"> FORMCHECKBOX </w:instrText>
            </w:r>
            <w:r>
              <w:rPr>
                <w:sz w:val="22"/>
                <w:szCs w:val="22"/>
                <w:rFonts w:cs="Arial" w:ascii="Arial" w:hAnsi="Arial"/>
              </w:rPr>
              <w:fldChar w:fldCharType="separate"/>
            </w:r>
            <w:bookmarkStart w:id="2" w:name="Check14"/>
            <w:bookmarkStart w:id="3" w:name="Check14"/>
            <w:bookmarkEnd w:id="3"/>
            <w:r>
              <w:rPr>
                <w:rFonts w:cs="Arial" w:ascii="Arial" w:hAnsi="Arial"/>
                <w:sz w:val="22"/>
                <w:szCs w:val="22"/>
              </w:rPr>
            </w:r>
            <w:r>
              <w:rPr>
                <w:sz w:val="22"/>
                <w:szCs w:val="22"/>
                <w:rFonts w:cs="Arial" w:ascii="Arial" w:hAnsi="Arial"/>
              </w:rPr>
              <w:fldChar w:fldCharType="end"/>
            </w:r>
            <w:r>
              <w:rPr>
                <w:rFonts w:cs="Arial" w:ascii="Arial" w:hAnsi="Arial"/>
                <w:sz w:val="22"/>
                <w:szCs w:val="22"/>
              </w:rPr>
              <w:t xml:space="preserve">     3</w:t>
            </w:r>
            <w:r>
              <w:rPr>
                <w:rFonts w:cs="Arial" w:ascii="Arial" w:hAnsi="Arial"/>
                <w:sz w:val="22"/>
                <w:szCs w:val="22"/>
                <w:vertAlign w:val="superscript"/>
              </w:rPr>
              <w:t>rd</w:t>
            </w:r>
            <w:r>
              <w:rPr>
                <w:rFonts w:cs="Arial" w:ascii="Arial" w:hAnsi="Arial"/>
                <w:sz w:val="22"/>
                <w:szCs w:val="22"/>
              </w:rPr>
              <w:t xml:space="preserve">  </w:t>
            </w:r>
            <w:r>
              <w:fldChar w:fldCharType="begin">
                <w:ffData>
                  <w:name w:val="Check15"/>
                  <w:enabled/>
                  <w:calcOnExit w:val="0"/>
                  <w:checkBox>
                    <w:sizeAuto/>
                  </w:checkBox>
                </w:ffData>
              </w:fldChar>
            </w:r>
            <w:r>
              <w:rPr>
                <w:sz w:val="22"/>
                <w:szCs w:val="22"/>
                <w:rFonts w:cs="Arial" w:ascii="Arial" w:hAnsi="Arial"/>
              </w:rPr>
              <w:instrText xml:space="preserve"> FORMCHECKBOX </w:instrText>
            </w:r>
            <w:r>
              <w:rPr>
                <w:sz w:val="22"/>
                <w:szCs w:val="22"/>
                <w:rFonts w:cs="Arial" w:ascii="Arial" w:hAnsi="Arial"/>
              </w:rPr>
              <w:fldChar w:fldCharType="separate"/>
            </w:r>
            <w:bookmarkStart w:id="4" w:name="Check15"/>
            <w:bookmarkStart w:id="5" w:name="Check15"/>
            <w:bookmarkEnd w:id="5"/>
            <w:r>
              <w:rPr>
                <w:rFonts w:cs="Arial" w:ascii="Arial" w:hAnsi="Arial"/>
                <w:sz w:val="22"/>
                <w:szCs w:val="22"/>
              </w:rPr>
            </w:r>
            <w:r>
              <w:rPr>
                <w:sz w:val="22"/>
                <w:szCs w:val="22"/>
                <w:rFonts w:cs="Arial" w:ascii="Arial" w:hAnsi="Arial"/>
              </w:rPr>
              <w:fldChar w:fldCharType="end"/>
            </w:r>
            <w:r>
              <w:rPr>
                <w:rFonts w:cs="Arial" w:ascii="Arial" w:hAnsi="Arial"/>
                <w:sz w:val="22"/>
                <w:szCs w:val="22"/>
              </w:rPr>
              <w:t xml:space="preserve">      4</w:t>
            </w:r>
            <w:r>
              <w:rPr>
                <w:rFonts w:cs="Arial" w:ascii="Arial" w:hAnsi="Arial"/>
                <w:sz w:val="22"/>
                <w:szCs w:val="22"/>
                <w:vertAlign w:val="superscript"/>
              </w:rPr>
              <w:t>th</w:t>
            </w:r>
            <w:r>
              <w:rPr>
                <w:rFonts w:cs="Arial" w:ascii="Arial" w:hAnsi="Arial"/>
                <w:sz w:val="22"/>
                <w:szCs w:val="22"/>
              </w:rPr>
              <w:t xml:space="preserve"> </w:t>
            </w:r>
            <w:r>
              <w:fldChar w:fldCharType="begin">
                <w:ffData>
                  <w:name w:val="Check16"/>
                  <w:enabled/>
                  <w:calcOnExit w:val="0"/>
                  <w:checkBox>
                    <w:sizeAuto/>
                  </w:checkBox>
                </w:ffData>
              </w:fldChar>
            </w:r>
            <w:r>
              <w:rPr>
                <w:sz w:val="22"/>
                <w:szCs w:val="22"/>
                <w:rFonts w:cs="Arial" w:ascii="Arial" w:hAnsi="Arial"/>
              </w:rPr>
              <w:instrText xml:space="preserve"> FORMCHECKBOX </w:instrText>
            </w:r>
            <w:r>
              <w:rPr>
                <w:sz w:val="22"/>
                <w:szCs w:val="22"/>
                <w:rFonts w:cs="Arial" w:ascii="Arial" w:hAnsi="Arial"/>
              </w:rPr>
              <w:fldChar w:fldCharType="separate"/>
            </w:r>
            <w:bookmarkStart w:id="6" w:name="Check16"/>
            <w:bookmarkStart w:id="7" w:name="Check16"/>
            <w:bookmarkEnd w:id="7"/>
            <w:r>
              <w:rPr>
                <w:rFonts w:cs="Arial" w:ascii="Arial" w:hAnsi="Arial"/>
                <w:sz w:val="22"/>
                <w:szCs w:val="22"/>
              </w:rPr>
            </w:r>
            <w:r>
              <w:rPr>
                <w:sz w:val="22"/>
                <w:szCs w:val="22"/>
                <w:rFonts w:cs="Arial" w:ascii="Arial" w:hAnsi="Arial"/>
              </w:rPr>
              <w:fldChar w:fldCharType="end"/>
            </w:r>
            <w:r>
              <w:rPr>
                <w:rFonts w:cs="Arial" w:ascii="Arial" w:hAnsi="Arial"/>
                <w:sz w:val="22"/>
                <w:szCs w:val="22"/>
              </w:rPr>
              <w:t xml:space="preserve">      5</w:t>
            </w:r>
            <w:r>
              <w:rPr>
                <w:rFonts w:cs="Arial" w:ascii="Arial" w:hAnsi="Arial"/>
                <w:sz w:val="22"/>
                <w:szCs w:val="22"/>
                <w:vertAlign w:val="superscript"/>
              </w:rPr>
              <w:t>th</w:t>
            </w:r>
            <w:r>
              <w:rPr>
                <w:rFonts w:cs="Arial" w:ascii="Arial" w:hAnsi="Arial"/>
                <w:sz w:val="22"/>
                <w:szCs w:val="22"/>
              </w:rPr>
              <w:t xml:space="preserve"> </w:t>
            </w:r>
            <w:r>
              <w:fldChar w:fldCharType="begin">
                <w:ffData>
                  <w:name w:val="Check17"/>
                  <w:enabled/>
                  <w:calcOnExit w:val="0"/>
                  <w:checkBox>
                    <w:sizeAuto/>
                  </w:checkBox>
                </w:ffData>
              </w:fldChar>
            </w:r>
            <w:r>
              <w:rPr>
                <w:sz w:val="22"/>
                <w:szCs w:val="22"/>
                <w:rFonts w:cs="Arial" w:ascii="Arial" w:hAnsi="Arial"/>
              </w:rPr>
              <w:instrText xml:space="preserve"> FORMCHECKBOX </w:instrText>
            </w:r>
            <w:r>
              <w:rPr>
                <w:sz w:val="22"/>
                <w:szCs w:val="22"/>
                <w:rFonts w:cs="Arial" w:ascii="Arial" w:hAnsi="Arial"/>
              </w:rPr>
              <w:fldChar w:fldCharType="separate"/>
            </w:r>
            <w:bookmarkStart w:id="8" w:name="Check17"/>
            <w:bookmarkStart w:id="9" w:name="Check17"/>
            <w:bookmarkEnd w:id="9"/>
            <w:r>
              <w:rPr>
                <w:rFonts w:cs="Arial" w:ascii="Arial" w:hAnsi="Arial"/>
                <w:sz w:val="22"/>
                <w:szCs w:val="22"/>
              </w:rPr>
            </w:r>
            <w:r>
              <w:rPr>
                <w:sz w:val="22"/>
                <w:szCs w:val="22"/>
                <w:rFonts w:cs="Arial" w:ascii="Arial" w:hAnsi="Arial"/>
              </w:rPr>
              <w:fldChar w:fldCharType="end"/>
            </w:r>
            <w:r>
              <w:rPr>
                <w:rFonts w:cs="Arial" w:ascii="Arial" w:hAnsi="Arial"/>
                <w:sz w:val="22"/>
                <w:szCs w:val="22"/>
              </w:rPr>
              <w:t xml:space="preserve">      6</w:t>
            </w:r>
            <w:r>
              <w:rPr>
                <w:rFonts w:cs="Arial" w:ascii="Arial" w:hAnsi="Arial"/>
                <w:sz w:val="22"/>
                <w:szCs w:val="22"/>
                <w:vertAlign w:val="superscript"/>
              </w:rPr>
              <w:t>th</w:t>
            </w:r>
            <w:r>
              <w:rPr>
                <w:rFonts w:cs="Arial" w:ascii="Arial" w:hAnsi="Arial"/>
                <w:sz w:val="22"/>
                <w:szCs w:val="22"/>
              </w:rPr>
              <w:t xml:space="preserve"> </w:t>
            </w:r>
            <w:r>
              <w:fldChar w:fldCharType="begin">
                <w:ffData>
                  <w:name w:val="Check18"/>
                  <w:enabled/>
                  <w:calcOnExit w:val="0"/>
                  <w:checkBox>
                    <w:sizeAuto/>
                  </w:checkBox>
                </w:ffData>
              </w:fldChar>
            </w:r>
            <w:r>
              <w:rPr>
                <w:sz w:val="22"/>
                <w:szCs w:val="22"/>
                <w:rFonts w:cs="Arial" w:ascii="Arial" w:hAnsi="Arial"/>
              </w:rPr>
              <w:instrText xml:space="preserve"> FORMCHECKBOX </w:instrText>
            </w:r>
            <w:r>
              <w:rPr>
                <w:sz w:val="22"/>
                <w:szCs w:val="22"/>
                <w:rFonts w:cs="Arial" w:ascii="Arial" w:hAnsi="Arial"/>
              </w:rPr>
              <w:fldChar w:fldCharType="separate"/>
            </w:r>
            <w:bookmarkStart w:id="10" w:name="Check18"/>
            <w:bookmarkStart w:id="11" w:name="Check18"/>
            <w:bookmarkEnd w:id="11"/>
            <w:r/>
            <w:r>
              <w:rPr>
                <w:sz w:val="22"/>
                <w:szCs w:val="22"/>
                <w:rFonts w:cs="Arial" w:ascii="Arial" w:hAnsi="Arial"/>
              </w:rPr>
              <w:fldChar w:fldCharType="end"/>
            </w:r>
            <w:r>
              <w:rPr>
                <w:rFonts w:cs="Arial" w:ascii="Arial" w:hAnsi="Arial"/>
                <w:sz w:val="22"/>
                <w:szCs w:val="22"/>
              </w:rPr>
            </w:r>
          </w:p>
        </w:tc>
      </w:tr>
      <w:tr>
        <w:trPr>
          <w:trHeight w:val="978" w:hRule="atLeast"/>
        </w:trPr>
        <w:tc>
          <w:tcPr>
            <w:tcW w:w="8856" w:type="dxa"/>
            <w:gridSpan w:val="5"/>
            <w:tcBorders>
              <w:top w:val="single" w:sz="4" w:space="0" w:color="000000"/>
              <w:start w:val="single" w:sz="4" w:space="0" w:color="000000"/>
              <w:bottom w:val="single" w:sz="4" w:space="0" w:color="000000"/>
              <w:end w:val="single" w:sz="4" w:space="0" w:color="000000"/>
            </w:tcBorders>
            <w:shd w:fill="D9D9D9" w:val="clear"/>
          </w:tcPr>
          <w:p>
            <w:pPr>
              <w:pStyle w:val="NormalWeb"/>
              <w:spacing w:before="0" w:after="0"/>
              <w:ind w:end="34"/>
              <w:rPr>
                <w:rFonts w:ascii="Arial" w:hAnsi="Arial" w:cs="Arial"/>
                <w:sz w:val="22"/>
                <w:szCs w:val="22"/>
              </w:rPr>
            </w:pPr>
            <w:r>
              <w:rPr>
                <w:rFonts w:cs="Arial" w:ascii="Arial" w:hAnsi="Arial"/>
                <w:sz w:val="22"/>
                <w:szCs w:val="22"/>
              </w:rPr>
              <w:t>I confirm that this is my original work and that I have adhered to the University policy on plagiarism.</w:t>
            </w:r>
          </w:p>
          <w:p>
            <w:pPr>
              <w:pStyle w:val="NormalWeb"/>
              <w:spacing w:before="0" w:after="0"/>
              <w:ind w:end="34"/>
              <w:rPr>
                <w:rFonts w:ascii="Arial" w:hAnsi="Arial" w:cs="Arial"/>
                <w:sz w:val="22"/>
                <w:szCs w:val="22"/>
              </w:rPr>
            </w:pPr>
            <w:r>
              <w:rPr>
                <w:rFonts w:cs="Arial" w:ascii="Arial" w:hAnsi="Arial"/>
                <w:sz w:val="22"/>
                <w:szCs w:val="22"/>
              </w:rPr>
              <w:t>Signed ………………Doris Maat……………………………………………</w:t>
            </w:r>
          </w:p>
          <w:p>
            <w:pPr>
              <w:pStyle w:val="NormalWeb"/>
              <w:spacing w:before="0" w:after="0"/>
              <w:ind w:end="34"/>
              <w:rPr/>
            </w:pPr>
            <w:r>
              <w:rPr>
                <w:rFonts w:cs="Tahoma" w:ascii="Calibri" w:hAnsi="Calibri"/>
                <w:b/>
                <w:sz w:val="24"/>
                <w:szCs w:val="24"/>
              </w:rPr>
              <w:t xml:space="preserve">Email submission: if you are submitting this form via email, please tick this box </w:t>
            </w:r>
            <w:r>
              <w:rPr>
                <w:rFonts w:cs="Calibri" w:ascii="Calibri" w:hAnsi="Calibri"/>
                <w:b/>
                <w:sz w:val="44"/>
                <w:szCs w:val="44"/>
              </w:rPr>
              <w:t>x</w:t>
            </w:r>
          </w:p>
          <w:p>
            <w:pPr>
              <w:pStyle w:val="NormalWeb"/>
              <w:spacing w:before="0" w:after="0"/>
              <w:ind w:end="34"/>
              <w:rPr>
                <w:rFonts w:ascii="Arial" w:hAnsi="Arial" w:cs="Arial"/>
                <w:sz w:val="22"/>
                <w:szCs w:val="22"/>
              </w:rPr>
            </w:pPr>
            <w:r>
              <w:rPr>
                <w:rFonts w:cs="Tahoma" w:ascii="Calibri" w:hAnsi="Calibri"/>
                <w:b/>
                <w:sz w:val="24"/>
                <w:szCs w:val="24"/>
              </w:rPr>
              <w:t>(as a substitute for your signature) to confirm that you agree to the above declaration.</w:t>
            </w:r>
          </w:p>
        </w:tc>
      </w:tr>
      <w:tr>
        <w:trPr>
          <w:trHeight w:val="3972" w:hRule="atLeast"/>
        </w:trPr>
        <w:tc>
          <w:tcPr>
            <w:tcW w:w="8856" w:type="dxa"/>
            <w:gridSpan w:val="5"/>
            <w:tcBorders>
              <w:top w:val="single" w:sz="4" w:space="0" w:color="000000"/>
              <w:start w:val="single" w:sz="4" w:space="0" w:color="000000"/>
              <w:bottom w:val="single" w:sz="4" w:space="0" w:color="000000"/>
              <w:end w:val="single" w:sz="4" w:space="0" w:color="000000"/>
            </w:tcBorders>
          </w:tcPr>
          <w:p>
            <w:pPr>
              <w:pStyle w:val="Normal"/>
              <w:snapToGrid w:val="false"/>
              <w:rPr>
                <w:rFonts w:ascii="Arial" w:hAnsi="Arial" w:cs="Arial"/>
                <w:b/>
                <w:sz w:val="22"/>
                <w:szCs w:val="22"/>
              </w:rPr>
            </w:pPr>
            <w:r>
              <w:rPr>
                <w:rFonts w:cs="Arial" w:ascii="Arial" w:hAnsi="Arial"/>
                <w:b/>
                <w:sz w:val="22"/>
                <w:szCs w:val="22"/>
              </w:rPr>
            </w:r>
          </w:p>
          <w:p>
            <w:pPr>
              <w:pStyle w:val="Normal"/>
              <w:rPr>
                <w:rFonts w:ascii="Arial" w:hAnsi="Arial" w:cs="Arial"/>
                <w:b/>
              </w:rPr>
            </w:pPr>
            <w:r>
              <w:rPr>
                <w:rFonts w:cs="Arial" w:ascii="Arial" w:hAnsi="Arial"/>
                <w:b/>
              </w:rPr>
              <w:t>Assignment Mark</w:t>
            </w:r>
          </w:p>
          <w:tbl>
            <w:tblPr>
              <w:tblW w:w="8630" w:type="dxa"/>
              <w:jc w:val="start"/>
              <w:tblInd w:w="0" w:type="dxa"/>
              <w:tblLayout w:type="fixed"/>
              <w:tblCellMar>
                <w:top w:w="0" w:type="dxa"/>
                <w:start w:w="108" w:type="dxa"/>
                <w:bottom w:w="0" w:type="dxa"/>
                <w:end w:w="108" w:type="dxa"/>
              </w:tblCellMar>
            </w:tblPr>
            <w:tblGrid>
              <w:gridCol w:w="6969"/>
              <w:gridCol w:w="1660"/>
            </w:tblGrid>
            <w:tr>
              <w:trPr/>
              <w:tc>
                <w:tcPr>
                  <w:tcW w:w="6969" w:type="dxa"/>
                  <w:tcBorders>
                    <w:top w:val="single" w:sz="4" w:space="0" w:color="000000"/>
                    <w:start w:val="single" w:sz="4" w:space="0" w:color="000000"/>
                    <w:bottom w:val="single" w:sz="4" w:space="0" w:color="000000"/>
                    <w:end w:val="single" w:sz="4" w:space="0" w:color="000000"/>
                  </w:tcBorders>
                </w:tcPr>
                <w:p>
                  <w:pPr>
                    <w:pStyle w:val="Normal"/>
                    <w:snapToGrid w:val="false"/>
                    <w:rPr>
                      <w:rFonts w:ascii="Arial" w:hAnsi="Arial" w:cs="Arial"/>
                      <w:sz w:val="20"/>
                      <w:szCs w:val="20"/>
                    </w:rPr>
                  </w:pPr>
                  <w:r>
                    <w:rPr>
                      <w:rFonts w:cs="Arial" w:ascii="Arial" w:hAnsi="Arial"/>
                      <w:sz w:val="20"/>
                      <w:szCs w:val="20"/>
                    </w:rPr>
                  </w:r>
                </w:p>
                <w:p>
                  <w:pPr>
                    <w:pStyle w:val="Normal"/>
                    <w:rPr>
                      <w:rFonts w:ascii="Arial" w:hAnsi="Arial" w:cs="Arial"/>
                      <w:b/>
                      <w:sz w:val="20"/>
                      <w:szCs w:val="20"/>
                    </w:rPr>
                  </w:pPr>
                  <w:r>
                    <w:rPr>
                      <w:rFonts w:cs="Arial" w:ascii="Arial" w:hAnsi="Arial"/>
                      <w:b/>
                      <w:sz w:val="20"/>
                      <w:szCs w:val="20"/>
                    </w:rPr>
                    <w:t>Final Mark</w:t>
                  </w:r>
                </w:p>
                <w:p>
                  <w:pPr>
                    <w:pStyle w:val="Normal"/>
                    <w:rPr>
                      <w:rFonts w:ascii="Arial" w:hAnsi="Arial" w:cs="Arial"/>
                      <w:b/>
                      <w:sz w:val="20"/>
                      <w:szCs w:val="20"/>
                    </w:rPr>
                  </w:pPr>
                  <w:r>
                    <w:rPr>
                      <w:rFonts w:cs="Arial" w:ascii="Arial" w:hAnsi="Arial"/>
                      <w:b/>
                      <w:sz w:val="20"/>
                      <w:szCs w:val="20"/>
                    </w:rPr>
                  </w:r>
                </w:p>
              </w:tc>
              <w:tc>
                <w:tcPr>
                  <w:tcW w:w="1660" w:type="dxa"/>
                  <w:tcBorders>
                    <w:top w:val="single" w:sz="4" w:space="0" w:color="000000"/>
                    <w:start w:val="single" w:sz="4" w:space="0" w:color="000000"/>
                    <w:bottom w:val="single" w:sz="4" w:space="0" w:color="000000"/>
                    <w:end w:val="single" w:sz="4" w:space="0" w:color="000000"/>
                  </w:tcBorders>
                </w:tcPr>
                <w:p>
                  <w:pPr>
                    <w:pStyle w:val="Normal"/>
                    <w:rPr>
                      <w:rFonts w:ascii="Arial" w:hAnsi="Arial" w:cs="Arial"/>
                      <w:sz w:val="20"/>
                      <w:szCs w:val="20"/>
                    </w:rPr>
                  </w:pPr>
                  <w:r>
                    <w:rPr>
                      <w:rFonts w:cs="Arial" w:ascii="Arial" w:hAnsi="Arial"/>
                      <w:sz w:val="20"/>
                      <w:szCs w:val="20"/>
                    </w:rPr>
                    <w:t>WILL BE GIVEN ON TURNITIN</w:t>
                  </w:r>
                </w:p>
              </w:tc>
            </w:tr>
          </w:tbl>
          <w:p>
            <w:pPr>
              <w:pStyle w:val="NormalWeb"/>
              <w:spacing w:before="0" w:after="0"/>
              <w:ind w:start="142" w:end="34"/>
              <w:rPr>
                <w:rFonts w:ascii="Arial" w:hAnsi="Arial" w:cs="Arial"/>
                <w:b/>
                <w:sz w:val="22"/>
                <w:szCs w:val="22"/>
              </w:rPr>
            </w:pPr>
            <w:r>
              <w:rPr>
                <w:rFonts w:cs="Arial" w:ascii="Arial" w:hAnsi="Arial"/>
                <w:b/>
                <w:sz w:val="22"/>
                <w:szCs w:val="22"/>
              </w:rPr>
            </w:r>
          </w:p>
          <w:p>
            <w:pPr>
              <w:pStyle w:val="NormalWeb"/>
              <w:spacing w:before="0" w:after="0"/>
              <w:ind w:start="142" w:end="34"/>
              <w:rPr>
                <w:rFonts w:ascii="Arial" w:hAnsi="Arial" w:cs="Arial"/>
                <w:sz w:val="22"/>
                <w:szCs w:val="22"/>
              </w:rPr>
            </w:pPr>
            <w:r>
              <w:rPr>
                <w:rFonts w:cs="Arial" w:ascii="Arial" w:hAnsi="Arial"/>
                <w:b/>
                <w:sz w:val="22"/>
                <w:szCs w:val="22"/>
              </w:rPr>
              <w:t>NB.</w:t>
            </w:r>
            <w:r>
              <w:rPr>
                <w:rFonts w:cs="Arial" w:ascii="Arial" w:hAnsi="Arial"/>
                <w:sz w:val="22"/>
                <w:szCs w:val="22"/>
              </w:rPr>
              <w:t xml:space="preserve">  All marks are provisional until confirmed by the Final Examination Board.</w:t>
            </w:r>
          </w:p>
          <w:p>
            <w:pPr>
              <w:pStyle w:val="NormalWeb"/>
              <w:spacing w:before="0" w:after="0"/>
              <w:rPr>
                <w:rFonts w:ascii="Arial" w:hAnsi="Arial" w:cs="Arial"/>
                <w:b/>
                <w:sz w:val="22"/>
                <w:szCs w:val="22"/>
              </w:rPr>
            </w:pPr>
            <w:r>
              <w:rPr>
                <w:rFonts w:cs="Arial" w:ascii="Arial" w:hAnsi="Arial"/>
                <w:b/>
                <w:sz w:val="22"/>
                <w:szCs w:val="22"/>
              </w:rPr>
            </w:r>
          </w:p>
          <w:p>
            <w:pPr>
              <w:pStyle w:val="NormalWeb"/>
              <w:spacing w:before="0" w:after="0"/>
              <w:rPr>
                <w:rFonts w:ascii="Arial" w:hAnsi="Arial" w:cs="Arial"/>
                <w:b/>
                <w:sz w:val="22"/>
                <w:szCs w:val="22"/>
              </w:rPr>
            </w:pPr>
            <w:r>
              <w:rPr>
                <w:rFonts w:cs="Arial" w:ascii="Arial" w:hAnsi="Arial"/>
                <w:b/>
                <w:sz w:val="22"/>
                <w:szCs w:val="22"/>
              </w:rPr>
              <w:t>PLEASE NOTE: ALL COMMENTS WIL BE POSTED ON TURNITIN</w:t>
            </w:r>
          </w:p>
          <w:p>
            <w:pPr>
              <w:pStyle w:val="NormalWeb"/>
              <w:spacing w:before="0" w:after="0"/>
              <w:rPr>
                <w:rFonts w:ascii="Arial" w:hAnsi="Arial" w:cs="Arial"/>
                <w:b/>
                <w:sz w:val="22"/>
                <w:szCs w:val="22"/>
              </w:rPr>
            </w:pPr>
            <w:r>
              <w:rPr>
                <w:rFonts w:cs="Arial" w:ascii="Arial" w:hAnsi="Arial"/>
                <w:b/>
                <w:sz w:val="22"/>
                <w:szCs w:val="22"/>
              </w:rPr>
            </w:r>
          </w:p>
          <w:p>
            <w:pPr>
              <w:pStyle w:val="NormalWeb"/>
              <w:spacing w:before="0" w:after="0"/>
              <w:rPr>
                <w:rFonts w:ascii="Arial" w:hAnsi="Arial" w:cs="Arial"/>
                <w:b/>
                <w:sz w:val="22"/>
                <w:szCs w:val="22"/>
              </w:rPr>
            </w:pPr>
            <w:r>
              <w:rPr>
                <w:rFonts w:cs="Arial" w:ascii="Arial" w:hAnsi="Arial"/>
                <w:b/>
                <w:sz w:val="22"/>
                <w:szCs w:val="22"/>
              </w:rPr>
            </w:r>
          </w:p>
          <w:p>
            <w:pPr>
              <w:pStyle w:val="NormalWeb"/>
              <w:spacing w:before="0" w:after="0"/>
              <w:rPr/>
            </w:pPr>
            <w:r>
              <w:rPr>
                <w:rFonts w:cs="Arial" w:ascii="Arial" w:hAnsi="Arial"/>
                <w:b/>
                <w:sz w:val="22"/>
                <w:szCs w:val="22"/>
              </w:rPr>
              <w:t>For completion by Marker 1 :</w:t>
            </w:r>
          </w:p>
          <w:p>
            <w:pPr>
              <w:pStyle w:val="NormalWeb"/>
              <w:rPr>
                <w:rFonts w:ascii="Arial" w:hAnsi="Arial" w:cs="Arial"/>
                <w:sz w:val="22"/>
                <w:szCs w:val="22"/>
              </w:rPr>
            </w:pPr>
            <w:r>
              <w:rPr>
                <w:rFonts w:cs="Arial" w:ascii="Arial" w:hAnsi="Arial"/>
                <w:sz w:val="22"/>
                <w:szCs w:val="22"/>
              </w:rPr>
              <w:t>Comments:</w:t>
            </w:r>
          </w:p>
          <w:p>
            <w:pPr>
              <w:pStyle w:val="NormalWeb"/>
              <w:spacing w:before="280" w:after="0"/>
              <w:rPr>
                <w:rFonts w:ascii="Arial" w:hAnsi="Arial" w:cs="Arial"/>
                <w:sz w:val="22"/>
                <w:szCs w:val="22"/>
              </w:rPr>
            </w:pPr>
            <w:r>
              <w:rPr>
                <w:rFonts w:cs="Arial" w:ascii="Arial" w:hAnsi="Arial"/>
                <w:sz w:val="22"/>
                <w:szCs w:val="22"/>
              </w:rPr>
            </w:r>
          </w:p>
        </w:tc>
      </w:tr>
      <w:tr>
        <w:trPr>
          <w:trHeight w:val="492" w:hRule="atLeast"/>
        </w:trPr>
        <w:tc>
          <w:tcPr>
            <w:tcW w:w="6765" w:type="dxa"/>
            <w:gridSpan w:val="3"/>
            <w:tcBorders>
              <w:top w:val="single" w:sz="4" w:space="0" w:color="000000"/>
              <w:start w:val="single" w:sz="4" w:space="0" w:color="000000"/>
              <w:bottom w:val="single" w:sz="4" w:space="0" w:color="000000"/>
              <w:end w:val="single" w:sz="4" w:space="0" w:color="000000"/>
            </w:tcBorders>
          </w:tcPr>
          <w:p>
            <w:pPr>
              <w:pStyle w:val="NormalWeb"/>
              <w:spacing w:before="280" w:after="0"/>
              <w:ind w:start="142" w:end="34"/>
              <w:rPr>
                <w:rFonts w:ascii="Arial" w:hAnsi="Arial" w:cs="Arial"/>
                <w:sz w:val="22"/>
                <w:szCs w:val="22"/>
              </w:rPr>
            </w:pPr>
            <w:r>
              <w:rPr>
                <w:rFonts w:cs="Arial" w:ascii="Arial" w:hAnsi="Arial"/>
                <w:sz w:val="22"/>
                <w:szCs w:val="22"/>
              </w:rPr>
              <w:t>Marker’s signature:</w:t>
            </w:r>
          </w:p>
        </w:tc>
        <w:tc>
          <w:tcPr>
            <w:tcW w:w="2091" w:type="dxa"/>
            <w:gridSpan w:val="2"/>
            <w:tcBorders>
              <w:top w:val="single" w:sz="4" w:space="0" w:color="000000"/>
              <w:start w:val="single" w:sz="4" w:space="0" w:color="000000"/>
              <w:bottom w:val="single" w:sz="4" w:space="0" w:color="000000"/>
              <w:end w:val="single" w:sz="4" w:space="0" w:color="000000"/>
            </w:tcBorders>
          </w:tcPr>
          <w:p>
            <w:pPr>
              <w:pStyle w:val="NormalWeb"/>
              <w:spacing w:before="280" w:after="0"/>
              <w:ind w:start="142" w:end="34"/>
              <w:rPr>
                <w:rFonts w:ascii="Arial" w:hAnsi="Arial" w:cs="Arial"/>
                <w:sz w:val="22"/>
                <w:szCs w:val="22"/>
              </w:rPr>
            </w:pPr>
            <w:r>
              <w:rPr>
                <w:rFonts w:cs="Arial" w:ascii="Arial" w:hAnsi="Arial"/>
                <w:sz w:val="22"/>
                <w:szCs w:val="22"/>
              </w:rPr>
              <w:t>Date:</w:t>
            </w:r>
          </w:p>
        </w:tc>
      </w:tr>
      <w:tr>
        <w:trPr/>
        <w:tc>
          <w:tcPr>
            <w:tcW w:w="8856" w:type="dxa"/>
            <w:gridSpan w:val="5"/>
            <w:tcBorders>
              <w:top w:val="single" w:sz="4" w:space="0" w:color="000000"/>
              <w:start w:val="single" w:sz="4" w:space="0" w:color="000000"/>
              <w:bottom w:val="single" w:sz="4" w:space="0" w:color="000000"/>
              <w:end w:val="single" w:sz="4" w:space="0" w:color="000000"/>
            </w:tcBorders>
          </w:tcPr>
          <w:p>
            <w:pPr>
              <w:pStyle w:val="NormalWeb"/>
              <w:snapToGrid w:val="false"/>
              <w:spacing w:before="0" w:after="0"/>
              <w:ind w:end="-334"/>
              <w:rPr>
                <w:rFonts w:ascii="Arial" w:hAnsi="Arial" w:cs="Arial"/>
                <w:bCs/>
                <w:i/>
                <w:i/>
                <w:sz w:val="22"/>
                <w:szCs w:val="22"/>
              </w:rPr>
            </w:pPr>
            <w:r>
              <w:rPr>
                <w:rFonts w:cs="Arial" w:ascii="Arial" w:hAnsi="Arial"/>
                <w:bCs/>
                <w:i/>
                <w:sz w:val="22"/>
                <w:szCs w:val="22"/>
              </w:rPr>
            </w:r>
          </w:p>
          <w:p>
            <w:pPr>
              <w:pStyle w:val="NormalWeb"/>
              <w:spacing w:before="0" w:after="0"/>
              <w:ind w:end="-334"/>
              <w:rPr/>
            </w:pPr>
            <w:r>
              <w:rPr>
                <w:rFonts w:cs="Arial" w:ascii="Arial" w:hAnsi="Arial"/>
                <w:b/>
                <w:bCs/>
                <w:sz w:val="22"/>
                <w:szCs w:val="22"/>
              </w:rPr>
              <w:t>For completion by Marker 2/Moderator:</w:t>
            </w:r>
          </w:p>
          <w:p>
            <w:pPr>
              <w:pStyle w:val="NormalWeb"/>
              <w:spacing w:before="0" w:after="0"/>
              <w:ind w:end="-334"/>
              <w:rPr>
                <w:rFonts w:ascii="Arial" w:hAnsi="Arial" w:cs="Arial"/>
                <w:b/>
                <w:bCs/>
                <w:sz w:val="22"/>
                <w:szCs w:val="22"/>
              </w:rPr>
            </w:pPr>
            <w:r>
              <w:rPr>
                <w:rFonts w:cs="Arial" w:ascii="Arial" w:hAnsi="Arial"/>
                <w:b/>
                <w:bCs/>
                <w:sz w:val="22"/>
                <w:szCs w:val="22"/>
              </w:rPr>
            </w:r>
          </w:p>
          <w:p>
            <w:pPr>
              <w:pStyle w:val="NormalWeb"/>
              <w:spacing w:before="0" w:after="0"/>
              <w:ind w:end="-334"/>
              <w:rPr>
                <w:rFonts w:ascii="Arial" w:hAnsi="Arial" w:cs="Arial"/>
                <w:bCs/>
                <w:sz w:val="22"/>
                <w:szCs w:val="22"/>
              </w:rPr>
            </w:pPr>
            <w:r>
              <w:rPr>
                <w:rFonts w:cs="Arial" w:ascii="Arial" w:hAnsi="Arial"/>
                <w:bCs/>
                <w:sz w:val="22"/>
                <w:szCs w:val="22"/>
              </w:rPr>
              <w:t>Comments:</w:t>
            </w:r>
          </w:p>
          <w:p>
            <w:pPr>
              <w:pStyle w:val="NormalWeb"/>
              <w:spacing w:before="0" w:after="0"/>
              <w:ind w:end="-334"/>
              <w:rPr>
                <w:rFonts w:ascii="Arial" w:hAnsi="Arial" w:cs="Arial"/>
                <w:bCs/>
                <w:sz w:val="22"/>
                <w:szCs w:val="22"/>
              </w:rPr>
            </w:pPr>
            <w:r>
              <w:rPr>
                <w:rFonts w:cs="Arial" w:ascii="Arial" w:hAnsi="Arial"/>
                <w:bCs/>
                <w:sz w:val="22"/>
                <w:szCs w:val="22"/>
              </w:rPr>
            </w:r>
          </w:p>
          <w:p>
            <w:pPr>
              <w:pStyle w:val="NormalWeb"/>
              <w:spacing w:before="0" w:after="0"/>
              <w:ind w:end="-334"/>
              <w:rPr>
                <w:rFonts w:ascii="Arial" w:hAnsi="Arial" w:cs="Arial"/>
                <w:bCs/>
                <w:sz w:val="22"/>
                <w:szCs w:val="22"/>
              </w:rPr>
            </w:pPr>
            <w:r>
              <w:rPr>
                <w:rFonts w:cs="Arial" w:ascii="Arial" w:hAnsi="Arial"/>
                <w:bCs/>
                <w:sz w:val="22"/>
                <w:szCs w:val="22"/>
              </w:rPr>
            </w:r>
          </w:p>
          <w:p>
            <w:pPr>
              <w:pStyle w:val="NormalWeb"/>
              <w:spacing w:before="0" w:after="0"/>
              <w:ind w:end="-334"/>
              <w:rPr>
                <w:rFonts w:ascii="Arial" w:hAnsi="Arial" w:cs="Arial"/>
                <w:bCs/>
                <w:sz w:val="22"/>
                <w:szCs w:val="22"/>
              </w:rPr>
            </w:pPr>
            <w:r>
              <w:rPr>
                <w:rFonts w:cs="Arial" w:ascii="Arial" w:hAnsi="Arial"/>
                <w:bCs/>
                <w:sz w:val="22"/>
                <w:szCs w:val="22"/>
              </w:rPr>
            </w:r>
          </w:p>
        </w:tc>
      </w:tr>
      <w:tr>
        <w:trPr>
          <w:trHeight w:val="720" w:hRule="atLeast"/>
        </w:trPr>
        <w:tc>
          <w:tcPr>
            <w:tcW w:w="5209" w:type="dxa"/>
            <w:gridSpan w:val="2"/>
            <w:tcBorders>
              <w:top w:val="single" w:sz="4" w:space="0" w:color="000000"/>
              <w:start w:val="single" w:sz="4" w:space="0" w:color="000000"/>
              <w:bottom w:val="single" w:sz="4" w:space="0" w:color="000000"/>
              <w:end w:val="single" w:sz="4" w:space="0" w:color="000000"/>
            </w:tcBorders>
          </w:tcPr>
          <w:p>
            <w:pPr>
              <w:pStyle w:val="NormalWeb"/>
              <w:spacing w:before="0" w:after="0"/>
              <w:ind w:end="-334"/>
              <w:rPr>
                <w:rFonts w:ascii="Arial" w:hAnsi="Arial" w:cs="Arial"/>
                <w:bCs/>
                <w:sz w:val="22"/>
                <w:szCs w:val="22"/>
              </w:rPr>
            </w:pPr>
            <w:r>
              <w:rPr>
                <w:rFonts w:cs="Arial" w:ascii="Arial" w:hAnsi="Arial"/>
                <w:bCs/>
                <w:sz w:val="22"/>
                <w:szCs w:val="22"/>
              </w:rPr>
              <w:t>Marker’s Signature:</w:t>
            </w:r>
          </w:p>
        </w:tc>
        <w:tc>
          <w:tcPr>
            <w:tcW w:w="3647" w:type="dxa"/>
            <w:gridSpan w:val="3"/>
            <w:tcBorders>
              <w:top w:val="single" w:sz="4" w:space="0" w:color="000000"/>
              <w:start w:val="single" w:sz="4" w:space="0" w:color="000000"/>
              <w:bottom w:val="single" w:sz="4" w:space="0" w:color="000000"/>
              <w:end w:val="single" w:sz="4" w:space="0" w:color="000000"/>
            </w:tcBorders>
          </w:tcPr>
          <w:p>
            <w:pPr>
              <w:pStyle w:val="NormalWeb"/>
              <w:spacing w:before="0" w:after="0"/>
              <w:ind w:end="-334"/>
              <w:rPr>
                <w:rFonts w:ascii="Arial" w:hAnsi="Arial" w:cs="Arial"/>
                <w:bCs/>
                <w:sz w:val="22"/>
                <w:szCs w:val="22"/>
              </w:rPr>
            </w:pPr>
            <w:r>
              <w:rPr>
                <w:rFonts w:cs="Arial" w:ascii="Arial" w:hAnsi="Arial"/>
                <w:bCs/>
                <w:sz w:val="22"/>
                <w:szCs w:val="22"/>
              </w:rPr>
              <w:t>Date:</w:t>
            </w:r>
          </w:p>
        </w:tc>
      </w:tr>
      <w:tr>
        <w:trPr>
          <w:trHeight w:val="720" w:hRule="atLeast"/>
        </w:trPr>
        <w:tc>
          <w:tcPr>
            <w:tcW w:w="8856" w:type="dxa"/>
            <w:gridSpan w:val="5"/>
            <w:tcBorders>
              <w:top w:val="single" w:sz="4" w:space="0" w:color="000000"/>
              <w:start w:val="single" w:sz="4" w:space="0" w:color="000000"/>
              <w:bottom w:val="single" w:sz="4" w:space="0" w:color="000000"/>
              <w:end w:val="single" w:sz="4" w:space="0" w:color="000000"/>
            </w:tcBorders>
          </w:tcPr>
          <w:p>
            <w:pPr>
              <w:pStyle w:val="Normal"/>
              <w:rPr>
                <w:rFonts w:ascii="Arial" w:hAnsi="Arial" w:cs="Arial"/>
                <w:b/>
                <w:sz w:val="22"/>
                <w:szCs w:val="22"/>
              </w:rPr>
            </w:pPr>
            <w:r>
              <w:rPr>
                <w:rFonts w:cs="Arial" w:ascii="Arial" w:hAnsi="Arial"/>
                <w:b/>
                <w:sz w:val="22"/>
                <w:szCs w:val="22"/>
              </w:rPr>
              <w:t>AGREED INTERNAL MARK (where necessary):</w:t>
            </w:r>
          </w:p>
          <w:p>
            <w:pPr>
              <w:pStyle w:val="Normal"/>
              <w:rPr>
                <w:rFonts w:ascii="Arial" w:hAnsi="Arial" w:cs="Arial"/>
                <w:b/>
                <w:sz w:val="22"/>
                <w:szCs w:val="22"/>
              </w:rPr>
            </w:pPr>
            <w:r>
              <w:rPr>
                <w:rFonts w:cs="Arial" w:ascii="Arial" w:hAnsi="Arial"/>
                <w:b/>
                <w:sz w:val="22"/>
                <w:szCs w:val="22"/>
              </w:rPr>
            </w:r>
          </w:p>
          <w:p>
            <w:pPr>
              <w:pStyle w:val="Normal"/>
              <w:rPr>
                <w:rFonts w:ascii="Arial" w:hAnsi="Arial" w:cs="Arial"/>
                <w:b/>
                <w:sz w:val="22"/>
                <w:szCs w:val="22"/>
              </w:rPr>
            </w:pPr>
            <w:r>
              <w:rPr>
                <w:rFonts w:cs="Arial" w:ascii="Arial" w:hAnsi="Arial"/>
                <w:b/>
                <w:sz w:val="22"/>
                <w:szCs w:val="22"/>
              </w:rPr>
              <w:t>Comment on process of arriving at agreed mark:</w:t>
            </w:r>
          </w:p>
          <w:p>
            <w:pPr>
              <w:pStyle w:val="Normal"/>
              <w:rPr>
                <w:rFonts w:ascii="Arial" w:hAnsi="Arial" w:cs="Arial"/>
                <w:b/>
                <w:sz w:val="22"/>
                <w:szCs w:val="22"/>
              </w:rPr>
            </w:pPr>
            <w:r>
              <w:rPr>
                <w:rFonts w:cs="Arial" w:ascii="Arial" w:hAnsi="Arial"/>
                <w:b/>
                <w:sz w:val="22"/>
                <w:szCs w:val="22"/>
              </w:rPr>
            </w:r>
          </w:p>
          <w:p>
            <w:pPr>
              <w:pStyle w:val="Normal"/>
              <w:rPr>
                <w:rFonts w:ascii="Arial" w:hAnsi="Arial" w:cs="Arial"/>
                <w:b/>
                <w:sz w:val="22"/>
                <w:szCs w:val="22"/>
              </w:rPr>
            </w:pPr>
            <w:r>
              <w:rPr>
                <w:rFonts w:cs="Arial" w:ascii="Arial" w:hAnsi="Arial"/>
                <w:b/>
                <w:sz w:val="22"/>
                <w:szCs w:val="22"/>
              </w:rPr>
            </w:r>
          </w:p>
          <w:p>
            <w:pPr>
              <w:pStyle w:val="Normal"/>
              <w:rPr>
                <w:rFonts w:ascii="Arial" w:hAnsi="Arial" w:cs="Arial"/>
                <w:b/>
                <w:sz w:val="22"/>
                <w:szCs w:val="22"/>
              </w:rPr>
            </w:pPr>
            <w:r>
              <w:rPr>
                <w:rFonts w:cs="Arial" w:ascii="Arial" w:hAnsi="Arial"/>
                <w:b/>
                <w:sz w:val="22"/>
                <w:szCs w:val="22"/>
              </w:rPr>
            </w:r>
          </w:p>
          <w:p>
            <w:pPr>
              <w:pStyle w:val="Normal"/>
              <w:rPr>
                <w:rFonts w:ascii="Arial" w:hAnsi="Arial" w:cs="Arial"/>
                <w:b/>
                <w:sz w:val="22"/>
                <w:szCs w:val="22"/>
              </w:rPr>
            </w:pPr>
            <w:r>
              <w:rPr>
                <w:rFonts w:cs="Arial" w:ascii="Arial" w:hAnsi="Arial"/>
                <w:b/>
                <w:sz w:val="22"/>
                <w:szCs w:val="22"/>
              </w:rPr>
            </w:r>
          </w:p>
          <w:p>
            <w:pPr>
              <w:pStyle w:val="Normal"/>
              <w:rPr>
                <w:rFonts w:ascii="Arial" w:hAnsi="Arial" w:cs="Arial"/>
                <w:b/>
                <w:sz w:val="22"/>
                <w:szCs w:val="22"/>
              </w:rPr>
            </w:pPr>
            <w:r>
              <w:rPr>
                <w:rFonts w:cs="Arial" w:ascii="Arial" w:hAnsi="Arial"/>
                <w:b/>
                <w:sz w:val="22"/>
                <w:szCs w:val="22"/>
              </w:rPr>
            </w:r>
          </w:p>
          <w:p>
            <w:pPr>
              <w:pStyle w:val="Normal"/>
              <w:rPr>
                <w:rFonts w:ascii="Arial" w:hAnsi="Arial" w:cs="Arial"/>
                <w:b/>
                <w:sz w:val="22"/>
                <w:szCs w:val="22"/>
              </w:rPr>
            </w:pPr>
            <w:r>
              <w:rPr>
                <w:rFonts w:cs="Arial" w:ascii="Arial" w:hAnsi="Arial"/>
                <w:b/>
                <w:sz w:val="22"/>
                <w:szCs w:val="22"/>
              </w:rPr>
            </w:r>
          </w:p>
          <w:p>
            <w:pPr>
              <w:pStyle w:val="Normal"/>
              <w:rPr>
                <w:rFonts w:ascii="Arial" w:hAnsi="Arial" w:cs="Arial"/>
                <w:b/>
                <w:sz w:val="22"/>
                <w:szCs w:val="22"/>
              </w:rPr>
            </w:pPr>
            <w:r>
              <w:rPr>
                <w:rFonts w:cs="Arial" w:ascii="Arial" w:hAnsi="Arial"/>
                <w:b/>
                <w:sz w:val="22"/>
                <w:szCs w:val="22"/>
              </w:rPr>
            </w:r>
          </w:p>
          <w:p>
            <w:pPr>
              <w:pStyle w:val="Normal"/>
              <w:rPr>
                <w:rFonts w:ascii="Arial" w:hAnsi="Arial" w:cs="Arial"/>
                <w:b/>
                <w:sz w:val="22"/>
                <w:szCs w:val="22"/>
              </w:rPr>
            </w:pPr>
            <w:r>
              <w:rPr>
                <w:rFonts w:cs="Arial" w:ascii="Arial" w:hAnsi="Arial"/>
                <w:b/>
                <w:sz w:val="22"/>
                <w:szCs w:val="22"/>
              </w:rPr>
            </w:r>
          </w:p>
        </w:tc>
      </w:tr>
      <w:tr>
        <w:trPr>
          <w:trHeight w:val="720" w:hRule="atLeast"/>
        </w:trPr>
        <w:tc>
          <w:tcPr>
            <w:tcW w:w="8856" w:type="dxa"/>
            <w:gridSpan w:val="5"/>
            <w:tcBorders>
              <w:top w:val="single" w:sz="4" w:space="0" w:color="000000"/>
              <w:start w:val="single" w:sz="4" w:space="0" w:color="000000"/>
              <w:bottom w:val="single" w:sz="4" w:space="0" w:color="000000"/>
              <w:end w:val="single" w:sz="4" w:space="0" w:color="000000"/>
            </w:tcBorders>
          </w:tcPr>
          <w:p>
            <w:pPr>
              <w:pStyle w:val="Normal"/>
              <w:rPr>
                <w:rFonts w:ascii="Arial" w:hAnsi="Arial" w:cs="Arial"/>
                <w:b/>
                <w:sz w:val="22"/>
                <w:szCs w:val="22"/>
              </w:rPr>
            </w:pPr>
            <w:r>
              <w:rPr>
                <w:rFonts w:cs="Arial" w:ascii="Arial" w:hAnsi="Arial"/>
                <w:b/>
                <w:sz w:val="22"/>
                <w:szCs w:val="22"/>
              </w:rPr>
              <w:t>External Examiner’s comments (if relevant)</w:t>
            </w:r>
          </w:p>
          <w:p>
            <w:pPr>
              <w:pStyle w:val="NormalWeb"/>
              <w:spacing w:before="0" w:after="0"/>
              <w:ind w:end="-334"/>
              <w:rPr>
                <w:rFonts w:ascii="Arial" w:hAnsi="Arial" w:cs="Arial"/>
                <w:b/>
                <w:bCs/>
                <w:sz w:val="22"/>
                <w:szCs w:val="22"/>
              </w:rPr>
            </w:pPr>
            <w:r>
              <w:rPr>
                <w:rFonts w:cs="Arial" w:ascii="Arial" w:hAnsi="Arial"/>
                <w:b/>
                <w:bCs/>
                <w:sz w:val="22"/>
                <w:szCs w:val="22"/>
              </w:rPr>
            </w:r>
          </w:p>
          <w:p>
            <w:pPr>
              <w:pStyle w:val="NormalWeb"/>
              <w:spacing w:before="0" w:after="0"/>
              <w:ind w:end="-334"/>
              <w:rPr>
                <w:rFonts w:ascii="Arial" w:hAnsi="Arial" w:cs="Arial"/>
                <w:bCs/>
                <w:sz w:val="22"/>
                <w:szCs w:val="22"/>
              </w:rPr>
            </w:pPr>
            <w:r>
              <w:rPr>
                <w:rFonts w:cs="Arial" w:ascii="Arial" w:hAnsi="Arial"/>
                <w:bCs/>
                <w:sz w:val="22"/>
                <w:szCs w:val="22"/>
              </w:rPr>
            </w:r>
          </w:p>
          <w:p>
            <w:pPr>
              <w:pStyle w:val="NormalWeb"/>
              <w:spacing w:before="0" w:after="0"/>
              <w:ind w:end="-334"/>
              <w:rPr>
                <w:rFonts w:ascii="Arial" w:hAnsi="Arial" w:cs="Arial"/>
                <w:bCs/>
                <w:sz w:val="22"/>
                <w:szCs w:val="22"/>
              </w:rPr>
            </w:pPr>
            <w:r>
              <w:rPr>
                <w:rFonts w:cs="Arial" w:ascii="Arial" w:hAnsi="Arial"/>
                <w:bCs/>
                <w:sz w:val="22"/>
                <w:szCs w:val="22"/>
              </w:rPr>
            </w:r>
          </w:p>
          <w:p>
            <w:pPr>
              <w:pStyle w:val="NormalWeb"/>
              <w:spacing w:before="0" w:after="0"/>
              <w:ind w:end="-334"/>
              <w:rPr>
                <w:rFonts w:ascii="Arial" w:hAnsi="Arial" w:cs="Arial"/>
                <w:bCs/>
                <w:sz w:val="22"/>
                <w:szCs w:val="22"/>
              </w:rPr>
            </w:pPr>
            <w:r>
              <w:rPr>
                <w:rFonts w:cs="Arial" w:ascii="Arial" w:hAnsi="Arial"/>
                <w:bCs/>
                <w:sz w:val="22"/>
                <w:szCs w:val="22"/>
              </w:rPr>
            </w:r>
          </w:p>
          <w:p>
            <w:pPr>
              <w:pStyle w:val="NormalWeb"/>
              <w:spacing w:before="0" w:after="0"/>
              <w:ind w:end="-334"/>
              <w:rPr>
                <w:rFonts w:ascii="Arial" w:hAnsi="Arial" w:cs="Arial"/>
                <w:bCs/>
                <w:sz w:val="22"/>
                <w:szCs w:val="22"/>
              </w:rPr>
            </w:pPr>
            <w:r>
              <w:rPr>
                <w:rFonts w:cs="Arial" w:ascii="Arial" w:hAnsi="Arial"/>
                <w:bCs/>
                <w:sz w:val="22"/>
                <w:szCs w:val="22"/>
              </w:rPr>
            </w:r>
          </w:p>
          <w:p>
            <w:pPr>
              <w:pStyle w:val="NormalWeb"/>
              <w:spacing w:before="0" w:after="0"/>
              <w:ind w:end="-334"/>
              <w:rPr>
                <w:rFonts w:ascii="Arial" w:hAnsi="Arial" w:cs="Arial"/>
                <w:bCs/>
                <w:sz w:val="22"/>
                <w:szCs w:val="22"/>
              </w:rPr>
            </w:pPr>
            <w:r>
              <w:rPr>
                <w:rFonts w:cs="Arial" w:ascii="Arial" w:hAnsi="Arial"/>
                <w:bCs/>
                <w:sz w:val="22"/>
                <w:szCs w:val="22"/>
              </w:rPr>
            </w:r>
          </w:p>
          <w:p>
            <w:pPr>
              <w:pStyle w:val="NormalWeb"/>
              <w:spacing w:before="0" w:after="0"/>
              <w:ind w:end="-334"/>
              <w:rPr>
                <w:rFonts w:ascii="Arial" w:hAnsi="Arial" w:cs="Arial"/>
                <w:bCs/>
                <w:sz w:val="22"/>
                <w:szCs w:val="22"/>
              </w:rPr>
            </w:pPr>
            <w:r>
              <w:rPr>
                <w:rFonts w:cs="Arial" w:ascii="Arial" w:hAnsi="Arial"/>
                <w:bCs/>
                <w:sz w:val="22"/>
                <w:szCs w:val="22"/>
              </w:rPr>
            </w:r>
          </w:p>
        </w:tc>
      </w:tr>
      <w:tr>
        <w:trPr>
          <w:trHeight w:val="720" w:hRule="atLeast"/>
        </w:trPr>
        <w:tc>
          <w:tcPr>
            <w:tcW w:w="5209" w:type="dxa"/>
            <w:gridSpan w:val="2"/>
            <w:tcBorders>
              <w:top w:val="single" w:sz="4" w:space="0" w:color="000000"/>
              <w:start w:val="single" w:sz="4" w:space="0" w:color="000000"/>
              <w:bottom w:val="single" w:sz="4" w:space="0" w:color="000000"/>
              <w:end w:val="single" w:sz="4" w:space="0" w:color="000000"/>
            </w:tcBorders>
          </w:tcPr>
          <w:p>
            <w:pPr>
              <w:pStyle w:val="Normal"/>
              <w:rPr>
                <w:rFonts w:ascii="Arial" w:hAnsi="Arial" w:cs="Arial"/>
                <w:sz w:val="22"/>
                <w:szCs w:val="22"/>
              </w:rPr>
            </w:pPr>
            <w:r>
              <w:rPr>
                <w:rFonts w:cs="Arial" w:ascii="Arial" w:hAnsi="Arial"/>
                <w:sz w:val="22"/>
                <w:szCs w:val="22"/>
              </w:rPr>
              <w:t>External Examiner’s Signature:</w:t>
            </w:r>
          </w:p>
        </w:tc>
        <w:tc>
          <w:tcPr>
            <w:tcW w:w="3647" w:type="dxa"/>
            <w:gridSpan w:val="3"/>
            <w:tcBorders>
              <w:top w:val="single" w:sz="4" w:space="0" w:color="000000"/>
              <w:start w:val="single" w:sz="4" w:space="0" w:color="000000"/>
              <w:bottom w:val="single" w:sz="4" w:space="0" w:color="000000"/>
              <w:end w:val="single" w:sz="4" w:space="0" w:color="000000"/>
            </w:tcBorders>
          </w:tcPr>
          <w:p>
            <w:pPr>
              <w:pStyle w:val="Normal"/>
              <w:rPr>
                <w:rFonts w:ascii="Arial" w:hAnsi="Arial" w:cs="Arial"/>
                <w:sz w:val="22"/>
                <w:szCs w:val="22"/>
              </w:rPr>
            </w:pPr>
            <w:r>
              <w:rPr>
                <w:rFonts w:cs="Arial" w:ascii="Arial" w:hAnsi="Arial"/>
                <w:sz w:val="22"/>
                <w:szCs w:val="22"/>
              </w:rPr>
              <w:t>Date:</w:t>
            </w:r>
          </w:p>
        </w:tc>
      </w:tr>
    </w:tbl>
    <w:p>
      <w:pPr>
        <w:pStyle w:val="NormalWeb"/>
        <w:spacing w:before="0" w:after="0"/>
        <w:ind w:end="-334"/>
        <w:rPr>
          <w:rFonts w:ascii="Trebuchet MS" w:hAnsi="Trebuchet MS" w:cs="Tahoma"/>
          <w:bCs/>
          <w:sz w:val="24"/>
          <w:szCs w:val="24"/>
        </w:rPr>
      </w:pPr>
      <w:r>
        <w:rPr>
          <w:rFonts w:cs="Tahoma" w:ascii="Trebuchet MS" w:hAnsi="Trebuchet MS"/>
          <w:bCs/>
          <w:sz w:val="24"/>
          <w:szCs w:val="24"/>
        </w:rPr>
      </w:r>
    </w:p>
    <w:p>
      <w:pPr>
        <w:pStyle w:val="NormalWeb"/>
        <w:spacing w:before="0" w:after="0"/>
        <w:ind w:end="-334"/>
        <w:rPr>
          <w:rFonts w:ascii="Trebuchet MS" w:hAnsi="Trebuchet MS" w:cs="Tahoma"/>
          <w:bCs/>
          <w:sz w:val="24"/>
          <w:szCs w:val="24"/>
        </w:rPr>
      </w:pPr>
      <w:r>
        <w:rPr>
          <w:rFonts w:cs="Tahoma" w:ascii="Trebuchet MS" w:hAnsi="Trebuchet MS"/>
          <w:bCs/>
          <w:sz w:val="24"/>
          <w:szCs w:val="24"/>
        </w:rPr>
      </w:r>
    </w:p>
    <w:p>
      <w:pPr>
        <w:pStyle w:val="NormalWeb"/>
        <w:spacing w:before="0" w:after="0"/>
        <w:ind w:end="-334"/>
        <w:rPr>
          <w:rFonts w:ascii="Trebuchet MS" w:hAnsi="Trebuchet MS" w:cs="Tahoma"/>
          <w:bCs/>
          <w:sz w:val="24"/>
          <w:szCs w:val="24"/>
        </w:rPr>
      </w:pPr>
      <w:r>
        <w:rPr>
          <w:rFonts w:cs="Tahoma" w:ascii="Trebuchet MS" w:hAnsi="Trebuchet MS"/>
          <w:bCs/>
          <w:sz w:val="24"/>
          <w:szCs w:val="24"/>
        </w:rPr>
      </w:r>
    </w:p>
    <w:p>
      <w:pPr>
        <w:pStyle w:val="NormalWeb"/>
        <w:spacing w:before="0" w:after="0"/>
        <w:ind w:end="-334"/>
        <w:rPr>
          <w:rFonts w:ascii="Trebuchet MS" w:hAnsi="Trebuchet MS" w:cs="Tahoma"/>
          <w:bCs/>
          <w:sz w:val="24"/>
          <w:szCs w:val="24"/>
        </w:rPr>
      </w:pPr>
      <w:r>
        <w:rPr>
          <w:rFonts w:cs="Tahoma" w:ascii="Trebuchet MS" w:hAnsi="Trebuchet MS"/>
          <w:bCs/>
          <w:sz w:val="24"/>
          <w:szCs w:val="24"/>
        </w:rPr>
      </w:r>
    </w:p>
    <w:p>
      <w:pPr>
        <w:pStyle w:val="NormalWeb"/>
        <w:spacing w:before="0" w:after="0"/>
        <w:ind w:end="-334"/>
        <w:rPr>
          <w:rFonts w:ascii="Trebuchet MS" w:hAnsi="Trebuchet MS" w:cs="Tahoma"/>
          <w:bCs/>
          <w:sz w:val="24"/>
          <w:szCs w:val="24"/>
        </w:rPr>
      </w:pPr>
      <w:r>
        <w:rPr>
          <w:rFonts w:cs="Tahoma" w:ascii="Trebuchet MS" w:hAnsi="Trebuchet MS"/>
          <w:bCs/>
          <w:sz w:val="24"/>
          <w:szCs w:val="24"/>
        </w:rPr>
      </w:r>
    </w:p>
    <w:p>
      <w:pPr>
        <w:pStyle w:val="NormalWeb"/>
        <w:spacing w:before="0" w:after="0"/>
        <w:ind w:end="-334"/>
        <w:rPr>
          <w:rFonts w:ascii="Trebuchet MS" w:hAnsi="Trebuchet MS" w:cs="Tahoma"/>
          <w:bCs/>
          <w:sz w:val="24"/>
          <w:szCs w:val="24"/>
        </w:rPr>
      </w:pPr>
      <w:r>
        <w:rPr>
          <w:rFonts w:cs="Tahoma" w:ascii="Trebuchet MS" w:hAnsi="Trebuchet MS"/>
          <w:bCs/>
          <w:sz w:val="24"/>
          <w:szCs w:val="24"/>
        </w:rPr>
      </w:r>
    </w:p>
    <w:p>
      <w:pPr>
        <w:pStyle w:val="NormalWeb"/>
        <w:spacing w:before="0" w:after="0"/>
        <w:ind w:end="-334"/>
        <w:rPr>
          <w:rFonts w:ascii="Trebuchet MS" w:hAnsi="Trebuchet MS" w:cs="Tahoma"/>
          <w:bCs/>
          <w:sz w:val="24"/>
          <w:szCs w:val="24"/>
        </w:rPr>
      </w:pPr>
      <w:r>
        <w:rPr>
          <w:rFonts w:cs="Tahoma" w:ascii="Trebuchet MS" w:hAnsi="Trebuchet MS"/>
          <w:bCs/>
          <w:sz w:val="24"/>
          <w:szCs w:val="24"/>
        </w:rPr>
      </w:r>
    </w:p>
    <w:p>
      <w:pPr>
        <w:pStyle w:val="NormalWeb"/>
        <w:spacing w:before="0" w:after="0"/>
        <w:ind w:end="-334"/>
        <w:rPr>
          <w:rFonts w:ascii="Trebuchet MS" w:hAnsi="Trebuchet MS" w:cs="Tahoma"/>
          <w:bCs/>
          <w:sz w:val="24"/>
          <w:szCs w:val="24"/>
        </w:rPr>
      </w:pPr>
      <w:r>
        <w:rPr>
          <w:rFonts w:cs="Tahoma" w:ascii="Trebuchet MS" w:hAnsi="Trebuchet MS"/>
          <w:bCs/>
          <w:sz w:val="24"/>
          <w:szCs w:val="24"/>
        </w:rPr>
      </w:r>
    </w:p>
    <w:p>
      <w:pPr>
        <w:pStyle w:val="NormalWeb"/>
        <w:spacing w:before="0" w:after="0"/>
        <w:ind w:end="-334"/>
        <w:rPr>
          <w:rFonts w:ascii="Trebuchet MS" w:hAnsi="Trebuchet MS" w:cs="Tahoma"/>
          <w:bCs/>
          <w:sz w:val="24"/>
          <w:szCs w:val="24"/>
        </w:rPr>
      </w:pPr>
      <w:r>
        <w:rPr>
          <w:rFonts w:cs="Tahoma" w:ascii="Trebuchet MS" w:hAnsi="Trebuchet MS"/>
          <w:bCs/>
          <w:sz w:val="24"/>
          <w:szCs w:val="24"/>
        </w:rPr>
      </w:r>
    </w:p>
    <w:p>
      <w:pPr>
        <w:pStyle w:val="NormalWeb"/>
        <w:spacing w:before="0" w:after="0"/>
        <w:ind w:end="-334"/>
        <w:rPr>
          <w:rFonts w:ascii="Trebuchet MS" w:hAnsi="Trebuchet MS" w:cs="Tahoma"/>
          <w:bCs/>
          <w:sz w:val="24"/>
          <w:szCs w:val="24"/>
        </w:rPr>
      </w:pPr>
      <w:r>
        <w:rPr>
          <w:rFonts w:cs="Tahoma" w:ascii="Trebuchet MS" w:hAnsi="Trebuchet MS"/>
          <w:bCs/>
          <w:sz w:val="24"/>
          <w:szCs w:val="24"/>
        </w:rPr>
      </w:r>
    </w:p>
    <w:p>
      <w:pPr>
        <w:pStyle w:val="NormalWeb"/>
        <w:spacing w:before="0" w:after="0"/>
        <w:ind w:end="-334"/>
        <w:rPr>
          <w:rFonts w:ascii="Trebuchet MS" w:hAnsi="Trebuchet MS" w:cs="Tahoma"/>
          <w:bCs/>
          <w:sz w:val="24"/>
          <w:szCs w:val="24"/>
        </w:rPr>
      </w:pPr>
      <w:r>
        <w:rPr>
          <w:rFonts w:cs="Tahoma" w:ascii="Trebuchet MS" w:hAnsi="Trebuchet MS"/>
          <w:bCs/>
          <w:sz w:val="24"/>
          <w:szCs w:val="24"/>
        </w:rPr>
      </w:r>
    </w:p>
    <w:p>
      <w:pPr>
        <w:pStyle w:val="NormalWeb"/>
        <w:spacing w:before="0" w:after="0"/>
        <w:ind w:end="-334"/>
        <w:rPr>
          <w:rFonts w:ascii="Trebuchet MS" w:hAnsi="Trebuchet MS" w:cs="Tahoma"/>
          <w:bCs/>
          <w:sz w:val="24"/>
          <w:szCs w:val="24"/>
        </w:rPr>
      </w:pPr>
      <w:r>
        <w:rPr>
          <w:rFonts w:cs="Tahoma" w:ascii="Trebuchet MS" w:hAnsi="Trebuchet MS"/>
          <w:bCs/>
          <w:sz w:val="24"/>
          <w:szCs w:val="24"/>
        </w:rPr>
      </w:r>
    </w:p>
    <w:p>
      <w:pPr>
        <w:pStyle w:val="NormalWeb"/>
        <w:spacing w:before="0" w:after="0"/>
        <w:ind w:end="-334"/>
        <w:rPr>
          <w:rFonts w:ascii="Trebuchet MS" w:hAnsi="Trebuchet MS" w:cs="Tahoma"/>
          <w:bCs/>
          <w:sz w:val="24"/>
          <w:szCs w:val="24"/>
        </w:rPr>
      </w:pPr>
      <w:r>
        <w:rPr>
          <w:rFonts w:cs="Tahoma" w:ascii="Trebuchet MS" w:hAnsi="Trebuchet MS"/>
          <w:bCs/>
          <w:sz w:val="24"/>
          <w:szCs w:val="24"/>
        </w:rPr>
      </w:r>
    </w:p>
    <w:p>
      <w:pPr>
        <w:pStyle w:val="NormalWeb"/>
        <w:spacing w:before="0" w:after="0"/>
        <w:ind w:end="-334"/>
        <w:rPr>
          <w:rFonts w:ascii="Trebuchet MS" w:hAnsi="Trebuchet MS" w:cs="Tahoma"/>
          <w:bCs/>
          <w:sz w:val="24"/>
          <w:szCs w:val="24"/>
        </w:rPr>
      </w:pPr>
      <w:r>
        <w:rPr>
          <w:rFonts w:cs="Tahoma" w:ascii="Trebuchet MS" w:hAnsi="Trebuchet MS"/>
          <w:bCs/>
          <w:sz w:val="24"/>
          <w:szCs w:val="24"/>
        </w:rPr>
      </w:r>
    </w:p>
    <w:p>
      <w:pPr>
        <w:pStyle w:val="NormalWeb"/>
        <w:spacing w:before="0" w:after="0"/>
        <w:ind w:end="-334"/>
        <w:jc w:val="start"/>
        <w:rPr>
          <w:rFonts w:ascii="Trebuchet MS" w:hAnsi="Trebuchet MS" w:cs="Tahoma"/>
          <w:bCs/>
          <w:sz w:val="24"/>
          <w:szCs w:val="24"/>
        </w:rPr>
      </w:pPr>
      <w:r>
        <w:rPr>
          <w:rFonts w:cs="Tahoma" w:ascii="Trebuchet MS" w:hAnsi="Trebuchet MS"/>
          <w:bCs/>
          <w:sz w:val="24"/>
          <w:szCs w:val="24"/>
        </w:rPr>
      </w:r>
    </w:p>
    <w:p>
      <w:pPr>
        <w:pStyle w:val="NormalWeb"/>
        <w:spacing w:before="0" w:after="0"/>
        <w:ind w:end="-334"/>
        <w:rPr>
          <w:rFonts w:ascii="Trebuchet MS" w:hAnsi="Trebuchet MS" w:cs="Tahoma"/>
          <w:bCs/>
          <w:sz w:val="24"/>
          <w:szCs w:val="24"/>
        </w:rPr>
      </w:pPr>
      <w:r>
        <w:rPr>
          <w:rFonts w:cs="Tahoma" w:ascii="Trebuchet MS" w:hAnsi="Trebuchet MS"/>
          <w:bCs/>
          <w:sz w:val="24"/>
          <w:szCs w:val="24"/>
        </w:rPr>
        <w:t>Doris Maat  2322109                                                                      page 1 o1</w:t>
      </w:r>
    </w:p>
    <w:p>
      <w:pPr>
        <w:pStyle w:val="NormalWeb"/>
        <w:spacing w:before="0" w:after="0"/>
        <w:ind w:end="-334"/>
        <w:rPr>
          <w:rFonts w:ascii="Trebuchet MS" w:hAnsi="Trebuchet MS" w:cs="Tahoma"/>
          <w:bCs/>
          <w:sz w:val="24"/>
          <w:szCs w:val="24"/>
        </w:rPr>
      </w:pPr>
      <w:r>
        <w:rPr>
          <w:rFonts w:cs="Tahoma" w:ascii="Trebuchet MS" w:hAnsi="Trebuchet MS"/>
          <w:bCs/>
          <w:sz w:val="24"/>
          <w:szCs w:val="24"/>
        </w:rPr>
      </w:r>
    </w:p>
    <w:p>
      <w:pPr>
        <w:pStyle w:val="NormalWeb"/>
        <w:spacing w:before="0" w:after="0"/>
        <w:ind w:end="-334"/>
        <w:jc w:val="center"/>
        <w:rPr>
          <w:rFonts w:ascii="Calibri" w:hAnsi="Calibri" w:cs="Tahoma"/>
          <w:bCs/>
          <w:sz w:val="24"/>
          <w:szCs w:val="24"/>
          <w:u w:val="single"/>
        </w:rPr>
      </w:pPr>
      <w:r>
        <w:rPr>
          <w:rFonts w:cs="Tahoma" w:ascii="Calibri" w:hAnsi="Calibri"/>
          <w:bCs/>
          <w:sz w:val="24"/>
          <w:szCs w:val="24"/>
          <w:u w:val="single"/>
        </w:rPr>
        <w:t>A Critical Comparison of Two Secondary Sources</w:t>
      </w:r>
    </w:p>
    <w:p>
      <w:pPr>
        <w:pStyle w:val="NormalWeb"/>
        <w:spacing w:before="0" w:after="0"/>
        <w:ind w:end="-334"/>
        <w:jc w:val="center"/>
        <w:rPr>
          <w:u w:val="none"/>
        </w:rPr>
      </w:pPr>
      <w:r>
        <w:rPr>
          <w:u w:val="none"/>
        </w:rPr>
      </w:r>
    </w:p>
    <w:p>
      <w:pPr>
        <w:pStyle w:val="NormalWeb"/>
        <w:spacing w:before="0" w:after="0"/>
        <w:ind w:end="-334"/>
        <w:rPr>
          <w:rFonts w:ascii="Calibri" w:hAnsi="Calibri" w:cs="Tahoma"/>
          <w:bCs/>
          <w:sz w:val="24"/>
          <w:szCs w:val="24"/>
        </w:rPr>
      </w:pPr>
      <w:r>
        <w:rPr>
          <w:rFonts w:cs="Tahoma" w:ascii="Calibri" w:hAnsi="Calibri"/>
          <w:bCs/>
          <w:sz w:val="24"/>
          <w:szCs w:val="24"/>
        </w:rPr>
        <w:t>This essay compares and contrasts T. L. Brink’s article, “Inconsistency of Belief among Roman Catholic Girls: Concerning Religion, Astrology, Reincarnation”</w:t>
      </w:r>
      <w:r>
        <w:rPr>
          <w:rStyle w:val="FootnoteReference"/>
          <w:rFonts w:cs="Tahoma" w:ascii="Calibri" w:hAnsi="Calibri"/>
          <w:bCs/>
          <w:sz w:val="24"/>
          <w:szCs w:val="24"/>
        </w:rPr>
        <w:footnoteReference w:id="2"/>
      </w:r>
      <w:r>
        <w:rPr>
          <w:rFonts w:cs="Tahoma" w:ascii="Calibri" w:hAnsi="Calibri"/>
          <w:bCs/>
          <w:sz w:val="24"/>
          <w:szCs w:val="24"/>
        </w:rPr>
        <w:t xml:space="preserve"> and Tony Walter and Helen Waterhouse’s article, “A Very Private Belief: Reincarnation in Contemporary England.”</w:t>
      </w:r>
      <w:r>
        <w:rPr>
          <w:rStyle w:val="FootnoteReference"/>
          <w:rFonts w:cs="Tahoma" w:ascii="Calibri" w:hAnsi="Calibri"/>
          <w:bCs/>
          <w:sz w:val="24"/>
          <w:szCs w:val="24"/>
        </w:rPr>
        <w:footnoteReference w:id="3"/>
      </w:r>
    </w:p>
    <w:p>
      <w:pPr>
        <w:pStyle w:val="NormalWeb"/>
        <w:spacing w:before="0" w:after="0"/>
        <w:ind w:end="-334"/>
        <w:rPr>
          <w:rFonts w:ascii="Calibri" w:hAnsi="Calibri" w:cs="Tahoma"/>
          <w:bCs/>
          <w:sz w:val="24"/>
          <w:szCs w:val="24"/>
        </w:rPr>
      </w:pPr>
      <w:r>
        <w:rPr>
          <w:rFonts w:cs="Tahoma" w:ascii="Calibri" w:hAnsi="Calibri"/>
          <w:bCs/>
          <w:sz w:val="24"/>
          <w:szCs w:val="24"/>
        </w:rPr>
      </w:r>
    </w:p>
    <w:p>
      <w:pPr>
        <w:pStyle w:val="NormalWeb"/>
        <w:spacing w:before="0" w:after="0"/>
        <w:ind w:end="-334"/>
        <w:rPr>
          <w:rFonts w:ascii="Calibri" w:hAnsi="Calibri" w:cs="Tahoma"/>
          <w:bCs/>
          <w:sz w:val="24"/>
          <w:szCs w:val="24"/>
        </w:rPr>
      </w:pPr>
      <w:r>
        <w:rPr>
          <w:rFonts w:cs="Tahoma" w:ascii="Calibri" w:hAnsi="Calibri"/>
          <w:bCs/>
          <w:sz w:val="24"/>
          <w:szCs w:val="24"/>
        </w:rPr>
        <w:t xml:space="preserve">In both articles, the authors </w:t>
      </w:r>
      <w:r>
        <w:rPr>
          <w:rFonts w:cs="Tahoma" w:ascii="Calibri" w:hAnsi="Calibri"/>
          <w:bCs/>
          <w:sz w:val="24"/>
          <w:szCs w:val="24"/>
        </w:rPr>
        <w:t>were</w:t>
      </w:r>
      <w:r>
        <w:rPr>
          <w:rFonts w:cs="Tahoma" w:ascii="Calibri" w:hAnsi="Calibri"/>
          <w:bCs/>
          <w:sz w:val="24"/>
          <w:szCs w:val="24"/>
        </w:rPr>
        <w:t xml:space="preserve"> interested in understanding how people who identify with or adhere to the Christian faith may also have beliefs that aren’t associated with contemporary Christianity such as reincarnation and/or astrology. In “Inconsistency of Belief among Roman Catholic Girls: Concerning Religion, Astrology, Reincarnation”, questionnaires </w:t>
      </w:r>
      <w:r>
        <w:rPr>
          <w:rFonts w:cs="Tahoma" w:ascii="Calibri" w:hAnsi="Calibri"/>
          <w:bCs/>
          <w:sz w:val="24"/>
          <w:szCs w:val="24"/>
        </w:rPr>
        <w:t>were</w:t>
      </w:r>
      <w:r>
        <w:rPr>
          <w:rFonts w:cs="Tahoma" w:ascii="Calibri" w:hAnsi="Calibri"/>
          <w:bCs/>
          <w:sz w:val="24"/>
          <w:szCs w:val="24"/>
        </w:rPr>
        <w:t xml:space="preserve"> given to teen-age girls</w:t>
      </w:r>
      <w:r>
        <w:rPr>
          <w:rFonts w:cs="Tahoma" w:ascii="Calibri" w:hAnsi="Calibri"/>
          <w:bCs/>
          <w:sz w:val="24"/>
          <w:szCs w:val="24"/>
        </w:rPr>
        <w:t xml:space="preserve"> (students at a Catholic school for girls)</w:t>
      </w:r>
      <w:r>
        <w:rPr>
          <w:rFonts w:cs="Tahoma" w:ascii="Calibri" w:hAnsi="Calibri"/>
          <w:bCs/>
          <w:sz w:val="24"/>
          <w:szCs w:val="24"/>
        </w:rPr>
        <w:t xml:space="preserve"> with the aim of determining if it is possible for these girls to simultaneously adhere to some tenets of their Christian (specifically Catholic) faith and also believe in or have an active interest in astrology and/or reincarnation. Brink’s hypothesis is that they could not hold what he considers to be conflicting or cognitively dissonant ideas and would therefore chose one belief over the other two.  It seems </w:t>
      </w:r>
      <w:r>
        <w:rPr>
          <w:rFonts w:cs="Tahoma" w:ascii="Calibri" w:hAnsi="Calibri"/>
          <w:bCs/>
          <w:sz w:val="24"/>
          <w:szCs w:val="24"/>
        </w:rPr>
        <w:t>as if</w:t>
      </w:r>
      <w:r>
        <w:rPr>
          <w:rFonts w:cs="Tahoma" w:ascii="Calibri" w:hAnsi="Calibri"/>
          <w:bCs/>
          <w:sz w:val="24"/>
          <w:szCs w:val="24"/>
        </w:rPr>
        <w:t xml:space="preserve"> it </w:t>
      </w:r>
      <w:r>
        <w:rPr>
          <w:rFonts w:cs="Tahoma" w:ascii="Calibri" w:hAnsi="Calibri"/>
          <w:bCs/>
          <w:sz w:val="24"/>
          <w:szCs w:val="24"/>
        </w:rPr>
        <w:t>was</w:t>
      </w:r>
      <w:r>
        <w:rPr>
          <w:rFonts w:cs="Tahoma" w:ascii="Calibri" w:hAnsi="Calibri"/>
          <w:bCs/>
          <w:sz w:val="24"/>
          <w:szCs w:val="24"/>
        </w:rPr>
        <w:t xml:space="preserve"> Brink’s </w:t>
      </w:r>
      <w:r>
        <w:rPr>
          <w:rFonts w:cs="Tahoma" w:ascii="Calibri" w:hAnsi="Calibri"/>
          <w:bCs/>
          <w:sz w:val="24"/>
          <w:szCs w:val="24"/>
        </w:rPr>
        <w:t>notion</w:t>
      </w:r>
      <w:r>
        <w:rPr>
          <w:rFonts w:cs="Tahoma" w:ascii="Calibri" w:hAnsi="Calibri"/>
          <w:bCs/>
          <w:sz w:val="24"/>
          <w:szCs w:val="24"/>
        </w:rPr>
        <w:t xml:space="preserve"> that these three respective beliefs are for the most part mutually exclusive.</w:t>
      </w:r>
    </w:p>
    <w:p>
      <w:pPr>
        <w:pStyle w:val="NormalWeb"/>
        <w:spacing w:before="0" w:after="0"/>
        <w:ind w:end="-334"/>
        <w:rPr>
          <w:rFonts w:ascii="Calibri" w:hAnsi="Calibri" w:cs="Tahoma"/>
          <w:bCs/>
          <w:sz w:val="24"/>
          <w:szCs w:val="24"/>
        </w:rPr>
      </w:pPr>
      <w:r>
        <w:rPr>
          <w:rFonts w:cs="Tahoma" w:ascii="Calibri" w:hAnsi="Calibri"/>
          <w:bCs/>
          <w:sz w:val="24"/>
          <w:szCs w:val="24"/>
        </w:rPr>
      </w:r>
    </w:p>
    <w:p>
      <w:pPr>
        <w:pStyle w:val="NormalWeb"/>
        <w:spacing w:before="0" w:after="0"/>
        <w:ind w:end="-334"/>
        <w:rPr>
          <w:rFonts w:ascii="Calibri" w:hAnsi="Calibri" w:cs="Tahoma"/>
          <w:bCs/>
          <w:sz w:val="24"/>
          <w:szCs w:val="24"/>
        </w:rPr>
      </w:pPr>
      <w:r>
        <w:rPr>
          <w:rFonts w:cs="Tahoma" w:ascii="Calibri" w:hAnsi="Calibri"/>
          <w:bCs/>
          <w:sz w:val="24"/>
          <w:szCs w:val="24"/>
        </w:rPr>
        <w:t xml:space="preserve">In “A Very Private Belief: Reincarnation in Contemporary England”, the authors </w:t>
      </w:r>
      <w:r>
        <w:rPr>
          <w:rFonts w:cs="Tahoma" w:ascii="Calibri" w:hAnsi="Calibri"/>
          <w:bCs/>
          <w:sz w:val="24"/>
          <w:szCs w:val="24"/>
        </w:rPr>
        <w:t>were attempting</w:t>
      </w:r>
      <w:r>
        <w:rPr>
          <w:rFonts w:cs="Tahoma" w:ascii="Calibri" w:hAnsi="Calibri"/>
          <w:bCs/>
          <w:sz w:val="24"/>
          <w:szCs w:val="24"/>
        </w:rPr>
        <w:t xml:space="preserve"> to understand what seems to be an increase in the belief in and/or acceptance of reincarnation among people whose spiritual beliefs (</w:t>
      </w:r>
      <w:r>
        <w:rPr>
          <w:rFonts w:cs="Tahoma" w:ascii="Calibri" w:hAnsi="Calibri"/>
          <w:bCs/>
          <w:sz w:val="24"/>
          <w:szCs w:val="24"/>
        </w:rPr>
        <w:t xml:space="preserve">presumably </w:t>
      </w:r>
      <w:r>
        <w:rPr>
          <w:rFonts w:cs="Tahoma" w:ascii="Calibri" w:hAnsi="Calibri"/>
          <w:bCs/>
          <w:sz w:val="24"/>
          <w:szCs w:val="24"/>
        </w:rPr>
        <w:t xml:space="preserve">Christianity) would seem to conflict with the idea of reincarnation.  </w:t>
      </w:r>
      <w:r>
        <w:rPr>
          <w:rFonts w:cs="Tahoma" w:ascii="Calibri" w:hAnsi="Calibri"/>
          <w:bCs/>
          <w:sz w:val="24"/>
          <w:szCs w:val="24"/>
        </w:rPr>
        <w:t>They were also interested to see if people with more conventional (or perhaps even stereotypical) “Western” beliefs or spiritual ideologies held a belief in reincarnation even if they appeared to have little or no interest or involvement in what might be stereotypically associated with  “Eastern” religions or commonly held notions of Eastern spiritual thought.  They chose 2 different groups for their research – adults and children.  The demographics regarding the adults is a little more detailed.  Their age and occupations (suggesting social class)</w:t>
      </w:r>
      <w:r>
        <w:rPr>
          <w:rStyle w:val="FootnoteReference"/>
          <w:rFonts w:cs="Tahoma" w:ascii="Calibri" w:hAnsi="Calibri"/>
          <w:bCs/>
          <w:sz w:val="24"/>
          <w:szCs w:val="24"/>
        </w:rPr>
        <w:footnoteReference w:id="4"/>
      </w:r>
      <w:r>
        <w:rPr>
          <w:rFonts w:cs="Tahoma" w:ascii="Calibri" w:hAnsi="Calibri"/>
          <w:bCs/>
          <w:sz w:val="24"/>
          <w:szCs w:val="24"/>
        </w:rPr>
        <w:t xml:space="preserve"> were given whereas the demographic information provided for the children included only their age.  Their method of inquiry was mixed –individual interviews with the adults and group interviews with the children.  The adults were interviewed in their homes.  It isn’t recorded where or in what context the children were interviewed.  Brink was much more specific as to how he gathered his information overall.</w:t>
      </w:r>
    </w:p>
    <w:p>
      <w:pPr>
        <w:pStyle w:val="NormalWeb"/>
        <w:spacing w:before="0" w:after="0"/>
        <w:ind w:end="-334"/>
        <w:rPr>
          <w:rFonts w:ascii="Calibri" w:hAnsi="Calibri" w:cs="Tahoma"/>
          <w:bCs/>
          <w:sz w:val="24"/>
          <w:szCs w:val="24"/>
        </w:rPr>
      </w:pPr>
      <w:r>
        <w:rPr>
          <w:rFonts w:cs="Tahoma" w:ascii="Calibri" w:hAnsi="Calibri"/>
          <w:bCs/>
          <w:sz w:val="24"/>
          <w:szCs w:val="24"/>
        </w:rPr>
      </w:r>
    </w:p>
    <w:p>
      <w:pPr>
        <w:pStyle w:val="NormalWeb"/>
        <w:spacing w:before="0" w:after="0"/>
        <w:ind w:end="-334"/>
        <w:rPr>
          <w:rFonts w:ascii="Calibri" w:hAnsi="Calibri" w:cs="Tahoma"/>
          <w:bCs/>
          <w:sz w:val="24"/>
          <w:szCs w:val="24"/>
        </w:rPr>
      </w:pPr>
      <w:r>
        <w:rPr>
          <w:rFonts w:cs="Tahoma" w:ascii="Calibri" w:hAnsi="Calibri"/>
          <w:bCs/>
          <w:sz w:val="24"/>
          <w:szCs w:val="24"/>
        </w:rPr>
        <w:t xml:space="preserve">In the article by Brink, it is assumed that the people being surveyed identify as Christians given that all the participants are students in a Roman Catholic High School for girls.  </w:t>
      </w:r>
      <w:r>
        <w:rPr>
          <w:rFonts w:cs="Tahoma" w:ascii="Calibri" w:hAnsi="Calibri"/>
          <w:bCs/>
          <w:sz w:val="24"/>
          <w:szCs w:val="24"/>
        </w:rPr>
        <w:t xml:space="preserve">This seems probable but aside from knowing their gender, age and ethnic origin, the question of </w:t>
      </w:r>
    </w:p>
    <w:p>
      <w:pPr>
        <w:pStyle w:val="NormalWeb"/>
        <w:spacing w:before="0" w:after="0"/>
        <w:ind w:end="-334"/>
        <w:rPr>
          <w:rFonts w:ascii="Trebuchet MS" w:hAnsi="Trebuchet MS" w:cs="Tahoma"/>
          <w:bCs/>
          <w:sz w:val="24"/>
          <w:szCs w:val="24"/>
        </w:rPr>
      </w:pPr>
      <w:r>
        <w:rPr>
          <w:rFonts w:cs="Tahoma" w:ascii="Calibri" w:hAnsi="Calibri"/>
          <w:bCs/>
          <w:sz w:val="24"/>
          <w:szCs w:val="24"/>
        </w:rPr>
        <w:t xml:space="preserve">Doris Maat  2322109                                                                                               </w:t>
      </w:r>
      <w:r>
        <w:rPr>
          <w:rFonts w:cs="Tahoma" w:ascii="Calibri" w:hAnsi="Calibri"/>
          <w:bCs/>
          <w:sz w:val="24"/>
          <w:szCs w:val="24"/>
        </w:rPr>
        <w:t>page 2 of 2</w:t>
      </w:r>
    </w:p>
    <w:p>
      <w:pPr>
        <w:pStyle w:val="NormalWeb"/>
        <w:spacing w:before="0" w:after="0"/>
        <w:ind w:end="-334"/>
        <w:rPr>
          <w:rFonts w:ascii="Calibri" w:hAnsi="Calibri" w:cs="Tahoma"/>
          <w:bCs/>
          <w:sz w:val="24"/>
          <w:szCs w:val="24"/>
        </w:rPr>
      </w:pPr>
      <w:r>
        <w:rPr/>
      </w:r>
    </w:p>
    <w:p>
      <w:pPr>
        <w:pStyle w:val="NormalWeb"/>
        <w:spacing w:before="0" w:after="0"/>
        <w:ind w:end="-334"/>
        <w:rPr>
          <w:rFonts w:ascii="Calibri" w:hAnsi="Calibri" w:cs="Tahoma"/>
          <w:bCs/>
          <w:sz w:val="24"/>
          <w:szCs w:val="24"/>
        </w:rPr>
      </w:pPr>
      <w:r>
        <w:rPr>
          <w:rFonts w:cs="Tahoma" w:ascii="Calibri" w:hAnsi="Calibri"/>
          <w:bCs/>
          <w:sz w:val="24"/>
          <w:szCs w:val="24"/>
        </w:rPr>
        <w:t>whether the participants were specifically asked what religion they or their family followed (if any) remained unanswered.</w:t>
      </w:r>
    </w:p>
    <w:p>
      <w:pPr>
        <w:pStyle w:val="NormalWeb"/>
        <w:spacing w:before="0" w:after="0"/>
        <w:ind w:end="-334"/>
        <w:rPr>
          <w:rFonts w:ascii="Calibri" w:hAnsi="Calibri" w:cs="Tahoma"/>
          <w:bCs/>
          <w:sz w:val="24"/>
          <w:szCs w:val="24"/>
        </w:rPr>
      </w:pPr>
      <w:r>
        <w:rPr/>
      </w:r>
    </w:p>
    <w:p>
      <w:pPr>
        <w:pStyle w:val="NormalWeb"/>
        <w:spacing w:before="0" w:after="0"/>
        <w:ind w:end="-334"/>
        <w:rPr>
          <w:rFonts w:ascii="Calibri" w:hAnsi="Calibri" w:cs="Tahoma"/>
          <w:bCs/>
          <w:sz w:val="24"/>
          <w:szCs w:val="24"/>
        </w:rPr>
      </w:pPr>
      <w:r>
        <w:rPr>
          <w:rFonts w:cs="Tahoma" w:ascii="Calibri" w:hAnsi="Calibri"/>
          <w:bCs/>
          <w:sz w:val="24"/>
          <w:szCs w:val="24"/>
        </w:rPr>
        <w:t>In</w:t>
      </w:r>
      <w:r>
        <w:rPr>
          <w:rFonts w:cs="Tahoma" w:ascii="Calibri" w:hAnsi="Calibri"/>
          <w:bCs/>
          <w:sz w:val="24"/>
          <w:szCs w:val="24"/>
        </w:rPr>
        <w:t xml:space="preserve"> the article by Walter and Waterhouse, </w:t>
      </w:r>
      <w:r>
        <w:rPr>
          <w:rFonts w:cs="Tahoma" w:ascii="Calibri" w:hAnsi="Calibri"/>
          <w:bCs/>
          <w:sz w:val="24"/>
          <w:szCs w:val="24"/>
        </w:rPr>
        <w:t>there seems to be confusion regarding the religion or belief system of the participants.  Although it is mentioned that one third of the participants are practicing Christians</w:t>
      </w:r>
      <w:r>
        <w:rPr>
          <w:rStyle w:val="FootnoteReference"/>
          <w:rFonts w:cs="Tahoma" w:ascii="Calibri" w:hAnsi="Calibri"/>
          <w:bCs/>
          <w:sz w:val="24"/>
          <w:szCs w:val="24"/>
        </w:rPr>
        <w:footnoteReference w:id="5"/>
      </w:r>
      <w:r>
        <w:rPr>
          <w:rFonts w:cs="Tahoma" w:ascii="Calibri" w:hAnsi="Calibri"/>
          <w:bCs/>
          <w:sz w:val="24"/>
          <w:szCs w:val="24"/>
        </w:rPr>
        <w:t xml:space="preserve">, it’s not quite clear how the others identify.  Also, nothing at all is mentioned regarding the religious beliefs of the children interviewed or their families.  It should also be noted that it doesn’t mention if some of the participants may be associated with or identify as Muslim or Jewish for example. Both these religions generally do not include reincarnation in their doctrine and could potentially have met the criteria for participating. The authors only mentioned that “...  </w:t>
      </w:r>
      <w:r>
        <w:rPr>
          <w:rFonts w:cs="Tahoma" w:ascii="Calibri" w:hAnsi="Calibri"/>
          <w:bCs/>
          <w:sz w:val="24"/>
          <w:szCs w:val="24"/>
          <w:shd w:fill="auto" w:val="clear"/>
        </w:rPr>
        <w:t>western society’s two major belief systems… [are] Christianity and secularism.</w:t>
      </w:r>
      <w:r>
        <w:rPr>
          <w:rFonts w:cs="Tahoma" w:ascii="Calibri" w:hAnsi="Calibri"/>
          <w:bCs/>
          <w:sz w:val="24"/>
          <w:szCs w:val="24"/>
        </w:rPr>
        <w:t>.”</w:t>
      </w:r>
      <w:r>
        <w:rPr>
          <w:rStyle w:val="FootnoteReference"/>
          <w:rFonts w:cs="Tahoma" w:ascii="Calibri" w:hAnsi="Calibri"/>
          <w:bCs/>
          <w:sz w:val="24"/>
          <w:szCs w:val="24"/>
        </w:rPr>
        <w:footnoteReference w:id="6"/>
      </w:r>
      <w:r>
        <w:rPr>
          <w:rFonts w:cs="Tahoma" w:ascii="Calibri" w:hAnsi="Calibri"/>
          <w:bCs/>
          <w:sz w:val="24"/>
          <w:szCs w:val="24"/>
        </w:rPr>
        <w:t xml:space="preserve"> There is no mention of the two other Abrahamic religions in relation to their existence or influence in western society and the fact that anyone connected to or participating in any of the Judeo-Christian traditions could have met the criteria for their research.  </w:t>
      </w:r>
    </w:p>
    <w:p>
      <w:pPr>
        <w:pStyle w:val="NormalWeb"/>
        <w:spacing w:before="0" w:after="0"/>
        <w:ind w:end="-334"/>
        <w:rPr>
          <w:rFonts w:ascii="Calibri" w:hAnsi="Calibri" w:cs="Tahoma"/>
          <w:bCs/>
          <w:sz w:val="24"/>
          <w:szCs w:val="24"/>
        </w:rPr>
      </w:pPr>
      <w:r>
        <w:rPr>
          <w:rFonts w:cs="Tahoma" w:ascii="Calibri" w:hAnsi="Calibri"/>
          <w:bCs/>
          <w:sz w:val="24"/>
          <w:szCs w:val="24"/>
        </w:rPr>
        <w:t xml:space="preserve"> </w:t>
      </w:r>
    </w:p>
    <w:p>
      <w:pPr>
        <w:pStyle w:val="NormalWeb"/>
        <w:spacing w:before="0" w:after="0"/>
        <w:ind w:end="-334"/>
        <w:rPr>
          <w:rFonts w:ascii="Calibri" w:hAnsi="Calibri" w:cs="Tahoma"/>
          <w:bCs/>
          <w:sz w:val="24"/>
          <w:szCs w:val="24"/>
        </w:rPr>
      </w:pPr>
      <w:r>
        <w:rPr>
          <w:rFonts w:cs="Tahoma" w:ascii="Calibri" w:hAnsi="Calibri"/>
          <w:bCs/>
          <w:sz w:val="24"/>
          <w:szCs w:val="24"/>
        </w:rPr>
        <w:t xml:space="preserve">The </w:t>
      </w:r>
      <w:r>
        <w:rPr>
          <w:rFonts w:cs="Tahoma" w:ascii="Calibri" w:hAnsi="Calibri"/>
          <w:bCs/>
          <w:sz w:val="24"/>
          <w:szCs w:val="24"/>
        </w:rPr>
        <w:t>Walther and Waterhouse article does mention</w:t>
      </w:r>
      <w:r>
        <w:rPr>
          <w:rFonts w:cs="Tahoma" w:ascii="Calibri" w:hAnsi="Calibri"/>
          <w:bCs/>
          <w:sz w:val="24"/>
          <w:szCs w:val="24"/>
        </w:rPr>
        <w:t xml:space="preserve"> that </w:t>
      </w:r>
      <w:r>
        <w:rPr>
          <w:rFonts w:cs="Tahoma" w:ascii="Calibri" w:hAnsi="Calibri"/>
          <w:bCs/>
          <w:sz w:val="24"/>
          <w:szCs w:val="24"/>
        </w:rPr>
        <w:t>the authors made a conscious effort to eliminate participants</w:t>
      </w:r>
      <w:r>
        <w:rPr>
          <w:rFonts w:cs="Tahoma" w:ascii="Calibri" w:hAnsi="Calibri"/>
          <w:bCs/>
          <w:sz w:val="24"/>
          <w:szCs w:val="24"/>
        </w:rPr>
        <w:t xml:space="preserve"> whose religion accepts and/or incorporates reincarnation in its doctrine </w:t>
      </w:r>
      <w:r>
        <w:rPr>
          <w:rFonts w:cs="Tahoma" w:ascii="Calibri" w:hAnsi="Calibri"/>
          <w:bCs/>
          <w:sz w:val="24"/>
          <w:szCs w:val="24"/>
        </w:rPr>
        <w:t>and</w:t>
      </w:r>
      <w:r>
        <w:rPr>
          <w:rFonts w:cs="Tahoma" w:ascii="Calibri" w:hAnsi="Calibri"/>
          <w:bCs/>
          <w:sz w:val="24"/>
          <w:szCs w:val="24"/>
        </w:rPr>
        <w:t xml:space="preserve"> were </w:t>
      </w:r>
      <w:r>
        <w:rPr>
          <w:rFonts w:cs="Tahoma" w:ascii="Calibri" w:hAnsi="Calibri"/>
          <w:bCs/>
          <w:sz w:val="24"/>
          <w:szCs w:val="24"/>
        </w:rPr>
        <w:t>therefore</w:t>
      </w:r>
      <w:r>
        <w:rPr>
          <w:rFonts w:cs="Tahoma" w:ascii="Calibri" w:hAnsi="Calibri"/>
          <w:bCs/>
          <w:sz w:val="24"/>
          <w:szCs w:val="24"/>
        </w:rPr>
        <w:t xml:space="preserve"> not used in the survey </w:t>
      </w:r>
      <w:r>
        <w:rPr>
          <w:rFonts w:cs="Tahoma" w:ascii="Calibri" w:hAnsi="Calibri"/>
          <w:bCs/>
          <w:sz w:val="24"/>
          <w:szCs w:val="24"/>
        </w:rPr>
        <w:t>(Hinduism or Buddhism for example</w:t>
      </w:r>
      <w:r>
        <w:rPr>
          <w:rFonts w:cs="Tahoma" w:ascii="Calibri" w:hAnsi="Calibri"/>
          <w:bCs/>
          <w:sz w:val="24"/>
          <w:szCs w:val="24"/>
        </w:rPr>
        <w:t>.</w:t>
      </w:r>
      <w:r>
        <w:rPr>
          <w:rFonts w:cs="Tahoma" w:ascii="Calibri" w:hAnsi="Calibri"/>
          <w:bCs/>
          <w:sz w:val="24"/>
          <w:szCs w:val="24"/>
        </w:rPr>
        <w:t>)</w:t>
      </w:r>
      <w:r>
        <w:rPr>
          <w:rFonts w:cs="Tahoma" w:ascii="Calibri" w:hAnsi="Calibri"/>
          <w:bCs/>
          <w:sz w:val="24"/>
          <w:szCs w:val="24"/>
        </w:rPr>
        <w:t xml:space="preserve"> </w:t>
      </w:r>
      <w:r>
        <w:rPr>
          <w:rFonts w:cs="Tahoma" w:ascii="Calibri" w:hAnsi="Calibri"/>
          <w:bCs/>
          <w:sz w:val="24"/>
          <w:szCs w:val="24"/>
        </w:rPr>
        <w:t xml:space="preserve">They also did this by way of attempting to vet or “weed out” potential participants by trying to guess or make stereotypical assumptions about their involvement in New Age beliefs or activities based on a variety of criteria.  (The first assumption being that if they are involved in New Age activities, they are likely to believe in the concept of reincarnation.)  They do acknowledge that the term “New Age” as a category can mean (and include) many things. What these things might be were vague and sometimes very general (at least in the article.) And yet the authors seemed satisfied that they had successfully included participants that they felt had met the criteria to be part of their research stating, “… </w:t>
      </w:r>
      <w:r>
        <w:rPr>
          <w:rFonts w:cs="Tahoma" w:ascii="Calibri" w:hAnsi="Calibri"/>
          <w:bCs/>
          <w:sz w:val="24"/>
          <w:szCs w:val="24"/>
          <w:shd w:fill="auto" w:val="clear"/>
        </w:rPr>
        <w:t>on an intuitive level our respondents simply did not seem to us like New Agers.</w:t>
      </w:r>
      <w:r>
        <w:rPr>
          <w:rFonts w:cs="Tahoma" w:ascii="Calibri" w:hAnsi="Calibri"/>
          <w:bCs/>
          <w:sz w:val="24"/>
          <w:szCs w:val="24"/>
        </w:rPr>
        <w:t>”</w:t>
      </w:r>
      <w:r>
        <w:rPr>
          <w:rStyle w:val="FootnoteReference"/>
          <w:rFonts w:cs="Tahoma" w:ascii="Calibri" w:hAnsi="Calibri"/>
          <w:bCs/>
          <w:sz w:val="24"/>
          <w:szCs w:val="24"/>
        </w:rPr>
        <w:footnoteReference w:id="7"/>
      </w:r>
      <w:r>
        <w:rPr>
          <w:rFonts w:cs="Tahoma" w:ascii="Calibri" w:hAnsi="Calibri"/>
          <w:bCs/>
          <w:sz w:val="24"/>
          <w:szCs w:val="24"/>
        </w:rPr>
        <w:t xml:space="preserve">  Statements like that (and others in the article) seem to speak to potential reflexivity and bias issues.  </w:t>
      </w:r>
    </w:p>
    <w:p>
      <w:pPr>
        <w:pStyle w:val="NormalWeb"/>
        <w:spacing w:before="0" w:after="0"/>
        <w:ind w:end="-334"/>
        <w:rPr>
          <w:rFonts w:ascii="Calibri" w:hAnsi="Calibri" w:cs="Tahoma"/>
          <w:bCs/>
          <w:sz w:val="24"/>
          <w:szCs w:val="24"/>
        </w:rPr>
      </w:pPr>
      <w:r>
        <w:rPr/>
      </w:r>
    </w:p>
    <w:p>
      <w:pPr>
        <w:pStyle w:val="NormalWeb"/>
        <w:spacing w:before="0" w:after="0"/>
        <w:ind w:end="-334"/>
        <w:rPr>
          <w:rFonts w:ascii="Calibri" w:hAnsi="Calibri" w:cs="Tahoma"/>
          <w:bCs/>
          <w:sz w:val="24"/>
          <w:szCs w:val="24"/>
        </w:rPr>
      </w:pPr>
      <w:r>
        <w:rPr>
          <w:rFonts w:cs="Tahoma" w:ascii="Calibri" w:hAnsi="Calibri"/>
          <w:bCs/>
          <w:sz w:val="24"/>
          <w:szCs w:val="24"/>
        </w:rPr>
        <w:t>For example, the authors speak of “</w:t>
      </w:r>
      <w:r>
        <w:rPr>
          <w:rFonts w:cs="Tahoma" w:ascii="Calibri" w:hAnsi="Calibri"/>
          <w:bCs/>
          <w:sz w:val="24"/>
          <w:szCs w:val="24"/>
          <w:shd w:fill="auto" w:val="clear"/>
        </w:rPr>
        <w:t>obvious New Agers</w:t>
      </w:r>
      <w:r>
        <w:rPr>
          <w:rFonts w:cs="Tahoma" w:ascii="Calibri" w:hAnsi="Calibri"/>
          <w:bCs/>
          <w:sz w:val="24"/>
          <w:szCs w:val="24"/>
        </w:rPr>
        <w:t>”</w:t>
      </w:r>
      <w:r>
        <w:rPr>
          <w:rStyle w:val="FootnoteReference"/>
          <w:rFonts w:cs="Tahoma" w:ascii="Calibri" w:hAnsi="Calibri"/>
          <w:bCs/>
          <w:sz w:val="24"/>
          <w:szCs w:val="24"/>
        </w:rPr>
        <w:footnoteReference w:id="8"/>
      </w:r>
      <w:r>
        <w:rPr>
          <w:rFonts w:cs="Tahoma" w:ascii="Calibri" w:hAnsi="Calibri"/>
          <w:bCs/>
          <w:sz w:val="24"/>
          <w:szCs w:val="24"/>
        </w:rPr>
        <w:t xml:space="preserve"> and”...</w:t>
      </w:r>
      <w:r>
        <w:rPr>
          <w:rFonts w:cs="Tahoma" w:ascii="Calibri" w:hAnsi="Calibri"/>
          <w:bCs/>
          <w:sz w:val="24"/>
          <w:szCs w:val="24"/>
          <w:shd w:fill="auto" w:val="clear"/>
        </w:rPr>
        <w:t>obvious adherents of the New Age...</w:t>
      </w:r>
      <w:r>
        <w:rPr>
          <w:rFonts w:cs="Tahoma" w:ascii="Calibri" w:hAnsi="Calibri"/>
          <w:bCs/>
          <w:sz w:val="24"/>
          <w:szCs w:val="24"/>
        </w:rPr>
        <w:t>”</w:t>
      </w:r>
      <w:r>
        <w:rPr>
          <w:rStyle w:val="FootnoteReference"/>
          <w:rFonts w:cs="Tahoma" w:ascii="Calibri" w:hAnsi="Calibri"/>
          <w:bCs/>
          <w:sz w:val="24"/>
          <w:szCs w:val="24"/>
        </w:rPr>
        <w:footnoteReference w:id="9"/>
      </w:r>
      <w:r>
        <w:rPr>
          <w:rFonts w:cs="Tahoma" w:ascii="Calibri" w:hAnsi="Calibri"/>
          <w:bCs/>
          <w:sz w:val="24"/>
          <w:szCs w:val="24"/>
        </w:rPr>
        <w:t xml:space="preserve"> who might be identified by criteria such as asking people if “...</w:t>
      </w:r>
      <w:r>
        <w:rPr>
          <w:rFonts w:cs="Tahoma" w:ascii="Calibri" w:hAnsi="Calibri"/>
          <w:bCs/>
          <w:sz w:val="24"/>
          <w:szCs w:val="24"/>
          <w:shd w:fill="auto" w:val="clear"/>
        </w:rPr>
        <w:t>they were involved in the green movement, alternative healing, vegetarianism, yoga or other indicators of an alternative lifestyle.</w:t>
      </w:r>
      <w:r>
        <w:rPr>
          <w:rFonts w:cs="Tahoma" w:ascii="Calibri" w:hAnsi="Calibri"/>
          <w:bCs/>
          <w:sz w:val="24"/>
          <w:szCs w:val="24"/>
        </w:rPr>
        <w:t>”</w:t>
      </w:r>
      <w:r>
        <w:rPr>
          <w:rStyle w:val="FootnoteReference"/>
          <w:rFonts w:cs="Tahoma" w:ascii="Calibri" w:hAnsi="Calibri"/>
          <w:bCs/>
          <w:sz w:val="24"/>
          <w:szCs w:val="24"/>
        </w:rPr>
        <w:footnoteReference w:id="10"/>
      </w:r>
      <w:r>
        <w:rPr>
          <w:rFonts w:cs="Tahoma" w:ascii="Calibri" w:hAnsi="Calibri"/>
          <w:bCs/>
          <w:sz w:val="24"/>
          <w:szCs w:val="24"/>
        </w:rPr>
        <w:t xml:space="preserve">  Some of these “indicators” include people whose </w:t>
      </w:r>
    </w:p>
    <w:p>
      <w:pPr>
        <w:pStyle w:val="NormalWeb"/>
        <w:spacing w:before="0" w:after="0"/>
        <w:ind w:end="-334"/>
        <w:rPr>
          <w:rFonts w:ascii="Calibri" w:hAnsi="Calibri" w:cs="Tahoma"/>
          <w:bCs/>
          <w:sz w:val="24"/>
          <w:szCs w:val="24"/>
        </w:rPr>
      </w:pPr>
      <w:r>
        <w:rPr/>
      </w:r>
    </w:p>
    <w:p>
      <w:pPr>
        <w:pStyle w:val="NormalWeb"/>
        <w:spacing w:before="0" w:after="0"/>
        <w:ind w:end="-334"/>
        <w:rPr>
          <w:rFonts w:ascii="Trebuchet MS" w:hAnsi="Trebuchet MS" w:cs="Tahoma"/>
          <w:bCs/>
          <w:sz w:val="24"/>
          <w:szCs w:val="24"/>
        </w:rPr>
      </w:pPr>
      <w:r>
        <w:rPr>
          <w:rFonts w:cs="Tahoma" w:ascii="Calibri" w:hAnsi="Calibri"/>
          <w:bCs/>
          <w:sz w:val="24"/>
          <w:szCs w:val="24"/>
        </w:rPr>
        <w:t xml:space="preserve">Doris Maat  2322109                                                                                          </w:t>
      </w:r>
      <w:r>
        <w:rPr>
          <w:rFonts w:cs="Tahoma" w:ascii="Calibri" w:hAnsi="Calibri"/>
          <w:bCs/>
          <w:sz w:val="24"/>
          <w:szCs w:val="24"/>
        </w:rPr>
        <w:t>page 3 of 3</w:t>
      </w:r>
    </w:p>
    <w:p>
      <w:pPr>
        <w:pStyle w:val="NormalWeb"/>
        <w:spacing w:before="0" w:after="0"/>
        <w:ind w:end="-334"/>
        <w:rPr>
          <w:rFonts w:ascii="Calibri" w:hAnsi="Calibri" w:cs="Tahoma"/>
          <w:bCs/>
          <w:sz w:val="24"/>
          <w:szCs w:val="24"/>
        </w:rPr>
      </w:pPr>
      <w:r>
        <w:rPr/>
      </w:r>
    </w:p>
    <w:p>
      <w:pPr>
        <w:pStyle w:val="NormalWeb"/>
        <w:spacing w:before="0" w:after="0"/>
        <w:ind w:end="-334"/>
        <w:rPr>
          <w:rFonts w:ascii="Calibri" w:hAnsi="Calibri" w:cs="Tahoma"/>
          <w:bCs/>
          <w:sz w:val="24"/>
          <w:szCs w:val="24"/>
        </w:rPr>
      </w:pPr>
      <w:r>
        <w:rPr>
          <w:rFonts w:cs="Tahoma" w:ascii="Calibri" w:hAnsi="Calibri"/>
          <w:bCs/>
          <w:sz w:val="24"/>
          <w:szCs w:val="24"/>
        </w:rPr>
        <w:t>“</w:t>
      </w:r>
      <w:r>
        <w:rPr>
          <w:rFonts w:cs="Tahoma" w:ascii="Calibri" w:hAnsi="Calibri"/>
          <w:bCs/>
          <w:sz w:val="24"/>
          <w:szCs w:val="24"/>
        </w:rPr>
        <w:t>...</w:t>
      </w:r>
      <w:r>
        <w:rPr>
          <w:rFonts w:cs="Tahoma" w:ascii="Calibri" w:hAnsi="Calibri"/>
          <w:bCs/>
          <w:sz w:val="24"/>
          <w:szCs w:val="24"/>
          <w:shd w:fill="auto" w:val="clear"/>
        </w:rPr>
        <w:t>homes exude typical images of the New Age such as Indian Skirts, crystals…</w:t>
      </w:r>
      <w:r>
        <w:rPr>
          <w:rFonts w:cs="Tahoma" w:ascii="Calibri" w:hAnsi="Calibri"/>
          <w:bCs/>
          <w:sz w:val="24"/>
          <w:szCs w:val="24"/>
        </w:rPr>
        <w:t>”</w:t>
      </w:r>
      <w:r>
        <w:rPr>
          <w:rStyle w:val="FootnoteReference"/>
          <w:rFonts w:cs="Tahoma" w:ascii="Calibri" w:hAnsi="Calibri"/>
          <w:bCs/>
          <w:sz w:val="24"/>
          <w:szCs w:val="24"/>
        </w:rPr>
        <w:footnoteReference w:id="11"/>
      </w:r>
      <w:r>
        <w:rPr>
          <w:rFonts w:cs="Tahoma" w:ascii="Calibri" w:hAnsi="Calibri"/>
          <w:bCs/>
          <w:sz w:val="24"/>
          <w:szCs w:val="24"/>
        </w:rPr>
        <w:t xml:space="preserve">  What constitutes “New Age” beliefs seems quite broad.  For the authors, these things can go far beyond a myriad of modern spiritual or occult practices to include such things as what a person chooses to wear, what food they eat, the music they listen to and even their interior design aesthetic.</w:t>
      </w:r>
    </w:p>
    <w:p>
      <w:pPr>
        <w:pStyle w:val="NormalWeb"/>
        <w:spacing w:before="0" w:after="0"/>
        <w:ind w:end="-334"/>
        <w:rPr>
          <w:rFonts w:ascii="Calibri" w:hAnsi="Calibri" w:cs="Tahoma"/>
          <w:bCs/>
          <w:sz w:val="24"/>
          <w:szCs w:val="24"/>
        </w:rPr>
      </w:pPr>
      <w:r>
        <w:rPr/>
      </w:r>
    </w:p>
    <w:p>
      <w:pPr>
        <w:pStyle w:val="NormalWeb"/>
        <w:spacing w:before="0" w:after="0"/>
        <w:ind w:end="-334"/>
        <w:rPr>
          <w:rFonts w:ascii="Calibri" w:hAnsi="Calibri" w:cs="Tahoma"/>
          <w:bCs/>
          <w:sz w:val="24"/>
          <w:szCs w:val="24"/>
        </w:rPr>
      </w:pPr>
      <w:r>
        <w:rPr>
          <w:rFonts w:cs="Tahoma" w:ascii="Calibri" w:hAnsi="Calibri"/>
          <w:bCs/>
          <w:sz w:val="24"/>
          <w:szCs w:val="24"/>
        </w:rPr>
        <w:t>The bias here doesn’t only seem ideological but potentially racial and/or Eurocentric as well.  Along with the specific mention of Indian clothing it’s mentioned that in the process of determining if someone was a good candidate for their research they state, “..</w:t>
      </w:r>
      <w:r>
        <w:rPr>
          <w:rFonts w:cs="Tahoma" w:ascii="Calibri" w:hAnsi="Calibri"/>
          <w:bCs/>
          <w:sz w:val="24"/>
          <w:szCs w:val="24"/>
          <w:shd w:fill="auto" w:val="clear"/>
        </w:rPr>
        <w:t>.A few of our respondents displayed a knowledge of Eastern thought, and a couple had been to India</w:t>
      </w:r>
      <w:r>
        <w:rPr>
          <w:rStyle w:val="FootnoteReference"/>
          <w:rFonts w:cs="Tahoma" w:ascii="Calibri" w:hAnsi="Calibri"/>
          <w:bCs/>
          <w:sz w:val="24"/>
          <w:szCs w:val="24"/>
          <w:shd w:fill="FFFF00" w:val="clear"/>
        </w:rPr>
        <w:footnoteReference w:id="12"/>
      </w:r>
      <w:r>
        <w:rPr>
          <w:rFonts w:cs="Tahoma" w:ascii="Calibri" w:hAnsi="Calibri"/>
          <w:bCs/>
          <w:sz w:val="24"/>
          <w:szCs w:val="24"/>
        </w:rPr>
        <w:t xml:space="preserve">…”  This seems to suggest that having knowledge of “Eastern thought” (Eastern meaning what?  Here it sounds as if there’s a lumping together of many different philosophies and ideas vaguely termed “Eastern”) or merely visiting India or is enough to determine that the person or persons has a belief in reincarnation.  Also, the authors refer to </w:t>
      </w:r>
      <w:r>
        <w:rPr>
          <w:rFonts w:cs="Tahoma" w:ascii="Calibri" w:hAnsi="Calibri"/>
          <w:bCs/>
          <w:sz w:val="24"/>
          <w:szCs w:val="24"/>
          <w:shd w:fill="auto" w:val="clear"/>
        </w:rPr>
        <w:t>“...the African tribal idea of being reincarnated in younger members of the same family...”</w:t>
      </w:r>
      <w:r>
        <w:rPr>
          <w:rStyle w:val="FootnoteReference"/>
          <w:rFonts w:cs="Tahoma" w:ascii="Calibri" w:hAnsi="Calibri"/>
          <w:bCs/>
          <w:sz w:val="24"/>
          <w:szCs w:val="24"/>
          <w:shd w:fill="auto" w:val="clear"/>
        </w:rPr>
        <w:footnoteReference w:id="13"/>
      </w:r>
      <w:r>
        <w:rPr>
          <w:rFonts w:cs="Tahoma" w:ascii="Calibri" w:hAnsi="Calibri"/>
          <w:bCs/>
          <w:sz w:val="24"/>
          <w:szCs w:val="24"/>
          <w:shd w:fill="auto" w:val="clear"/>
        </w:rPr>
        <w:t xml:space="preserve">  Again, the authors are referring to Africa as if it were in and of itself a country instead of a continent with many countries – all with their own languages, customs, religions, governments, etc.  It might be somewhat different if they had said “An African tribal idea” instead of using “the” instead.  This might have made it sound less like they were claiming there was only one African tribal idea.  The other issue with this quote was there were no footnotes associated with it that might have clarified the meaning or intention of the statement.</w:t>
      </w:r>
    </w:p>
    <w:p>
      <w:pPr>
        <w:pStyle w:val="NormalWeb"/>
        <w:spacing w:before="0" w:after="0"/>
        <w:ind w:end="-334"/>
        <w:rPr>
          <w:rFonts w:ascii="Calibri" w:hAnsi="Calibri" w:cs="Tahoma"/>
          <w:bCs/>
          <w:sz w:val="24"/>
          <w:szCs w:val="24"/>
        </w:rPr>
      </w:pPr>
      <w:r>
        <w:rPr/>
      </w:r>
    </w:p>
    <w:p>
      <w:pPr>
        <w:pStyle w:val="NormalWeb"/>
        <w:spacing w:before="0" w:after="0"/>
        <w:ind w:end="-334"/>
        <w:rPr>
          <w:rFonts w:ascii="Calibri" w:hAnsi="Calibri" w:cs="Tahoma"/>
          <w:bCs/>
          <w:sz w:val="24"/>
          <w:szCs w:val="24"/>
        </w:rPr>
      </w:pPr>
      <w:r>
        <w:rPr>
          <w:rFonts w:cs="Tahoma" w:ascii="Calibri" w:hAnsi="Calibri"/>
          <w:bCs/>
          <w:sz w:val="24"/>
          <w:szCs w:val="24"/>
        </w:rPr>
        <w:t>The statements pointed out above hardly seem as if they are legitimate ways to determine someone’s beliefs and further speaks to potentially serious bias.  Some of the statements made (particularly about the New Age)  that seem biased in this article can seem so broad and vague, it suggests a kind of stereotyping that can sound as if the writer is not that concerned with the details of peoples cultures or interests.  It can create a tone that sounds dismissive and insensitive.</w:t>
      </w:r>
    </w:p>
    <w:p>
      <w:pPr>
        <w:pStyle w:val="NormalWeb"/>
        <w:spacing w:before="0" w:after="0"/>
        <w:ind w:end="-334"/>
        <w:rPr>
          <w:rFonts w:ascii="Calibri" w:hAnsi="Calibri" w:cs="Tahoma"/>
          <w:bCs/>
          <w:sz w:val="24"/>
          <w:szCs w:val="24"/>
        </w:rPr>
      </w:pPr>
      <w:r>
        <w:rPr/>
      </w:r>
    </w:p>
    <w:p>
      <w:pPr>
        <w:pStyle w:val="NormalWeb"/>
        <w:spacing w:before="0" w:after="0"/>
        <w:ind w:end="-334"/>
        <w:rPr>
          <w:rFonts w:ascii="Calibri" w:hAnsi="Calibri" w:cs="Tahoma"/>
          <w:bCs/>
          <w:sz w:val="24"/>
          <w:szCs w:val="24"/>
        </w:rPr>
      </w:pPr>
      <w:r>
        <w:rPr>
          <w:rFonts w:cs="Tahoma" w:ascii="Calibri" w:hAnsi="Calibri"/>
          <w:bCs/>
          <w:sz w:val="24"/>
          <w:szCs w:val="24"/>
        </w:rPr>
        <w:t xml:space="preserve">In the Brink article involving beliefs of reincarnation and astrology among teen-age girls in Catholic school, there are potential examples of bias.  He states, “...astrology’s fatalism is based upon blind, impersonal forces and is substantially different from whatever fatalism reincarnationists attribute to the workings of </w:t>
      </w:r>
      <w:r>
        <w:rPr>
          <w:rFonts w:cs="Tahoma" w:ascii="Calibri" w:hAnsi="Calibri"/>
          <w:bCs/>
          <w:i/>
          <w:iCs/>
          <w:sz w:val="24"/>
          <w:szCs w:val="24"/>
        </w:rPr>
        <w:t>karma</w:t>
      </w:r>
      <w:r>
        <w:rPr>
          <w:rFonts w:cs="Tahoma" w:ascii="Calibri" w:hAnsi="Calibri"/>
          <w:bCs/>
          <w:i w:val="false"/>
          <w:iCs w:val="false"/>
          <w:sz w:val="24"/>
          <w:szCs w:val="24"/>
        </w:rPr>
        <w:t>.”</w:t>
      </w:r>
      <w:r>
        <w:rPr>
          <w:rStyle w:val="FootnoteReference"/>
          <w:rFonts w:cs="Tahoma" w:ascii="Calibri" w:hAnsi="Calibri"/>
          <w:bCs/>
          <w:i w:val="false"/>
          <w:iCs w:val="false"/>
          <w:sz w:val="24"/>
          <w:szCs w:val="24"/>
        </w:rPr>
        <w:footnoteReference w:id="14"/>
      </w:r>
      <w:r>
        <w:rPr>
          <w:rFonts w:cs="Tahoma" w:ascii="Calibri" w:hAnsi="Calibri"/>
          <w:bCs/>
          <w:i w:val="false"/>
          <w:iCs w:val="false"/>
          <w:sz w:val="24"/>
          <w:szCs w:val="24"/>
        </w:rPr>
        <w:t xml:space="preserve"> [italics are the author’s.]  Perhaps this is just a case of limited information about astrology (which in itself could be a problem if it is being included in a research hypothesis) but it assumes that all schools of astrology adhere to his assumption. (In a literature review of Brink’s article, it appears that only one article is specifically about astrology and it deals with question of what populations are </w:t>
      </w:r>
    </w:p>
    <w:p>
      <w:pPr>
        <w:pStyle w:val="NormalWeb"/>
        <w:spacing w:before="0" w:after="0"/>
        <w:ind w:end="-334"/>
        <w:rPr>
          <w:rFonts w:ascii="Trebuchet MS" w:hAnsi="Trebuchet MS" w:cs="Tahoma"/>
          <w:bCs/>
          <w:sz w:val="24"/>
          <w:szCs w:val="24"/>
        </w:rPr>
      </w:pPr>
      <w:r>
        <w:rPr>
          <w:rFonts w:cs="Tahoma" w:ascii="Calibri" w:hAnsi="Calibri"/>
          <w:bCs/>
          <w:i w:val="false"/>
          <w:iCs w:val="false"/>
          <w:sz w:val="24"/>
          <w:szCs w:val="24"/>
        </w:rPr>
        <w:t xml:space="preserve">Doris Maat  2322109                                                                                       </w:t>
      </w:r>
      <w:r>
        <w:rPr>
          <w:rFonts w:cs="Tahoma" w:ascii="Calibri" w:hAnsi="Calibri"/>
          <w:bCs/>
          <w:i w:val="false"/>
          <w:iCs w:val="false"/>
          <w:sz w:val="24"/>
          <w:szCs w:val="24"/>
        </w:rPr>
        <w:t>page 4 of 4</w:t>
      </w:r>
    </w:p>
    <w:p>
      <w:pPr>
        <w:pStyle w:val="NormalWeb"/>
        <w:spacing w:before="0" w:after="0"/>
        <w:ind w:end="-334"/>
        <w:rPr>
          <w:rFonts w:ascii="Calibri" w:hAnsi="Calibri" w:cs="Tahoma"/>
          <w:bCs/>
          <w:sz w:val="24"/>
          <w:szCs w:val="24"/>
        </w:rPr>
      </w:pPr>
      <w:r>
        <w:rPr/>
      </w:r>
    </w:p>
    <w:p>
      <w:pPr>
        <w:pStyle w:val="NormalWeb"/>
        <w:spacing w:before="0" w:after="0"/>
        <w:ind w:end="-334"/>
        <w:rPr>
          <w:rFonts w:ascii="Calibri" w:hAnsi="Calibri" w:cs="Tahoma"/>
          <w:bCs/>
          <w:sz w:val="24"/>
          <w:szCs w:val="24"/>
        </w:rPr>
      </w:pPr>
      <w:r>
        <w:rPr>
          <w:rFonts w:cs="Tahoma" w:ascii="Calibri" w:hAnsi="Calibri"/>
          <w:bCs/>
          <w:i w:val="false"/>
          <w:iCs w:val="false"/>
          <w:sz w:val="24"/>
          <w:szCs w:val="24"/>
        </w:rPr>
        <w:t>drawn to astrology – not about the subject of astrology itself.</w:t>
      </w:r>
      <w:r>
        <w:rPr>
          <w:rStyle w:val="FootnoteReference"/>
          <w:rFonts w:cs="Tahoma" w:ascii="Calibri" w:hAnsi="Calibri"/>
          <w:bCs/>
          <w:i w:val="false"/>
          <w:iCs w:val="false"/>
          <w:sz w:val="24"/>
          <w:szCs w:val="24"/>
        </w:rPr>
        <w:footnoteReference w:id="15"/>
      </w:r>
      <w:r>
        <w:rPr>
          <w:rFonts w:cs="Tahoma" w:ascii="Calibri" w:hAnsi="Calibri"/>
          <w:bCs/>
          <w:i w:val="false"/>
          <w:iCs w:val="false"/>
          <w:sz w:val="24"/>
          <w:szCs w:val="24"/>
        </w:rPr>
        <w:t xml:space="preserve"> His references seemed primarily to be focused on the psychology aspect of his subjects with a focus on topics like cognitive dissonance and human development.  </w:t>
      </w:r>
      <w:r>
        <w:rPr>
          <w:rStyle w:val="FootnoteReference"/>
          <w:rFonts w:cs="Tahoma" w:ascii="Calibri" w:hAnsi="Calibri"/>
          <w:bCs/>
          <w:i w:val="false"/>
          <w:iCs w:val="false"/>
          <w:sz w:val="24"/>
          <w:szCs w:val="24"/>
        </w:rPr>
        <w:footnoteReference w:id="16"/>
      </w:r>
      <w:r>
        <w:rPr>
          <w:rFonts w:cs="Tahoma" w:ascii="Calibri" w:hAnsi="Calibri"/>
          <w:bCs/>
          <w:i w:val="false"/>
          <w:iCs w:val="false"/>
          <w:sz w:val="24"/>
          <w:szCs w:val="24"/>
        </w:rPr>
        <w:t xml:space="preserve"> </w:t>
      </w:r>
      <w:r>
        <w:rPr>
          <w:rStyle w:val="FootnoteReference"/>
          <w:rFonts w:cs="Tahoma" w:ascii="Calibri" w:hAnsi="Calibri"/>
          <w:bCs/>
          <w:i w:val="false"/>
          <w:iCs w:val="false"/>
          <w:sz w:val="24"/>
          <w:szCs w:val="24"/>
        </w:rPr>
        <w:footnoteReference w:id="17"/>
      </w:r>
      <w:r>
        <w:rPr>
          <w:rFonts w:cs="Tahoma" w:ascii="Calibri" w:hAnsi="Calibri"/>
          <w:bCs/>
          <w:i w:val="false"/>
          <w:iCs w:val="false"/>
          <w:sz w:val="24"/>
          <w:szCs w:val="24"/>
        </w:rPr>
        <w:t xml:space="preserve">)  Also the same applies for what he terms “reincarnationists”.  He even says, “whatever” to describe how they might apply fatalism (if they apply fatalism) instead of fleshing it out to perhaps give more nuance to the idea of karma with respect to varying belief systems. This language might also suggest a tone (as mentioned with the previous article) that sounds dismissive and insensitive.  </w:t>
      </w:r>
    </w:p>
    <w:p>
      <w:pPr>
        <w:pStyle w:val="NormalWeb"/>
        <w:spacing w:before="0" w:after="0"/>
        <w:ind w:end="-334"/>
        <w:rPr>
          <w:rFonts w:ascii="Calibri" w:hAnsi="Calibri" w:cs="Tahoma"/>
          <w:bCs/>
          <w:sz w:val="24"/>
          <w:szCs w:val="24"/>
        </w:rPr>
      </w:pPr>
      <w:r>
        <w:rPr>
          <w:rFonts w:cs="Tahoma" w:ascii="Calibri" w:hAnsi="Calibri"/>
          <w:bCs/>
          <w:i w:val="false"/>
          <w:iCs w:val="false"/>
          <w:sz w:val="24"/>
          <w:szCs w:val="24"/>
        </w:rPr>
        <w:t xml:space="preserve">As pointed out in the text, </w:t>
      </w:r>
      <w:r>
        <w:rPr>
          <w:rFonts w:cs="Tahoma" w:ascii="Calibri" w:hAnsi="Calibri"/>
          <w:bCs/>
          <w:i/>
          <w:iCs/>
          <w:sz w:val="24"/>
          <w:szCs w:val="24"/>
        </w:rPr>
        <w:t>Qualitative Research Methods</w:t>
      </w:r>
      <w:r>
        <w:rPr>
          <w:rStyle w:val="FootnoteReference"/>
          <w:rFonts w:cs="Tahoma" w:ascii="Calibri" w:hAnsi="Calibri"/>
          <w:bCs/>
          <w:i/>
          <w:iCs/>
          <w:sz w:val="24"/>
          <w:szCs w:val="24"/>
        </w:rPr>
        <w:footnoteReference w:id="18"/>
      </w:r>
      <w:r>
        <w:rPr>
          <w:rFonts w:cs="Tahoma" w:ascii="Calibri" w:hAnsi="Calibri"/>
          <w:bCs/>
          <w:i/>
          <w:iCs/>
          <w:sz w:val="24"/>
          <w:szCs w:val="24"/>
        </w:rPr>
        <w:t xml:space="preserve">, </w:t>
      </w:r>
      <w:r>
        <w:rPr>
          <w:rFonts w:cs="Tahoma" w:ascii="Calibri" w:hAnsi="Calibri"/>
          <w:bCs/>
          <w:i w:val="false"/>
          <w:iCs w:val="false"/>
          <w:sz w:val="24"/>
          <w:szCs w:val="24"/>
        </w:rPr>
        <w:t>reflexivity is necessary to keep the researchers biases in conscious awareness as much as possible and also to those biases in check when conducting research.  It is of course impossible to be perfectly objective but if researchers do not attempt to reflect on how they could possibly influence (and also be influenced) when working on their research projects they run the risk of producing less accurate and useful data.</w:t>
      </w:r>
    </w:p>
    <w:p>
      <w:pPr>
        <w:pStyle w:val="NormalWeb"/>
        <w:spacing w:before="0" w:after="0"/>
        <w:ind w:end="-334"/>
        <w:rPr>
          <w:rFonts w:ascii="Calibri" w:hAnsi="Calibri" w:cs="Tahoma"/>
          <w:bCs/>
          <w:sz w:val="24"/>
          <w:szCs w:val="24"/>
        </w:rPr>
      </w:pPr>
      <w:r>
        <w:rPr/>
      </w:r>
    </w:p>
    <w:p>
      <w:pPr>
        <w:pStyle w:val="NormalWeb"/>
        <w:spacing w:before="0" w:after="0"/>
        <w:ind w:end="-334"/>
        <w:rPr>
          <w:rFonts w:ascii="Calibri" w:hAnsi="Calibri" w:cs="Tahoma"/>
          <w:bCs/>
          <w:sz w:val="24"/>
          <w:szCs w:val="24"/>
        </w:rPr>
      </w:pPr>
      <w:r>
        <w:rPr>
          <w:rFonts w:cs="Tahoma" w:ascii="Calibri" w:hAnsi="Calibri"/>
          <w:bCs/>
          <w:i w:val="false"/>
          <w:iCs w:val="false"/>
          <w:sz w:val="24"/>
          <w:szCs w:val="24"/>
        </w:rPr>
        <w:t>Laura Kapinga, Rik Huizinga and Reza Shaker point out in their article, “Reflexivity through Positionality Meeting: Religion, Muslims and ‘Non-Religious’ Researchers”,</w:t>
      </w:r>
      <w:r>
        <w:rPr>
          <w:rStyle w:val="FootnoteReference"/>
          <w:rFonts w:cs="Tahoma" w:ascii="Calibri" w:hAnsi="Calibri"/>
          <w:bCs/>
          <w:i w:val="false"/>
          <w:iCs w:val="false"/>
          <w:sz w:val="24"/>
          <w:szCs w:val="24"/>
        </w:rPr>
        <w:footnoteReference w:id="19"/>
      </w:r>
      <w:r>
        <w:rPr>
          <w:rFonts w:cs="Tahoma" w:ascii="Calibri" w:hAnsi="Calibri"/>
          <w:bCs/>
          <w:i w:val="false"/>
          <w:iCs w:val="false"/>
          <w:sz w:val="24"/>
          <w:szCs w:val="24"/>
        </w:rPr>
        <w:t xml:space="preserve"> that along with self-reflection on ones position regarding the insider/outsider spectrum when pursuing research, one could potentially gain greater insights by participating in positionality meetings.  These meetings involve engaging in frank (sometimes confrontational) dialogue with others regarding the researcher’s potential biases and giving a more multi-faceted look into where the researcher stands in regard to the population they are studying.  This of course is done with mutual respect and constructive criticism with a focus on intersectionality as it applies to the participants in the positionality meeting and their respective research subjects.</w:t>
      </w:r>
    </w:p>
    <w:p>
      <w:pPr>
        <w:pStyle w:val="NormalWeb"/>
        <w:spacing w:before="0" w:after="0"/>
        <w:ind w:end="-334"/>
        <w:rPr>
          <w:rFonts w:ascii="Calibri" w:hAnsi="Calibri" w:cs="Tahoma"/>
          <w:bCs/>
          <w:sz w:val="24"/>
          <w:szCs w:val="24"/>
        </w:rPr>
      </w:pPr>
      <w:r>
        <w:rPr/>
      </w:r>
    </w:p>
    <w:p>
      <w:pPr>
        <w:pStyle w:val="NormalWeb"/>
        <w:spacing w:before="0" w:after="0"/>
        <w:ind w:end="-334"/>
        <w:rPr>
          <w:rFonts w:ascii="Calibri" w:hAnsi="Calibri" w:cs="Tahoma"/>
          <w:bCs/>
          <w:sz w:val="24"/>
          <w:szCs w:val="24"/>
        </w:rPr>
      </w:pPr>
      <w:r>
        <w:rPr>
          <w:rFonts w:cs="Tahoma" w:ascii="Calibri" w:hAnsi="Calibri"/>
          <w:bCs/>
          <w:sz w:val="24"/>
          <w:szCs w:val="24"/>
        </w:rPr>
        <w:t>Both articles are dealing with research that entails the participant’s spiritual and religious beliefs. Therefore the practice of engaging in a positionality meeting could be particularly helpful given the very personal and subjective nature of those topics.</w:t>
      </w:r>
    </w:p>
    <w:p>
      <w:pPr>
        <w:pStyle w:val="NormalWeb"/>
        <w:spacing w:before="0" w:after="0"/>
        <w:ind w:end="-334"/>
        <w:rPr>
          <w:rFonts w:ascii="Calibri" w:hAnsi="Calibri" w:cs="Tahoma"/>
          <w:bCs/>
          <w:sz w:val="24"/>
          <w:szCs w:val="24"/>
        </w:rPr>
      </w:pPr>
      <w:r>
        <w:rPr/>
      </w:r>
    </w:p>
    <w:p>
      <w:pPr>
        <w:pStyle w:val="NormalWeb"/>
        <w:spacing w:before="0" w:after="0"/>
        <w:ind w:end="-334"/>
        <w:rPr>
          <w:rFonts w:ascii="Calibri" w:hAnsi="Calibri" w:cs="Tahoma"/>
          <w:bCs/>
          <w:sz w:val="24"/>
          <w:szCs w:val="24"/>
        </w:rPr>
      </w:pPr>
      <w:r>
        <w:rPr>
          <w:rFonts w:cs="Tahoma" w:ascii="Calibri" w:hAnsi="Calibri"/>
          <w:bCs/>
          <w:sz w:val="24"/>
          <w:szCs w:val="24"/>
        </w:rPr>
        <w:t>In both articles there were questions about potential ethical issues.   In Brink’s research he states that his subjects were teen-age girls that were given his questionnaire during a required class in religion.</w:t>
      </w:r>
      <w:r>
        <w:rPr>
          <w:rStyle w:val="FootnoteReference"/>
          <w:rFonts w:cs="Tahoma" w:ascii="Calibri" w:hAnsi="Calibri"/>
          <w:bCs/>
          <w:sz w:val="24"/>
          <w:szCs w:val="24"/>
        </w:rPr>
        <w:footnoteReference w:id="20"/>
      </w:r>
      <w:r>
        <w:rPr>
          <w:rFonts w:cs="Tahoma" w:ascii="Calibri" w:hAnsi="Calibri"/>
          <w:bCs/>
          <w:sz w:val="24"/>
          <w:szCs w:val="24"/>
        </w:rPr>
        <w:t xml:space="preserve">  How was recruitment done?  How was confidentiality ensured? Was it voluntary or were they told they had to participate?  Were parents or guardians aware that this survey was being done?  It was given during class in the institution where they attend school.  This could create an unequal power dynamic where the girls might feel compelled to participate and/or answer the questions in a particular way.</w:t>
      </w:r>
      <w:r>
        <w:rPr>
          <w:rStyle w:val="FootnoteReference"/>
          <w:rFonts w:cs="Tahoma" w:ascii="Calibri" w:hAnsi="Calibri"/>
          <w:bCs/>
          <w:sz w:val="24"/>
          <w:szCs w:val="24"/>
        </w:rPr>
        <w:footnoteReference w:id="21"/>
      </w:r>
    </w:p>
    <w:p>
      <w:pPr>
        <w:pStyle w:val="NormalWeb"/>
        <w:spacing w:before="0" w:after="0"/>
        <w:ind w:end="-334"/>
        <w:rPr>
          <w:rFonts w:ascii="Trebuchet MS" w:hAnsi="Trebuchet MS" w:cs="Tahoma"/>
          <w:bCs/>
          <w:sz w:val="24"/>
          <w:szCs w:val="24"/>
        </w:rPr>
      </w:pPr>
      <w:r>
        <w:rPr>
          <w:rFonts w:cs="Tahoma" w:ascii="Calibri" w:hAnsi="Calibri"/>
          <w:bCs/>
          <w:sz w:val="24"/>
          <w:szCs w:val="24"/>
        </w:rPr>
        <w:t xml:space="preserve">Doris Maat  2322109                                                                                             </w:t>
      </w:r>
      <w:r>
        <w:rPr>
          <w:rFonts w:cs="Tahoma" w:ascii="Calibri" w:hAnsi="Calibri"/>
          <w:bCs/>
          <w:sz w:val="24"/>
          <w:szCs w:val="24"/>
        </w:rPr>
        <w:t>page 5 of 5</w:t>
      </w:r>
    </w:p>
    <w:p>
      <w:pPr>
        <w:pStyle w:val="NormalWeb"/>
        <w:spacing w:before="0" w:after="0"/>
        <w:ind w:end="-334"/>
        <w:rPr>
          <w:rFonts w:ascii="Calibri" w:hAnsi="Calibri" w:cs="Tahoma"/>
          <w:bCs/>
          <w:sz w:val="24"/>
          <w:szCs w:val="24"/>
        </w:rPr>
      </w:pPr>
      <w:r>
        <w:rPr/>
      </w:r>
    </w:p>
    <w:p>
      <w:pPr>
        <w:pStyle w:val="NormalWeb"/>
        <w:spacing w:before="0" w:after="0"/>
        <w:ind w:end="-334"/>
        <w:rPr>
          <w:rFonts w:ascii="Calibri" w:hAnsi="Calibri" w:cs="Tahoma"/>
          <w:bCs/>
          <w:sz w:val="24"/>
          <w:szCs w:val="24"/>
        </w:rPr>
      </w:pPr>
      <w:r>
        <w:rPr>
          <w:rFonts w:cs="Tahoma" w:ascii="Calibri" w:hAnsi="Calibri"/>
          <w:bCs/>
          <w:sz w:val="24"/>
          <w:szCs w:val="24"/>
        </w:rPr>
        <w:t>Similarly in the article by Walter and Waterhouse, there seemed to be potential ethical concerns regarding both the adults and the children that participated.  The adults were interviewed in their homes.  This could potentially create issues around confidentiality and anonymity if there are other people in the house at the time of the interview.  Do they feel they have privacy?  Can people overhear the interview?  The children that participated were involved in group interviews.  The authors do not say where these interviews took place or who (other than the children) might have been present.  Did the children volunteer?  How did the principle of informed consent play out?  Were the parents/guardians involved?  Also, the concept of “minimization of harm” must be considered.  These were group interviews with children regarding their personal beliefs.  With a sensitive topic like this, there is the potential for shame, stigmatization, discrimination and bullying.  What protocols were in place to protect them?</w:t>
      </w:r>
      <w:r>
        <w:rPr>
          <w:rStyle w:val="FootnoteReference"/>
          <w:rFonts w:cs="Tahoma" w:ascii="Calibri" w:hAnsi="Calibri"/>
          <w:bCs/>
          <w:sz w:val="24"/>
          <w:szCs w:val="24"/>
        </w:rPr>
        <w:footnoteReference w:id="22"/>
      </w:r>
    </w:p>
    <w:p>
      <w:pPr>
        <w:pStyle w:val="NormalWeb"/>
        <w:spacing w:before="0" w:after="0"/>
        <w:ind w:end="-334"/>
        <w:rPr>
          <w:rFonts w:ascii="Calibri" w:hAnsi="Calibri" w:cs="Tahoma"/>
          <w:bCs/>
          <w:sz w:val="24"/>
          <w:szCs w:val="24"/>
        </w:rPr>
      </w:pPr>
      <w:r>
        <w:rPr/>
      </w:r>
    </w:p>
    <w:p>
      <w:pPr>
        <w:pStyle w:val="NormalWeb"/>
        <w:spacing w:before="0" w:after="0"/>
        <w:ind w:end="-334"/>
        <w:rPr>
          <w:rFonts w:ascii="Calibri" w:hAnsi="Calibri" w:cs="Tahoma"/>
          <w:bCs/>
          <w:sz w:val="24"/>
          <w:szCs w:val="24"/>
        </w:rPr>
      </w:pPr>
      <w:r>
        <w:rPr>
          <w:rFonts w:cs="Tahoma" w:ascii="Calibri" w:hAnsi="Calibri"/>
          <w:bCs/>
          <w:sz w:val="24"/>
          <w:szCs w:val="24"/>
        </w:rPr>
        <w:t>Both articles were exploring (in somewhat different ways) the ways people grapple with various spiritual ideas or beliefs that aren’t, in the respective opinion of the researcher, traditionally associated with each other.  They hypothesized that this might create cognitive dissonance or a kind of “compartmentalization” of different beliefs where they might choose to keep some beliefs to themselves and only publicly acknowledge the more acceptable or mainstream beliefs.  In both the research conducted by Brinks and by Walter and Waterhouse, similar (if not exact) results were found.  The people involved seemed able to simultaneously hold various beliefs without it conflicting with their (ostensibly) Christian beliefs.</w:t>
      </w:r>
      <w:r>
        <w:rPr>
          <w:rStyle w:val="FootnoteReference"/>
          <w:rFonts w:cs="Tahoma" w:ascii="Calibri" w:hAnsi="Calibri"/>
          <w:bCs/>
          <w:sz w:val="24"/>
          <w:szCs w:val="24"/>
        </w:rPr>
        <w:footnoteReference w:id="23"/>
      </w:r>
      <w:r>
        <w:rPr>
          <w:rFonts w:cs="Tahoma" w:ascii="Calibri" w:hAnsi="Calibri"/>
          <w:bCs/>
          <w:sz w:val="24"/>
          <w:szCs w:val="24"/>
        </w:rPr>
        <w:t xml:space="preserve"> </w:t>
      </w:r>
      <w:r>
        <w:rPr>
          <w:rStyle w:val="FootnoteReference"/>
          <w:rFonts w:cs="Tahoma" w:ascii="Calibri" w:hAnsi="Calibri"/>
          <w:bCs/>
          <w:sz w:val="24"/>
          <w:szCs w:val="24"/>
        </w:rPr>
        <w:footnoteReference w:id="24"/>
      </w:r>
      <w:r>
        <w:rPr>
          <w:rFonts w:cs="Tahoma" w:ascii="Calibri" w:hAnsi="Calibri"/>
          <w:bCs/>
          <w:sz w:val="24"/>
          <w:szCs w:val="24"/>
        </w:rPr>
        <w:t xml:space="preserve"> </w:t>
      </w:r>
    </w:p>
    <w:p>
      <w:pPr>
        <w:pStyle w:val="NormalWeb"/>
        <w:spacing w:before="0" w:after="0"/>
        <w:ind w:end="-334"/>
        <w:rPr>
          <w:rFonts w:ascii="Calibri" w:hAnsi="Calibri" w:cs="Tahoma"/>
          <w:bCs/>
          <w:sz w:val="24"/>
          <w:szCs w:val="24"/>
        </w:rPr>
      </w:pPr>
      <w:r>
        <w:rPr/>
      </w:r>
    </w:p>
    <w:p>
      <w:pPr>
        <w:pStyle w:val="NormalWeb"/>
        <w:spacing w:before="0" w:after="0"/>
        <w:ind w:end="-334"/>
        <w:rPr>
          <w:rFonts w:ascii="Calibri" w:hAnsi="Calibri" w:cs="Tahoma"/>
          <w:bCs/>
          <w:sz w:val="24"/>
          <w:szCs w:val="24"/>
        </w:rPr>
      </w:pPr>
      <w:r>
        <w:rPr>
          <w:rFonts w:cs="Tahoma" w:ascii="Calibri" w:hAnsi="Calibri"/>
          <w:bCs/>
          <w:sz w:val="24"/>
          <w:szCs w:val="24"/>
        </w:rPr>
        <w:t>The Brinks article is written in a more clear and concise style.  A table was given showing the questions and the answers given to the participants.</w:t>
      </w:r>
      <w:r>
        <w:rPr>
          <w:rStyle w:val="FootnoteReference"/>
          <w:rFonts w:cs="Tahoma" w:ascii="Calibri" w:hAnsi="Calibri"/>
          <w:bCs/>
          <w:sz w:val="24"/>
          <w:szCs w:val="24"/>
        </w:rPr>
        <w:footnoteReference w:id="25"/>
      </w:r>
      <w:r>
        <w:rPr>
          <w:rFonts w:cs="Tahoma" w:ascii="Calibri" w:hAnsi="Calibri"/>
          <w:bCs/>
          <w:sz w:val="24"/>
          <w:szCs w:val="24"/>
        </w:rPr>
        <w:t xml:space="preserve">  The Walter and Waterhouse article in an almost casual style.  It seemed as if some potentially pertinent information was either left out or referenced in passing, without clear details.  For example, they would give snippets of the various interviews they did without detailing what questions they asked or if every participant was asked the same questions.  It appears that the data and the questions given to the children in the group interviews was completely left out with no explanation. And yet they chose to include that they had in fact interviewed them, going so far as to give the number of children involved and their ages.</w:t>
      </w:r>
      <w:r>
        <w:rPr>
          <w:rStyle w:val="FootnoteReference"/>
          <w:rFonts w:cs="Tahoma" w:ascii="Calibri" w:hAnsi="Calibri"/>
          <w:bCs/>
          <w:sz w:val="24"/>
          <w:szCs w:val="24"/>
        </w:rPr>
        <w:footnoteReference w:id="26"/>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rPr>
          <w:rFonts w:ascii="Calibri" w:hAnsi="Calibri"/>
          <w:sz w:val="24"/>
          <w:szCs w:val="24"/>
        </w:rPr>
      </w:pPr>
      <w:r>
        <w:rPr>
          <w:rFonts w:ascii="Calibri" w:hAnsi="Calibri"/>
          <w:sz w:val="24"/>
          <w:szCs w:val="24"/>
        </w:rPr>
        <w:t xml:space="preserve">In conclusion, these two articles brought up much information regarding a qualitative research approach to spiritual beliefs and religion.  Both hypothesized that diverse or </w:t>
      </w:r>
    </w:p>
    <w:p>
      <w:pPr>
        <w:pStyle w:val="NormalWeb"/>
        <w:spacing w:before="0" w:after="0"/>
        <w:ind w:end="-334"/>
        <w:rPr>
          <w:rFonts w:ascii="Trebuchet MS" w:hAnsi="Trebuchet MS" w:cs="Tahoma"/>
          <w:bCs/>
          <w:sz w:val="24"/>
          <w:szCs w:val="24"/>
        </w:rPr>
      </w:pPr>
      <w:r>
        <w:rPr>
          <w:rFonts w:cs="Tahoma" w:ascii="Calibri" w:hAnsi="Calibri"/>
          <w:bCs/>
          <w:sz w:val="24"/>
          <w:szCs w:val="24"/>
        </w:rPr>
        <w:t>Doris Maat  2322109                                                                                          page 6 of 6</w:t>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rPr>
          <w:rFonts w:ascii="Calibri" w:hAnsi="Calibri"/>
          <w:sz w:val="24"/>
          <w:szCs w:val="24"/>
        </w:rPr>
      </w:pPr>
      <w:r>
        <w:rPr>
          <w:rFonts w:ascii="Calibri" w:hAnsi="Calibri"/>
          <w:sz w:val="24"/>
          <w:szCs w:val="24"/>
        </w:rPr>
        <w:t>varying spiritual or religious beliefs in the individuals surveyed as potentially problematic.  They both came to similar conclusions that people can in fact hold different spiritual belefs simultaneously without having the individual necessarily fall into internal conflict or cognitive dissonance.  Brinks particularly thought that holding the beliefs of astrology, reincarnation and Christianity were not compatible and that the person in question would be compelled to reject two of the three beliefs.</w:t>
      </w:r>
    </w:p>
    <w:p>
      <w:pPr>
        <w:pStyle w:val="NormalWeb"/>
        <w:spacing w:before="0" w:after="0"/>
        <w:ind w:end="-334"/>
        <w:rPr>
          <w:rFonts w:ascii="Calibri" w:hAnsi="Calibri"/>
          <w:sz w:val="24"/>
          <w:szCs w:val="24"/>
        </w:rPr>
      </w:pPr>
      <w:r>
        <w:rPr>
          <w:rFonts w:ascii="Calibri" w:hAnsi="Calibri"/>
          <w:sz w:val="24"/>
          <w:szCs w:val="24"/>
        </w:rPr>
        <w:t>Both articles seemed to have (or at least they didn’t really demonstrate it in their writing) a cursory or even incorrect notion about astrology and reincarnation.  In the article by Walter and Waterhouse, there were multiple examples of assumptions regarding reincarnation and also what they considered to be the New Age Movement.  The problem was, at least in the case of the New Age Movement, they never really clarified what the did believe it to be, rightly or wrongly.  That said, what did seem to emerge was a tremendous amount of bias surrounding those who are interested in a variety of spiritual pursuits or even those who are interested in things that aren’t necessarily associated with spiritual pursuits such as vegetarianism or dressing in Indian clothing (suggesting that anything Indian is associated with Eastern spirituality and therefore New Age thought.)</w:t>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rPr>
          <w:rFonts w:ascii="Calibri" w:hAnsi="Calibri"/>
          <w:sz w:val="24"/>
          <w:szCs w:val="24"/>
        </w:rPr>
      </w:pPr>
      <w:r>
        <w:rPr>
          <w:rFonts w:ascii="Calibri" w:hAnsi="Calibri"/>
          <w:sz w:val="24"/>
          <w:szCs w:val="24"/>
        </w:rPr>
        <w:t xml:space="preserve">Doris Maat  2322109                                                                                 Page 7 of 7          </w:t>
      </w:r>
    </w:p>
    <w:p>
      <w:pPr>
        <w:pStyle w:val="NormalWeb"/>
        <w:spacing w:before="0" w:after="0"/>
        <w:ind w:end="-334"/>
        <w:rPr>
          <w:rFonts w:ascii="Calibri" w:hAnsi="Calibri"/>
          <w:sz w:val="24"/>
          <w:szCs w:val="24"/>
        </w:rPr>
      </w:pPr>
      <w:r>
        <w:rPr>
          <w:rFonts w:ascii="Calibri" w:hAnsi="Calibri"/>
          <w:sz w:val="24"/>
          <w:szCs w:val="24"/>
        </w:rPr>
      </w:r>
    </w:p>
    <w:p>
      <w:pPr>
        <w:pStyle w:val="NormalWeb"/>
        <w:spacing w:before="0" w:after="0"/>
        <w:ind w:end="-334"/>
        <w:jc w:val="center"/>
        <w:rPr>
          <w:rFonts w:ascii="Calibri" w:hAnsi="Calibri"/>
          <w:b/>
          <w:bCs/>
          <w:sz w:val="24"/>
          <w:szCs w:val="24"/>
        </w:rPr>
      </w:pPr>
      <w:r>
        <w:rPr>
          <w:rFonts w:ascii="Calibri" w:hAnsi="Calibri"/>
          <w:b/>
          <w:bCs/>
          <w:sz w:val="24"/>
          <w:szCs w:val="24"/>
        </w:rPr>
        <w:t>Bibliography</w:t>
      </w:r>
    </w:p>
    <w:p>
      <w:pPr>
        <w:pStyle w:val="NormalWeb"/>
        <w:spacing w:before="0" w:after="0"/>
        <w:ind w:end="-334"/>
        <w:jc w:val="center"/>
        <w:rPr>
          <w:rFonts w:ascii="Calibri" w:hAnsi="Calibri"/>
          <w:b/>
          <w:bCs/>
          <w:sz w:val="24"/>
          <w:szCs w:val="24"/>
        </w:rPr>
      </w:pPr>
      <w:r>
        <w:rPr>
          <w:rFonts w:ascii="Calibri" w:hAnsi="Calibri"/>
          <w:b/>
          <w:bCs/>
          <w:sz w:val="24"/>
          <w:szCs w:val="24"/>
        </w:rPr>
      </w:r>
    </w:p>
    <w:p>
      <w:pPr>
        <w:pStyle w:val="FootnoteText"/>
        <w:rPr>
          <w:rFonts w:ascii="Calibri" w:hAnsi="Calibri"/>
          <w:sz w:val="24"/>
          <w:szCs w:val="24"/>
        </w:rPr>
      </w:pPr>
      <w:r>
        <w:rPr>
          <w:rFonts w:ascii="Calibri" w:hAnsi="Calibri"/>
          <w:sz w:val="24"/>
          <w:szCs w:val="24"/>
        </w:rPr>
        <w:t xml:space="preserve">Monique Hennink, Inge Hunter, Ajay Bailey, </w:t>
      </w:r>
      <w:r>
        <w:rPr>
          <w:rFonts w:ascii="Calibri" w:hAnsi="Calibri"/>
          <w:i/>
          <w:iCs/>
          <w:sz w:val="24"/>
          <w:szCs w:val="24"/>
        </w:rPr>
        <w:t>Qualitative Research Methods</w:t>
      </w:r>
      <w:r>
        <w:rPr>
          <w:rFonts w:ascii="Calibri" w:hAnsi="Calibri"/>
          <w:i w:val="false"/>
          <w:iCs w:val="false"/>
          <w:sz w:val="24"/>
          <w:szCs w:val="24"/>
        </w:rPr>
        <w:t>, 2</w:t>
      </w:r>
      <w:r>
        <w:rPr>
          <w:rFonts w:ascii="Calibri" w:hAnsi="Calibri"/>
          <w:i w:val="false"/>
          <w:iCs w:val="false"/>
          <w:sz w:val="24"/>
          <w:szCs w:val="24"/>
          <w:vertAlign w:val="superscript"/>
        </w:rPr>
        <w:t>nd</w:t>
      </w:r>
      <w:r>
        <w:rPr>
          <w:rFonts w:ascii="Calibri" w:hAnsi="Calibri"/>
          <w:i w:val="false"/>
          <w:iCs w:val="false"/>
          <w:sz w:val="24"/>
          <w:szCs w:val="24"/>
        </w:rPr>
        <w:t xml:space="preserve"> edition, London, Sage</w:t>
      </w:r>
    </w:p>
    <w:p>
      <w:pPr>
        <w:pStyle w:val="FootnoteText"/>
        <w:rPr>
          <w:rFonts w:ascii="Calibri" w:hAnsi="Calibri"/>
          <w:sz w:val="24"/>
          <w:szCs w:val="24"/>
        </w:rPr>
      </w:pPr>
      <w:r>
        <w:rPr>
          <w:rFonts w:ascii="Calibri" w:hAnsi="Calibri"/>
          <w:i w:val="false"/>
          <w:iCs w:val="false"/>
          <w:sz w:val="24"/>
          <w:szCs w:val="24"/>
        </w:rPr>
        <w:t>Publications Ltd., [2020]</w:t>
      </w:r>
    </w:p>
    <w:p>
      <w:pPr>
        <w:pStyle w:val="FootnoteText"/>
        <w:rPr>
          <w:i w:val="false"/>
          <w:i w:val="false"/>
          <w:iCs w:val="false"/>
        </w:rPr>
      </w:pPr>
      <w:r>
        <w:rPr>
          <w:rFonts w:ascii="Calibri" w:hAnsi="Calibri"/>
          <w:sz w:val="24"/>
          <w:szCs w:val="24"/>
        </w:rPr>
      </w:r>
    </w:p>
    <w:p>
      <w:pPr>
        <w:pStyle w:val="FootnoteText"/>
        <w:rPr>
          <w:sz w:val="24"/>
          <w:szCs w:val="24"/>
        </w:rPr>
      </w:pPr>
      <w:r>
        <w:rPr>
          <w:i w:val="false"/>
          <w:iCs w:val="false"/>
          <w:sz w:val="24"/>
          <w:szCs w:val="24"/>
        </w:rPr>
        <w:t xml:space="preserve">Erik Erickson, </w:t>
      </w:r>
      <w:r>
        <w:rPr>
          <w:i/>
          <w:iCs/>
          <w:sz w:val="24"/>
          <w:szCs w:val="24"/>
        </w:rPr>
        <w:t>Childhood and Society</w:t>
      </w:r>
      <w:r>
        <w:rPr>
          <w:i w:val="false"/>
          <w:iCs w:val="false"/>
          <w:sz w:val="24"/>
          <w:szCs w:val="24"/>
        </w:rPr>
        <w:t>, New York: Norton, 1950</w:t>
      </w:r>
    </w:p>
    <w:p>
      <w:pPr>
        <w:pStyle w:val="FootnoteText"/>
        <w:rPr>
          <w:i w:val="false"/>
          <w:i w:val="false"/>
          <w:iCs w:val="false"/>
        </w:rPr>
      </w:pPr>
      <w:r>
        <w:rPr>
          <w:sz w:val="24"/>
          <w:szCs w:val="24"/>
        </w:rPr>
      </w:r>
    </w:p>
    <w:p>
      <w:pPr>
        <w:pStyle w:val="FootnoteText"/>
        <w:rPr>
          <w:sz w:val="24"/>
          <w:szCs w:val="24"/>
        </w:rPr>
      </w:pPr>
      <w:r>
        <w:rPr>
          <w:i w:val="false"/>
          <w:iCs w:val="false"/>
          <w:sz w:val="24"/>
          <w:szCs w:val="24"/>
        </w:rPr>
        <w:t xml:space="preserve">Leon Festinger, </w:t>
      </w:r>
      <w:r>
        <w:rPr>
          <w:i/>
          <w:iCs/>
          <w:sz w:val="24"/>
          <w:szCs w:val="24"/>
        </w:rPr>
        <w:t>A Theory of Cognitive Dissonance</w:t>
      </w:r>
      <w:r>
        <w:rPr>
          <w:i w:val="false"/>
          <w:iCs w:val="false"/>
          <w:sz w:val="24"/>
          <w:szCs w:val="24"/>
        </w:rPr>
        <w:t>, New York, Harper and Row, 1957</w:t>
      </w:r>
    </w:p>
    <w:p>
      <w:pPr>
        <w:pStyle w:val="FootnoteText"/>
        <w:rPr>
          <w:i w:val="false"/>
          <w:i w:val="false"/>
          <w:iCs w:val="false"/>
        </w:rPr>
      </w:pPr>
      <w:r>
        <w:rPr>
          <w:sz w:val="24"/>
          <w:szCs w:val="24"/>
        </w:rPr>
      </w:r>
    </w:p>
    <w:p>
      <w:pPr>
        <w:pStyle w:val="NormalWeb"/>
        <w:spacing w:before="0" w:after="0"/>
        <w:ind w:end="-334"/>
        <w:rPr>
          <w:sz w:val="24"/>
          <w:szCs w:val="24"/>
        </w:rPr>
      </w:pPr>
      <w:r>
        <w:rPr>
          <w:rFonts w:cs="Tahoma" w:ascii="Calibri" w:hAnsi="Calibri"/>
          <w:bCs/>
          <w:i w:val="false"/>
          <w:iCs w:val="false"/>
          <w:sz w:val="24"/>
          <w:szCs w:val="24"/>
        </w:rPr>
        <w:t xml:space="preserve">Inconsistency of Belief among Roman Catholic Girls: Concerning Religion, Astrology, Reincarnation’ by T. L. Brink in </w:t>
      </w:r>
      <w:r>
        <w:rPr>
          <w:rFonts w:cs="Tahoma" w:ascii="Calibri" w:hAnsi="Calibri"/>
          <w:bCs/>
          <w:i/>
          <w:iCs/>
          <w:sz w:val="24"/>
          <w:szCs w:val="24"/>
        </w:rPr>
        <w:t xml:space="preserve">Review of Religious Research, </w:t>
      </w:r>
      <w:r>
        <w:rPr>
          <w:rFonts w:cs="Tahoma" w:ascii="Calibri" w:hAnsi="Calibri"/>
          <w:bCs/>
          <w:i w:val="false"/>
          <w:iCs w:val="false"/>
          <w:sz w:val="24"/>
          <w:szCs w:val="24"/>
        </w:rPr>
        <w:t>Autumn, 1978, Vol. 20, No.1</w:t>
      </w:r>
    </w:p>
    <w:p>
      <w:pPr>
        <w:pStyle w:val="NormalWeb"/>
        <w:spacing w:before="0" w:after="0"/>
        <w:ind w:end="-334"/>
        <w:rPr>
          <w:rFonts w:ascii="Calibri" w:hAnsi="Calibri" w:cs="Tahoma"/>
          <w:bCs/>
          <w:i w:val="false"/>
          <w:i w:val="false"/>
          <w:iCs w:val="false"/>
        </w:rPr>
      </w:pPr>
      <w:r>
        <w:rPr>
          <w:sz w:val="24"/>
          <w:szCs w:val="24"/>
        </w:rPr>
      </w:r>
    </w:p>
    <w:p>
      <w:pPr>
        <w:pStyle w:val="FootnoteText"/>
        <w:rPr>
          <w:sz w:val="24"/>
          <w:szCs w:val="24"/>
        </w:rPr>
      </w:pPr>
      <w:r>
        <w:rPr>
          <w:rFonts w:cs="Tahoma" w:ascii="Calibri" w:hAnsi="Calibri"/>
          <w:bCs/>
          <w:i w:val="false"/>
          <w:iCs w:val="false"/>
          <w:sz w:val="24"/>
          <w:szCs w:val="24"/>
        </w:rPr>
        <w:t xml:space="preserve">A Very Private Belief: Reincarnation in Contemporary England’ by Tony Walter and Helen Waterhouse in </w:t>
      </w:r>
      <w:r>
        <w:rPr>
          <w:rFonts w:cs="Tahoma" w:ascii="Calibri" w:hAnsi="Calibri"/>
          <w:bCs/>
          <w:i/>
          <w:iCs/>
          <w:sz w:val="24"/>
          <w:szCs w:val="24"/>
        </w:rPr>
        <w:t>Sociology of Religion,</w:t>
      </w:r>
      <w:r>
        <w:rPr>
          <w:rFonts w:cs="Tahoma" w:ascii="Calibri" w:hAnsi="Calibri"/>
          <w:bCs/>
          <w:i w:val="false"/>
          <w:iCs w:val="false"/>
          <w:sz w:val="24"/>
          <w:szCs w:val="24"/>
        </w:rPr>
        <w:t xml:space="preserve"> Summer, 1999, Vol. 60, No. 2</w:t>
      </w:r>
    </w:p>
    <w:p>
      <w:pPr>
        <w:pStyle w:val="FootnoteText"/>
        <w:rPr>
          <w:rFonts w:ascii="Calibri" w:hAnsi="Calibri" w:cs="Tahoma"/>
          <w:bCs/>
          <w:i w:val="false"/>
          <w:i w:val="false"/>
          <w:iCs w:val="false"/>
        </w:rPr>
      </w:pPr>
      <w:r>
        <w:rPr>
          <w:sz w:val="24"/>
          <w:szCs w:val="24"/>
        </w:rPr>
      </w:r>
    </w:p>
    <w:p>
      <w:pPr>
        <w:pStyle w:val="NormalWeb"/>
        <w:spacing w:before="0" w:after="0"/>
        <w:ind w:end="-334"/>
        <w:rPr>
          <w:sz w:val="24"/>
          <w:szCs w:val="24"/>
        </w:rPr>
      </w:pPr>
      <w:r>
        <w:rPr>
          <w:rFonts w:cs="Tahoma" w:ascii="Calibri" w:hAnsi="Calibri"/>
          <w:bCs/>
          <w:i w:val="false"/>
          <w:iCs w:val="false"/>
          <w:sz w:val="24"/>
          <w:szCs w:val="24"/>
        </w:rPr>
        <w:t>Reflexivity through Positionality Meetings: Religion, Muslims and ‘Non-Religious’ Researchers, by Laura Kapinga, Rik Huizinga and Reza Shaker in International Journal of Social Research Methodology, 2022, vol. 25: 1</w:t>
      </w:r>
    </w:p>
    <w:p>
      <w:pPr>
        <w:pStyle w:val="NormalWeb"/>
        <w:spacing w:before="0" w:after="0"/>
        <w:ind w:end="-334"/>
        <w:rPr>
          <w:rFonts w:ascii="Calibri" w:hAnsi="Calibri" w:cs="Tahoma"/>
          <w:bCs/>
          <w:i w:val="false"/>
          <w:i w:val="false"/>
          <w:iCs w:val="false"/>
          <w:sz w:val="22"/>
        </w:rPr>
      </w:pPr>
      <w:r>
        <w:rPr>
          <w:sz w:val="20"/>
          <w:szCs w:val="20"/>
        </w:rPr>
      </w:r>
    </w:p>
    <w:p>
      <w:pPr>
        <w:pStyle w:val="NormalWeb"/>
        <w:spacing w:before="0" w:after="0"/>
        <w:ind w:end="-334"/>
        <w:rPr>
          <w:rFonts w:ascii="Calibri" w:hAnsi="Calibri" w:cs="Tahoma"/>
          <w:bCs/>
          <w:i w:val="false"/>
          <w:i w:val="false"/>
          <w:iCs w:val="false"/>
          <w:sz w:val="22"/>
        </w:rPr>
      </w:pPr>
      <w:r>
        <w:rPr>
          <w:sz w:val="20"/>
          <w:szCs w:val="20"/>
        </w:rPr>
      </w:r>
    </w:p>
    <w:sectPr>
      <w:headerReference w:type="default" r:id="rId3"/>
      <w:footerReference w:type="default" r:id="rId4"/>
      <w:footnotePr>
        <w:numFmt w:val="decimal"/>
      </w:footnotePr>
      <w:type w:val="nextPage"/>
      <w:pgSz w:w="12240" w:h="15840"/>
      <w:pgMar w:left="1797" w:right="1797" w:gutter="0" w:header="567" w:top="1143" w:footer="720" w:bottom="777"/>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Arial">
    <w:charset w:val="00" w:characterSet="windows-1252"/>
    <w:family w:val="roman"/>
    <w:pitch w:val="variable"/>
  </w:font>
  <w:font w:name="Tahoma">
    <w:charset w:val="00" w:characterSet="windows-1252"/>
    <w:family w:val="roman"/>
    <w:pitch w:val="variable"/>
  </w:font>
  <w:font w:name="Symbol">
    <w:charset w:val="00" w:characterSet="windows-1252"/>
    <w:family w:val="roman"/>
    <w:pitch w:val="variable"/>
  </w:font>
  <w:font w:name="Courier New">
    <w:charset w:val="00" w:characterSet="windows-1252"/>
    <w:family w:val="roman"/>
    <w:pitch w:val="variable"/>
  </w:font>
  <w:font w:name="Wingdings">
    <w:charset w:val="00" w:characterSet="windows-1252"/>
    <w:family w:val="roman"/>
    <w:pitch w:val="variable"/>
  </w:font>
  <w:font w:name="Albertus">
    <w:charset w:val="00" w:characterSet="windows-1252"/>
    <w:family w:val="roman"/>
    <w:pitch w:val="variable"/>
  </w:font>
  <w:font w:name="Trebuchet MS">
    <w:charset w:val="00" w:characterSet="windows-1252"/>
    <w:family w:val="roman"/>
    <w:pitch w:val="variable"/>
  </w:font>
  <w:font w:name="Liberation Sans">
    <w:altName w:val="Arial"/>
    <w:charset w:val="00" w:characterSet="windows-1252"/>
    <w:family w:val="roman"/>
    <w:pitch w:val="variable"/>
  </w:font>
  <w:font w:name="Georgia">
    <w:charset w:val="00" w:characterSet="windows-1252"/>
    <w:family w:val="roman"/>
    <w:pitch w:val="variable"/>
  </w:font>
  <w:font w:name="Calibri">
    <w:charset w:val="00" w:characterSet="windows-1252"/>
    <w:family w:val="roman"/>
    <w:pitch w:val="variable"/>
  </w:font>
  <w:font w:name="Calibri">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rFonts w:ascii="Trebuchet MS" w:hAnsi="Trebuchet MS" w:eastAsia="Trebuchet MS" w:cs="Trebuchet MS"/>
        <w:sz w:val="18"/>
        <w:szCs w:val="18"/>
      </w:rPr>
    </w:pPr>
    <w:r>
      <w:rPr>
        <w:rFonts w:eastAsia="Trebuchet MS" w:cs="Trebuchet MS" w:ascii="Trebuchet MS" w:hAnsi="Trebuchet MS"/>
        <w:sz w:val="18"/>
        <w:szCs w:val="18"/>
      </w:rPr>
      <w:t xml:space="preserve"> </w:t>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NormalWeb"/>
        <w:spacing w:before="0" w:after="0"/>
        <w:ind w:end="-334"/>
        <w:rPr>
          <w:rFonts w:ascii="Calibri" w:hAnsi="Calibri" w:cs="Tahoma"/>
          <w:bCs/>
          <w:sz w:val="22"/>
          <w:szCs w:val="22"/>
        </w:rPr>
      </w:pPr>
      <w:r>
        <w:rPr>
          <w:rStyle w:val="FootnoteCharacters"/>
        </w:rPr>
        <w:footnoteRef/>
      </w:r>
      <w:r>
        <w:rPr>
          <w:rFonts w:cs="Tahoma" w:ascii="Calibri" w:hAnsi="Calibri"/>
          <w:bCs/>
          <w:sz w:val="22"/>
          <w:szCs w:val="22"/>
        </w:rPr>
        <w:t xml:space="preserve"> </w:t>
      </w:r>
      <w:r>
        <w:rPr>
          <w:rFonts w:cs="Tahoma" w:ascii="Calibri" w:hAnsi="Calibri"/>
          <w:bCs/>
          <w:sz w:val="20"/>
          <w:szCs w:val="20"/>
        </w:rPr>
        <w:t>‘</w:t>
      </w:r>
      <w:r>
        <w:rPr>
          <w:rFonts w:cs="Tahoma" w:ascii="Calibri" w:hAnsi="Calibri"/>
          <w:bCs/>
          <w:sz w:val="20"/>
          <w:szCs w:val="20"/>
        </w:rPr>
        <w:t xml:space="preserve">Inconsistency of Belief among Roman Catholic Girls: Concerning Religion, Astrology, Reincarnation’ by T. L. Brink in </w:t>
      </w:r>
      <w:r>
        <w:rPr>
          <w:rFonts w:cs="Tahoma" w:ascii="Calibri" w:hAnsi="Calibri"/>
          <w:bCs/>
          <w:i/>
          <w:iCs/>
          <w:sz w:val="20"/>
          <w:szCs w:val="20"/>
        </w:rPr>
        <w:t xml:space="preserve">Review of Religious Research, </w:t>
      </w:r>
      <w:r>
        <w:rPr>
          <w:rFonts w:cs="Tahoma" w:ascii="Calibri" w:hAnsi="Calibri"/>
          <w:bCs/>
          <w:i w:val="false"/>
          <w:iCs w:val="false"/>
          <w:sz w:val="20"/>
          <w:szCs w:val="20"/>
        </w:rPr>
        <w:t>Autumn, 1978, Vol. 20, No.1, pp.82-85</w:t>
      </w:r>
    </w:p>
  </w:footnote>
  <w:footnote w:id="3">
    <w:p>
      <w:pPr>
        <w:pStyle w:val="FootnoteText"/>
        <w:rPr>
          <w:rFonts w:ascii="Calibri" w:hAnsi="Calibri"/>
          <w:sz w:val="22"/>
          <w:szCs w:val="22"/>
        </w:rPr>
      </w:pPr>
      <w:r>
        <w:rPr>
          <w:rStyle w:val="FootnoteCharacters"/>
        </w:rPr>
        <w:footnoteRef/>
      </w:r>
      <w:r>
        <w:rPr>
          <w:rFonts w:ascii="Calibri" w:hAnsi="Calibri"/>
          <w:sz w:val="22"/>
          <w:szCs w:val="22"/>
        </w:rPr>
        <w:tab/>
        <w:t>‘</w:t>
      </w:r>
      <w:r>
        <w:rPr>
          <w:rFonts w:ascii="Calibri" w:hAnsi="Calibri"/>
          <w:sz w:val="20"/>
          <w:szCs w:val="20"/>
        </w:rPr>
        <w:t xml:space="preserve">A Very Private Belief: Reincarnation in Contemporary England’ by Tony Walter and Helen Waterhouse in </w:t>
      </w:r>
      <w:r>
        <w:rPr>
          <w:rFonts w:ascii="Calibri" w:hAnsi="Calibri"/>
          <w:i/>
          <w:iCs/>
          <w:sz w:val="20"/>
          <w:szCs w:val="20"/>
        </w:rPr>
        <w:t>Sociology of Religion,</w:t>
      </w:r>
      <w:r>
        <w:rPr>
          <w:rFonts w:ascii="Calibri" w:hAnsi="Calibri"/>
          <w:i w:val="false"/>
          <w:iCs w:val="false"/>
          <w:sz w:val="20"/>
          <w:szCs w:val="20"/>
        </w:rPr>
        <w:t xml:space="preserve"> Summer, 1999, Vol. 60, No. 2, pp 187-197</w:t>
      </w:r>
    </w:p>
  </w:footnote>
  <w:footnote w:id="4">
    <w:p>
      <w:pPr>
        <w:pStyle w:val="FootnoteText"/>
        <w:rPr>
          <w:rFonts w:ascii="Calibri" w:hAnsi="Calibri"/>
          <w:sz w:val="22"/>
          <w:szCs w:val="22"/>
        </w:rPr>
      </w:pPr>
      <w:r>
        <w:rPr>
          <w:rStyle w:val="FootnoteCharacters"/>
        </w:rPr>
        <w:footnoteRef/>
      </w:r>
      <w:r>
        <w:rPr>
          <w:rFonts w:ascii="Calibri" w:hAnsi="Calibri"/>
        </w:rPr>
        <w:tab/>
        <w:t xml:space="preserve">A Very Private Belief: Reincarnation in Contemporary England’ by Tony Walter and Helen Waterhouse in </w:t>
      </w:r>
      <w:r>
        <w:rPr>
          <w:rFonts w:ascii="Calibri" w:hAnsi="Calibri"/>
          <w:i/>
          <w:iCs/>
        </w:rPr>
        <w:t>Sociology of Religion,</w:t>
      </w:r>
      <w:r>
        <w:rPr>
          <w:rFonts w:ascii="Calibri" w:hAnsi="Calibri"/>
          <w:i w:val="false"/>
          <w:iCs w:val="false"/>
        </w:rPr>
        <w:t xml:space="preserve"> Summer, 1999, Vol. 60, No. 2, </w:t>
      </w:r>
      <w:r>
        <w:rPr>
          <w:rFonts w:ascii="Calibri" w:hAnsi="Calibri"/>
          <w:i w:val="false"/>
          <w:iCs w:val="false"/>
        </w:rPr>
        <w:t>p. 189</w:t>
      </w:r>
    </w:p>
  </w:footnote>
  <w:footnote w:id="5">
    <w:p>
      <w:pPr>
        <w:pStyle w:val="FootnoteText"/>
        <w:rPr>
          <w:rFonts w:ascii="Calibri" w:hAnsi="Calibri"/>
          <w:sz w:val="22"/>
          <w:szCs w:val="22"/>
        </w:rPr>
      </w:pPr>
      <w:r>
        <w:rPr>
          <w:rStyle w:val="FootnoteCharacters"/>
        </w:rPr>
        <w:footnoteRef/>
      </w:r>
      <w:r>
        <w:rPr>
          <w:rFonts w:ascii="Calibri" w:hAnsi="Calibri"/>
        </w:rPr>
        <w:tab/>
        <w:t xml:space="preserve">A Very Private Belief: Reincarnation in Contemporary England’ by Tony Walter and Helen Waterhouse in </w:t>
      </w:r>
      <w:r>
        <w:rPr>
          <w:rFonts w:ascii="Calibri" w:hAnsi="Calibri"/>
          <w:i/>
          <w:iCs/>
        </w:rPr>
        <w:t>Sociology of Religion,</w:t>
      </w:r>
      <w:r>
        <w:rPr>
          <w:rFonts w:ascii="Calibri" w:hAnsi="Calibri"/>
          <w:i w:val="false"/>
          <w:iCs w:val="false"/>
        </w:rPr>
        <w:t xml:space="preserve"> Summer, 1999, Vol. 60, No. 2, </w:t>
      </w:r>
      <w:r>
        <w:rPr>
          <w:rFonts w:ascii="Calibri" w:hAnsi="Calibri"/>
          <w:i w:val="false"/>
          <w:iCs w:val="false"/>
        </w:rPr>
        <w:t>p. 189</w:t>
      </w:r>
    </w:p>
  </w:footnote>
  <w:footnote w:id="6">
    <w:p>
      <w:pPr>
        <w:pStyle w:val="FootnoteText"/>
        <w:rPr>
          <w:rFonts w:ascii="Calibri" w:hAnsi="Calibri"/>
          <w:sz w:val="22"/>
          <w:szCs w:val="22"/>
        </w:rPr>
      </w:pPr>
      <w:r>
        <w:rPr>
          <w:rStyle w:val="FootnoteCharacters"/>
        </w:rPr>
        <w:footnoteRef/>
      </w:r>
      <w:r>
        <w:rPr>
          <w:rFonts w:ascii="Calibri" w:hAnsi="Calibri"/>
        </w:rPr>
        <w:tab/>
        <w:t xml:space="preserve">A Very Private Belief: Reincarnation in Contemporary England’ by Tony Walter and Helen Waterhouse in </w:t>
      </w:r>
      <w:r>
        <w:rPr>
          <w:rFonts w:ascii="Calibri" w:hAnsi="Calibri"/>
          <w:i/>
          <w:iCs/>
        </w:rPr>
        <w:t>Sociology of Religion,</w:t>
      </w:r>
      <w:r>
        <w:rPr>
          <w:rFonts w:ascii="Calibri" w:hAnsi="Calibri"/>
          <w:i w:val="false"/>
          <w:iCs w:val="false"/>
        </w:rPr>
        <w:t xml:space="preserve"> Summer, 1999, Vol. 60, No. 2, </w:t>
      </w:r>
      <w:r>
        <w:rPr>
          <w:rFonts w:ascii="Calibri" w:hAnsi="Calibri"/>
          <w:i w:val="false"/>
          <w:iCs w:val="false"/>
        </w:rPr>
        <w:t>p.187</w:t>
      </w:r>
    </w:p>
  </w:footnote>
  <w:footnote w:id="7">
    <w:p>
      <w:pPr>
        <w:pStyle w:val="FootnoteText"/>
        <w:rPr>
          <w:rFonts w:ascii="Calibri" w:hAnsi="Calibri"/>
          <w:sz w:val="22"/>
          <w:szCs w:val="22"/>
        </w:rPr>
      </w:pPr>
      <w:r>
        <w:rPr>
          <w:rStyle w:val="FootnoteCharacters"/>
        </w:rPr>
        <w:footnoteRef/>
      </w:r>
      <w:r>
        <w:rPr>
          <w:rFonts w:ascii="Calibri" w:hAnsi="Calibri"/>
        </w:rPr>
        <w:tab/>
        <w:t xml:space="preserve">A Very Private Belief: Reincarnation in Contemporary England’ by Tony Walter and Helen Waterhouse in </w:t>
      </w:r>
      <w:r>
        <w:rPr>
          <w:rFonts w:ascii="Calibri" w:hAnsi="Calibri"/>
          <w:i/>
          <w:iCs/>
        </w:rPr>
        <w:t>Sociology of Religion,</w:t>
      </w:r>
      <w:r>
        <w:rPr>
          <w:rFonts w:ascii="Calibri" w:hAnsi="Calibri"/>
          <w:i w:val="false"/>
          <w:iCs w:val="false"/>
        </w:rPr>
        <w:t xml:space="preserve"> Summer, 1999, Vol. 60, No. 2, </w:t>
      </w:r>
      <w:r>
        <w:rPr>
          <w:rFonts w:ascii="Calibri" w:hAnsi="Calibri"/>
          <w:i w:val="false"/>
          <w:iCs w:val="false"/>
        </w:rPr>
        <w:t>p. 191</w:t>
      </w:r>
    </w:p>
  </w:footnote>
  <w:footnote w:id="8">
    <w:p>
      <w:pPr>
        <w:pStyle w:val="FootnoteText"/>
        <w:rPr/>
      </w:pPr>
      <w:r>
        <w:rPr>
          <w:rStyle w:val="FootnoteCharacters"/>
        </w:rPr>
        <w:footnoteRef/>
      </w:r>
      <w:r>
        <w:rPr/>
        <w:tab/>
        <w:t xml:space="preserve"> </w:t>
      </w:r>
      <w:r>
        <w:rPr>
          <w:rFonts w:ascii="Calibri" w:hAnsi="Calibri"/>
        </w:rPr>
        <w:t xml:space="preserve">A Very Private Belief: Reincarnation in Contemporary England’ by Tony Walter and Helen Waterhouse in </w:t>
      </w:r>
      <w:r>
        <w:rPr>
          <w:rFonts w:ascii="Calibri" w:hAnsi="Calibri"/>
          <w:i/>
          <w:iCs/>
        </w:rPr>
        <w:t>Sociology of Religion,</w:t>
      </w:r>
      <w:r>
        <w:rPr>
          <w:rFonts w:ascii="Calibri" w:hAnsi="Calibri"/>
          <w:i w:val="false"/>
          <w:iCs w:val="false"/>
        </w:rPr>
        <w:t xml:space="preserve"> Summer, 1999, Vol. 60, No. 2, </w:t>
      </w:r>
      <w:r>
        <w:rPr>
          <w:rFonts w:ascii="Calibri" w:hAnsi="Calibri"/>
          <w:i w:val="false"/>
          <w:iCs w:val="false"/>
        </w:rPr>
        <w:t>p.189</w:t>
      </w:r>
    </w:p>
  </w:footnote>
  <w:footnote w:id="9">
    <w:p>
      <w:pPr>
        <w:pStyle w:val="FootnoteText"/>
        <w:rPr/>
      </w:pPr>
      <w:r>
        <w:rPr>
          <w:rStyle w:val="FootnoteCharacters"/>
        </w:rPr>
        <w:footnoteRef/>
      </w:r>
      <w:r>
        <w:rPr/>
        <w:tab/>
        <w:t xml:space="preserve"> </w:t>
      </w:r>
      <w:r>
        <w:rPr>
          <w:rFonts w:ascii="Calibri" w:hAnsi="Calibri"/>
        </w:rPr>
        <w:t xml:space="preserve">A Very Private Belief: Reincarnation in Contemporary England’ by Tony Walter and Helen Waterhouse in </w:t>
      </w:r>
      <w:r>
        <w:rPr>
          <w:rFonts w:ascii="Calibri" w:hAnsi="Calibri"/>
          <w:i/>
          <w:iCs/>
        </w:rPr>
        <w:t>Sociology of Religion,</w:t>
      </w:r>
      <w:r>
        <w:rPr>
          <w:rFonts w:ascii="Calibri" w:hAnsi="Calibri"/>
          <w:i w:val="false"/>
          <w:iCs w:val="false"/>
        </w:rPr>
        <w:t xml:space="preserve"> Summer, 1999, Vol. 60, No. 2, </w:t>
      </w:r>
      <w:r>
        <w:rPr>
          <w:rFonts w:ascii="Calibri" w:hAnsi="Calibri"/>
          <w:i w:val="false"/>
          <w:iCs w:val="false"/>
        </w:rPr>
        <w:t>p.191</w:t>
      </w:r>
    </w:p>
  </w:footnote>
  <w:footnote w:id="10">
    <w:p>
      <w:pPr>
        <w:pStyle w:val="FootnoteText"/>
        <w:rPr/>
      </w:pPr>
      <w:r>
        <w:rPr>
          <w:rStyle w:val="FootnoteCharacters"/>
        </w:rPr>
        <w:footnoteRef/>
      </w:r>
      <w:r>
        <w:rPr>
          <w:rFonts w:ascii="Calibri" w:hAnsi="Calibri"/>
        </w:rPr>
        <w:tab/>
        <w:t xml:space="preserve">A Very Private Belief: Reincarnation in Contemporary England’ by Tony Walter and Helen Waterhouse in </w:t>
      </w:r>
      <w:r>
        <w:rPr>
          <w:rFonts w:ascii="Calibri" w:hAnsi="Calibri"/>
          <w:i/>
          <w:iCs/>
        </w:rPr>
        <w:t>Sociology of Religion,</w:t>
      </w:r>
      <w:r>
        <w:rPr>
          <w:rFonts w:ascii="Calibri" w:hAnsi="Calibri"/>
          <w:i w:val="false"/>
          <w:iCs w:val="false"/>
        </w:rPr>
        <w:t xml:space="preserve"> Summer, 1999, Vol. 60, No. 2, </w:t>
      </w:r>
      <w:r>
        <w:rPr>
          <w:rFonts w:ascii="Calibri" w:hAnsi="Calibri"/>
          <w:i w:val="false"/>
          <w:iCs w:val="false"/>
        </w:rPr>
        <w:t>p.191</w:t>
      </w:r>
    </w:p>
  </w:footnote>
  <w:footnote w:id="11">
    <w:p>
      <w:pPr>
        <w:pStyle w:val="FootnoteText"/>
        <w:rPr/>
      </w:pPr>
      <w:r>
        <w:rPr>
          <w:rStyle w:val="FootnoteCharacters"/>
        </w:rPr>
        <w:footnoteRef/>
      </w:r>
      <w:r>
        <w:rPr>
          <w:rFonts w:ascii="Calibri" w:hAnsi="Calibri"/>
        </w:rPr>
        <w:tab/>
        <w:t xml:space="preserve">A Very Private Belief: Reincarnation in Contemporary England’ by Tony Walter and Helen Waterhouse in </w:t>
      </w:r>
      <w:r>
        <w:rPr>
          <w:rFonts w:ascii="Calibri" w:hAnsi="Calibri"/>
          <w:i/>
          <w:iCs/>
        </w:rPr>
        <w:t>Sociology of Religion,</w:t>
      </w:r>
      <w:r>
        <w:rPr>
          <w:rFonts w:ascii="Calibri" w:hAnsi="Calibri"/>
          <w:i w:val="false"/>
          <w:iCs w:val="false"/>
        </w:rPr>
        <w:t xml:space="preserve"> Summer, 1999, Vol. 60, No. 2, </w:t>
      </w:r>
      <w:r>
        <w:rPr>
          <w:rFonts w:ascii="Calibri" w:hAnsi="Calibri"/>
          <w:i w:val="false"/>
          <w:iCs w:val="false"/>
        </w:rPr>
        <w:t>p.191</w:t>
      </w:r>
    </w:p>
  </w:footnote>
  <w:footnote w:id="12">
    <w:p>
      <w:pPr>
        <w:pStyle w:val="FootnoteText"/>
        <w:rPr/>
      </w:pPr>
      <w:r>
        <w:rPr>
          <w:rStyle w:val="FootnoteCharacters"/>
        </w:rPr>
        <w:footnoteRef/>
      </w:r>
      <w:r>
        <w:rPr>
          <w:rFonts w:ascii="Calibri" w:hAnsi="Calibri"/>
        </w:rPr>
        <w:tab/>
        <w:t xml:space="preserve">A Very Private Belief: Reincarnation in Contemporary England’ by Tony Walter and Helen Waterhouse in </w:t>
      </w:r>
      <w:r>
        <w:rPr>
          <w:rFonts w:ascii="Calibri" w:hAnsi="Calibri"/>
          <w:i/>
          <w:iCs/>
        </w:rPr>
        <w:t>Sociology of Religion,</w:t>
      </w:r>
      <w:r>
        <w:rPr>
          <w:rFonts w:ascii="Calibri" w:hAnsi="Calibri"/>
          <w:i w:val="false"/>
          <w:iCs w:val="false"/>
        </w:rPr>
        <w:t xml:space="preserve"> Summer, 1999, Vol. 60, No. 2, </w:t>
      </w:r>
      <w:r>
        <w:rPr>
          <w:rFonts w:ascii="Calibri" w:hAnsi="Calibri"/>
          <w:i w:val="false"/>
          <w:iCs w:val="false"/>
        </w:rPr>
        <w:t>p.191</w:t>
      </w:r>
    </w:p>
  </w:footnote>
  <w:footnote w:id="13">
    <w:p>
      <w:pPr>
        <w:pStyle w:val="FootnoteText"/>
        <w:rPr/>
      </w:pPr>
      <w:r>
        <w:rPr>
          <w:rStyle w:val="FootnoteCharacters"/>
        </w:rPr>
        <w:footnoteRef/>
      </w:r>
      <w:r>
        <w:rPr>
          <w:rFonts w:ascii="Calibri" w:hAnsi="Calibri"/>
        </w:rPr>
        <w:tab/>
        <w:t xml:space="preserve">A Very Private Belief: Reincarnation in Contemporary England’ by Tony Walter and Helen Waterhouse in </w:t>
      </w:r>
      <w:r>
        <w:rPr>
          <w:rFonts w:ascii="Calibri" w:hAnsi="Calibri"/>
          <w:i/>
          <w:iCs/>
        </w:rPr>
        <w:t>Sociology of Religion,</w:t>
      </w:r>
      <w:r>
        <w:rPr>
          <w:rFonts w:ascii="Calibri" w:hAnsi="Calibri"/>
          <w:i w:val="false"/>
          <w:iCs w:val="false"/>
        </w:rPr>
        <w:t xml:space="preserve"> Summer, 1999, Vol. 60, No. 2, </w:t>
      </w:r>
      <w:r>
        <w:rPr>
          <w:rFonts w:ascii="Calibri" w:hAnsi="Calibri"/>
          <w:i w:val="false"/>
          <w:iCs w:val="false"/>
        </w:rPr>
        <w:t>p.195</w:t>
      </w:r>
    </w:p>
  </w:footnote>
  <w:footnote w:id="14">
    <w:p>
      <w:pPr>
        <w:pStyle w:val="NormalWeb"/>
        <w:spacing w:before="0" w:after="0"/>
        <w:ind w:end="-334"/>
        <w:rPr>
          <w:rFonts w:ascii="Calibri" w:hAnsi="Calibri" w:cs="Tahoma"/>
          <w:bCs/>
          <w:sz w:val="22"/>
          <w:szCs w:val="22"/>
        </w:rPr>
      </w:pPr>
      <w:r>
        <w:rPr>
          <w:rStyle w:val="FootnoteCharacters"/>
        </w:rPr>
        <w:footnoteRef/>
      </w:r>
      <w:r>
        <w:rPr>
          <w:rFonts w:cs="Tahoma" w:ascii="Calibri" w:hAnsi="Calibri"/>
          <w:bCs/>
        </w:rPr>
        <w:t>‘</w:t>
      </w:r>
      <w:r>
        <w:rPr>
          <w:rFonts w:cs="Tahoma" w:ascii="Calibri" w:hAnsi="Calibri"/>
          <w:bCs/>
        </w:rPr>
        <w:t>I</w:t>
      </w:r>
      <w:r>
        <w:rPr>
          <w:rFonts w:cs="Tahoma" w:ascii="Calibri" w:hAnsi="Calibri"/>
          <w:bCs/>
          <w:sz w:val="20"/>
          <w:szCs w:val="20"/>
        </w:rPr>
        <w:t xml:space="preserve">nconsistency of Belief among Roman Catholic Girls: Concerning Religion, Astrology, Reincarnation’ by T. L. Brink in </w:t>
      </w:r>
      <w:r>
        <w:rPr>
          <w:rFonts w:cs="Tahoma" w:ascii="Calibri" w:hAnsi="Calibri"/>
          <w:bCs/>
          <w:i/>
          <w:iCs/>
          <w:sz w:val="20"/>
          <w:szCs w:val="20"/>
        </w:rPr>
        <w:t xml:space="preserve">Review of Religious Research, </w:t>
      </w:r>
      <w:r>
        <w:rPr>
          <w:rFonts w:cs="Tahoma" w:ascii="Calibri" w:hAnsi="Calibri"/>
          <w:bCs/>
          <w:i w:val="false"/>
          <w:iCs w:val="false"/>
          <w:sz w:val="20"/>
          <w:szCs w:val="20"/>
        </w:rPr>
        <w:t>Autumn, 1978, Vol. 20, No.1, p.</w:t>
      </w:r>
      <w:r>
        <w:rPr>
          <w:rFonts w:cs="Tahoma" w:ascii="Calibri" w:hAnsi="Calibri"/>
          <w:bCs/>
          <w:i w:val="false"/>
          <w:iCs w:val="false"/>
          <w:sz w:val="20"/>
          <w:szCs w:val="20"/>
        </w:rPr>
        <w:t>82</w:t>
      </w:r>
    </w:p>
  </w:footnote>
  <w:footnote w:id="15">
    <w:p>
      <w:pPr>
        <w:pStyle w:val="FootnoteText"/>
        <w:rPr/>
      </w:pPr>
      <w:r>
        <w:rPr>
          <w:rStyle w:val="FootnoteCharacters"/>
        </w:rPr>
        <w:footnoteRef/>
      </w:r>
      <w:r>
        <w:rPr/>
        <w:tab/>
        <w:t>‘</w:t>
      </w:r>
      <w:r>
        <w:rPr/>
        <w:t>Astrology and Marginality by Robert Wuthnow in Journal for the Scientific Study of Religion, June 1976, Vol. 15, No. 2, pp 157-168</w:t>
      </w:r>
    </w:p>
  </w:footnote>
  <w:footnote w:id="16">
    <w:p>
      <w:pPr>
        <w:pStyle w:val="FootnoteText"/>
        <w:rPr/>
      </w:pPr>
      <w:r>
        <w:rPr>
          <w:rStyle w:val="FootnoteCharacters"/>
        </w:rPr>
        <w:footnoteRef/>
      </w:r>
      <w:r>
        <w:rPr/>
        <w:tab/>
        <w:t xml:space="preserve">Erik Erickson, </w:t>
      </w:r>
      <w:r>
        <w:rPr>
          <w:i/>
          <w:iCs/>
        </w:rPr>
        <w:t>Childhood and Society</w:t>
      </w:r>
      <w:r>
        <w:rPr>
          <w:i w:val="false"/>
          <w:iCs w:val="false"/>
        </w:rPr>
        <w:t>, New York: Norton, 1950</w:t>
      </w:r>
    </w:p>
  </w:footnote>
  <w:footnote w:id="17">
    <w:p>
      <w:pPr>
        <w:pStyle w:val="FootnoteText"/>
        <w:rPr/>
      </w:pPr>
      <w:r>
        <w:rPr>
          <w:rStyle w:val="FootnoteCharacters"/>
        </w:rPr>
        <w:footnoteRef/>
      </w:r>
      <w:r>
        <w:rPr/>
        <w:tab/>
        <w:t xml:space="preserve">Leon Festinger, </w:t>
      </w:r>
      <w:r>
        <w:rPr>
          <w:i/>
          <w:iCs/>
        </w:rPr>
        <w:t>A Theory of Cognitive Dissonance</w:t>
      </w:r>
      <w:r>
        <w:rPr>
          <w:i w:val="false"/>
          <w:iCs w:val="false"/>
        </w:rPr>
        <w:t>, New York, Harper and Row, 1957</w:t>
      </w:r>
    </w:p>
  </w:footnote>
  <w:footnote w:id="18">
    <w:p>
      <w:pPr>
        <w:pStyle w:val="FootnoteText"/>
        <w:rPr>
          <w:rFonts w:ascii="Calibri" w:hAnsi="Calibri"/>
          <w:sz w:val="20"/>
          <w:szCs w:val="20"/>
        </w:rPr>
      </w:pPr>
      <w:r>
        <w:rPr>
          <w:rStyle w:val="FootnoteCharacters"/>
        </w:rPr>
        <w:footnoteRef/>
      </w:r>
      <w:r>
        <w:rPr>
          <w:rFonts w:ascii="Calibri" w:hAnsi="Calibri"/>
          <w:sz w:val="20"/>
          <w:szCs w:val="20"/>
        </w:rPr>
        <w:tab/>
        <w:t xml:space="preserve">Monique Hennink, Inge Hunter, Ajay Bailey, </w:t>
      </w:r>
      <w:r>
        <w:rPr>
          <w:rFonts w:ascii="Calibri" w:hAnsi="Calibri"/>
          <w:i/>
          <w:iCs/>
          <w:sz w:val="20"/>
          <w:szCs w:val="20"/>
        </w:rPr>
        <w:t>Qualitative Research Methods</w:t>
      </w:r>
      <w:r>
        <w:rPr>
          <w:rFonts w:ascii="Calibri" w:hAnsi="Calibri"/>
          <w:i w:val="false"/>
          <w:iCs w:val="false"/>
          <w:sz w:val="20"/>
          <w:szCs w:val="20"/>
        </w:rPr>
        <w:t>, 2</w:t>
      </w:r>
      <w:r>
        <w:rPr>
          <w:rFonts w:ascii="Calibri" w:hAnsi="Calibri"/>
          <w:i w:val="false"/>
          <w:iCs w:val="false"/>
          <w:sz w:val="20"/>
          <w:szCs w:val="20"/>
          <w:vertAlign w:val="superscript"/>
        </w:rPr>
        <w:t>nd</w:t>
      </w:r>
      <w:r>
        <w:rPr>
          <w:rFonts w:ascii="Calibri" w:hAnsi="Calibri"/>
          <w:i w:val="false"/>
          <w:iCs w:val="false"/>
          <w:sz w:val="20"/>
          <w:szCs w:val="20"/>
        </w:rPr>
        <w:t xml:space="preserve"> edition, London, Sage Publications Ltd., [2020], p.19-22</w:t>
      </w:r>
    </w:p>
  </w:footnote>
  <w:footnote w:id="19">
    <w:p>
      <w:pPr>
        <w:pStyle w:val="NormalWeb"/>
        <w:spacing w:before="0" w:after="0"/>
        <w:ind w:end="-334"/>
        <w:rPr>
          <w:sz w:val="20"/>
          <w:szCs w:val="20"/>
        </w:rPr>
      </w:pPr>
      <w:r>
        <w:rPr>
          <w:rStyle w:val="FootnoteCharacters"/>
        </w:rPr>
        <w:footnoteRef/>
      </w:r>
      <w:r>
        <w:rPr>
          <w:rFonts w:cs="Tahoma" w:ascii="Calibri" w:hAnsi="Calibri"/>
          <w:bCs/>
          <w:i w:val="false"/>
          <w:iCs w:val="false"/>
          <w:sz w:val="20"/>
          <w:szCs w:val="20"/>
        </w:rPr>
        <w:t>Reflexivity through Positionality Meetings: Religion, Muslims and ‘Non-Religious’ Researchers, by Laura Kapinga, Rik Huizinga and Reza Shaker in International Journal of Social Research Methodology, 2022, vol. 25: 1, pp 103-117</w:t>
      </w:r>
    </w:p>
  </w:footnote>
  <w:footnote w:id="20">
    <w:p>
      <w:pPr>
        <w:pStyle w:val="NormalWeb"/>
        <w:spacing w:before="0" w:after="0"/>
        <w:ind w:end="-334"/>
        <w:rPr>
          <w:sz w:val="20"/>
          <w:szCs w:val="20"/>
        </w:rPr>
      </w:pPr>
      <w:r>
        <w:rPr>
          <w:rStyle w:val="FootnoteCharacters"/>
        </w:rPr>
        <w:footnoteRef/>
      </w:r>
      <w:r>
        <w:rPr>
          <w:rFonts w:cs="Tahoma" w:ascii="Calibri" w:hAnsi="Calibri"/>
          <w:bCs/>
          <w:sz w:val="20"/>
          <w:szCs w:val="20"/>
        </w:rPr>
        <w:t xml:space="preserve">Inconsistency of Belief among Roman Catholic Girls: Concerning Religion, Astrology, Reincarnation’ by T. L. Brink in </w:t>
      </w:r>
      <w:r>
        <w:rPr>
          <w:rFonts w:cs="Tahoma" w:ascii="Calibri" w:hAnsi="Calibri"/>
          <w:bCs/>
          <w:i/>
          <w:iCs/>
          <w:sz w:val="20"/>
          <w:szCs w:val="20"/>
        </w:rPr>
        <w:t xml:space="preserve">Review of Religious Research, </w:t>
      </w:r>
      <w:r>
        <w:rPr>
          <w:rFonts w:cs="Tahoma" w:ascii="Calibri" w:hAnsi="Calibri"/>
          <w:bCs/>
          <w:i w:val="false"/>
          <w:iCs w:val="false"/>
          <w:sz w:val="20"/>
          <w:szCs w:val="20"/>
        </w:rPr>
        <w:t xml:space="preserve">Autumn, 1978, Vol. 20, No.1, </w:t>
      </w:r>
      <w:r>
        <w:rPr>
          <w:rFonts w:cs="Tahoma" w:ascii="Calibri" w:hAnsi="Calibri"/>
          <w:bCs/>
          <w:i w:val="false"/>
          <w:iCs w:val="false"/>
          <w:sz w:val="20"/>
          <w:szCs w:val="20"/>
        </w:rPr>
        <w:t>p. 83</w:t>
      </w:r>
    </w:p>
  </w:footnote>
  <w:footnote w:id="21">
    <w:p>
      <w:pPr>
        <w:pStyle w:val="FootnoteText"/>
        <w:rPr>
          <w:rFonts w:ascii="Calibri" w:hAnsi="Calibri"/>
          <w:sz w:val="20"/>
          <w:szCs w:val="20"/>
        </w:rPr>
      </w:pPr>
      <w:r>
        <w:rPr>
          <w:rStyle w:val="FootnoteCharacters"/>
        </w:rPr>
        <w:footnoteRef/>
      </w:r>
      <w:r>
        <w:rPr>
          <w:rFonts w:ascii="Calibri" w:hAnsi="Calibri"/>
          <w:sz w:val="20"/>
          <w:szCs w:val="20"/>
        </w:rPr>
        <w:tab/>
        <w:t xml:space="preserve">Monique Hennink, Inge Hunter, Ajay Bailey, </w:t>
      </w:r>
      <w:r>
        <w:rPr>
          <w:rFonts w:ascii="Calibri" w:hAnsi="Calibri"/>
          <w:i/>
          <w:iCs/>
          <w:sz w:val="20"/>
          <w:szCs w:val="20"/>
        </w:rPr>
        <w:t>Qualitative Research Methods</w:t>
      </w:r>
      <w:r>
        <w:rPr>
          <w:rFonts w:ascii="Calibri" w:hAnsi="Calibri"/>
          <w:i w:val="false"/>
          <w:iCs w:val="false"/>
          <w:sz w:val="20"/>
          <w:szCs w:val="20"/>
        </w:rPr>
        <w:t>, 2</w:t>
      </w:r>
      <w:r>
        <w:rPr>
          <w:rFonts w:ascii="Calibri" w:hAnsi="Calibri"/>
          <w:i w:val="false"/>
          <w:iCs w:val="false"/>
          <w:sz w:val="20"/>
          <w:szCs w:val="20"/>
          <w:vertAlign w:val="superscript"/>
        </w:rPr>
        <w:t>nd</w:t>
      </w:r>
      <w:r>
        <w:rPr>
          <w:rFonts w:ascii="Calibri" w:hAnsi="Calibri"/>
          <w:i w:val="false"/>
          <w:iCs w:val="false"/>
          <w:sz w:val="20"/>
          <w:szCs w:val="20"/>
        </w:rPr>
        <w:t xml:space="preserve"> edition, London, Sage Publications Ltd., [2020], chapter 5.</w:t>
      </w:r>
    </w:p>
  </w:footnote>
  <w:footnote w:id="22">
    <w:p>
      <w:pPr>
        <w:pStyle w:val="FootnoteText"/>
        <w:rPr>
          <w:rFonts w:ascii="Calibri" w:hAnsi="Calibri"/>
          <w:sz w:val="20"/>
          <w:szCs w:val="20"/>
        </w:rPr>
      </w:pPr>
      <w:r>
        <w:rPr>
          <w:rStyle w:val="FootnoteCharacters"/>
        </w:rPr>
        <w:footnoteRef/>
      </w:r>
      <w:r>
        <w:rPr>
          <w:rFonts w:ascii="Calibri" w:hAnsi="Calibri"/>
          <w:sz w:val="20"/>
          <w:szCs w:val="20"/>
        </w:rPr>
        <w:tab/>
        <w:t xml:space="preserve">Monique Hennink, Inge Hunter, Ajay Bailey, </w:t>
      </w:r>
      <w:r>
        <w:rPr>
          <w:rFonts w:ascii="Calibri" w:hAnsi="Calibri"/>
          <w:i/>
          <w:iCs/>
          <w:sz w:val="20"/>
          <w:szCs w:val="20"/>
        </w:rPr>
        <w:t>Qualitative Research Methods</w:t>
      </w:r>
      <w:r>
        <w:rPr>
          <w:rFonts w:ascii="Calibri" w:hAnsi="Calibri"/>
          <w:i w:val="false"/>
          <w:iCs w:val="false"/>
          <w:sz w:val="20"/>
          <w:szCs w:val="20"/>
        </w:rPr>
        <w:t>, 2</w:t>
      </w:r>
      <w:r>
        <w:rPr>
          <w:rFonts w:ascii="Calibri" w:hAnsi="Calibri"/>
          <w:i w:val="false"/>
          <w:iCs w:val="false"/>
          <w:sz w:val="20"/>
          <w:szCs w:val="20"/>
          <w:vertAlign w:val="superscript"/>
        </w:rPr>
        <w:t>nd</w:t>
      </w:r>
      <w:r>
        <w:rPr>
          <w:rFonts w:ascii="Calibri" w:hAnsi="Calibri"/>
          <w:i w:val="false"/>
          <w:iCs w:val="false"/>
          <w:sz w:val="20"/>
          <w:szCs w:val="20"/>
        </w:rPr>
        <w:t xml:space="preserve"> edition, London, Sage Publications Ltd., [2020], chapter 5</w:t>
      </w:r>
    </w:p>
  </w:footnote>
  <w:footnote w:id="23">
    <w:p>
      <w:pPr>
        <w:pStyle w:val="NormalWeb"/>
        <w:spacing w:before="0" w:after="0"/>
        <w:ind w:end="-334"/>
        <w:rPr>
          <w:sz w:val="20"/>
          <w:szCs w:val="20"/>
        </w:rPr>
      </w:pPr>
      <w:r>
        <w:rPr>
          <w:rStyle w:val="FootnoteCharacters"/>
        </w:rPr>
        <w:footnoteRef/>
      </w:r>
      <w:r>
        <w:rPr>
          <w:rFonts w:cs="Tahoma" w:ascii="Calibri" w:hAnsi="Calibri"/>
          <w:bCs/>
          <w:sz w:val="20"/>
          <w:szCs w:val="20"/>
        </w:rPr>
        <w:t>I</w:t>
      </w:r>
      <w:r>
        <w:rPr>
          <w:rFonts w:cs="Tahoma" w:ascii="Calibri" w:hAnsi="Calibri"/>
          <w:bCs/>
          <w:sz w:val="20"/>
          <w:szCs w:val="20"/>
        </w:rPr>
        <w:t xml:space="preserve">nconsistency of Belief among Roman Catholic Girls: Concerning Religion, Astrology, Reincarnation’ by T. L. Brink in </w:t>
      </w:r>
      <w:r>
        <w:rPr>
          <w:rFonts w:cs="Tahoma" w:ascii="Calibri" w:hAnsi="Calibri"/>
          <w:bCs/>
          <w:i/>
          <w:iCs/>
          <w:sz w:val="20"/>
          <w:szCs w:val="20"/>
        </w:rPr>
        <w:t xml:space="preserve">Review of Religious Research, </w:t>
      </w:r>
      <w:r>
        <w:rPr>
          <w:rFonts w:cs="Tahoma" w:ascii="Calibri" w:hAnsi="Calibri"/>
          <w:bCs/>
          <w:i w:val="false"/>
          <w:iCs w:val="false"/>
          <w:sz w:val="20"/>
          <w:szCs w:val="20"/>
        </w:rPr>
        <w:t>Autumn, 1978, Vol. 20, No.1</w:t>
      </w:r>
    </w:p>
  </w:footnote>
  <w:footnote w:id="24">
    <w:p>
      <w:pPr>
        <w:pStyle w:val="FootnoteText"/>
        <w:rPr/>
      </w:pPr>
      <w:r>
        <w:rPr>
          <w:rStyle w:val="FootnoteCharacters"/>
        </w:rPr>
        <w:footnoteRef/>
      </w:r>
      <w:r>
        <w:rPr>
          <w:rFonts w:ascii="Calibri" w:hAnsi="Calibri"/>
        </w:rPr>
        <w:tab/>
        <w:t xml:space="preserve">A Very Private Belief: Reincarnation in Contemporary England’ by Tony Walter and Helen Waterhouse in </w:t>
      </w:r>
      <w:r>
        <w:rPr>
          <w:rFonts w:ascii="Calibri" w:hAnsi="Calibri"/>
          <w:i/>
          <w:iCs/>
        </w:rPr>
        <w:t>Sociology of Religion,</w:t>
      </w:r>
      <w:r>
        <w:rPr>
          <w:rFonts w:ascii="Calibri" w:hAnsi="Calibri"/>
          <w:i w:val="false"/>
          <w:iCs w:val="false"/>
        </w:rPr>
        <w:t xml:space="preserve"> Summer, 1999, Vol. 60, No. 2</w:t>
      </w:r>
    </w:p>
  </w:footnote>
  <w:footnote w:id="25">
    <w:p>
      <w:pPr>
        <w:pStyle w:val="NormalWeb"/>
        <w:spacing w:before="0" w:after="0"/>
        <w:ind w:end="-334"/>
        <w:rPr>
          <w:sz w:val="20"/>
          <w:szCs w:val="20"/>
        </w:rPr>
      </w:pPr>
      <w:r>
        <w:rPr>
          <w:rStyle w:val="FootnoteCharacters"/>
        </w:rPr>
        <w:footnoteRef/>
      </w:r>
      <w:r>
        <w:rPr>
          <w:rFonts w:cs="Tahoma" w:ascii="Calibri" w:hAnsi="Calibri"/>
          <w:bCs/>
          <w:sz w:val="20"/>
          <w:szCs w:val="20"/>
        </w:rPr>
        <w:t>I</w:t>
      </w:r>
      <w:r>
        <w:rPr>
          <w:rFonts w:cs="Tahoma" w:ascii="Calibri" w:hAnsi="Calibri"/>
          <w:bCs/>
          <w:sz w:val="20"/>
          <w:szCs w:val="20"/>
        </w:rPr>
        <w:t xml:space="preserve">nconsistency of Belief among Roman Catholic Girls: Concerning Religion, Astrology, Reincarnation’ by T. L. Brink in </w:t>
      </w:r>
      <w:r>
        <w:rPr>
          <w:rFonts w:cs="Tahoma" w:ascii="Calibri" w:hAnsi="Calibri"/>
          <w:bCs/>
          <w:i/>
          <w:iCs/>
          <w:sz w:val="20"/>
          <w:szCs w:val="20"/>
        </w:rPr>
        <w:t xml:space="preserve">Review of Religious Research, </w:t>
      </w:r>
      <w:r>
        <w:rPr>
          <w:rFonts w:cs="Tahoma" w:ascii="Calibri" w:hAnsi="Calibri"/>
          <w:bCs/>
          <w:i w:val="false"/>
          <w:iCs w:val="false"/>
          <w:sz w:val="20"/>
          <w:szCs w:val="20"/>
        </w:rPr>
        <w:t xml:space="preserve">Autumn, 1978, Vol. 20, No.1, </w:t>
      </w:r>
      <w:r>
        <w:rPr>
          <w:rFonts w:cs="Tahoma" w:ascii="Calibri" w:hAnsi="Calibri"/>
          <w:bCs/>
          <w:i w:val="false"/>
          <w:iCs w:val="false"/>
          <w:sz w:val="20"/>
          <w:szCs w:val="20"/>
        </w:rPr>
        <w:t>p. 83</w:t>
      </w:r>
    </w:p>
  </w:footnote>
  <w:footnote w:id="26">
    <w:p>
      <w:pPr>
        <w:pStyle w:val="FootnoteText"/>
        <w:rPr/>
      </w:pPr>
      <w:r>
        <w:rPr>
          <w:rStyle w:val="FootnoteCharacters"/>
        </w:rPr>
        <w:footnoteRef/>
      </w:r>
      <w:r>
        <w:rPr>
          <w:rFonts w:ascii="Calibri" w:hAnsi="Calibri"/>
        </w:rPr>
        <w:tab/>
        <w:t xml:space="preserve">A Very Private Belief: Reincarnation in Contemporary England’ by Tony Walter and Helen Waterhouse in </w:t>
      </w:r>
      <w:r>
        <w:rPr>
          <w:rFonts w:ascii="Calibri" w:hAnsi="Calibri"/>
          <w:i/>
          <w:iCs/>
        </w:rPr>
        <w:t>Sociology of Religion,</w:t>
      </w:r>
      <w:r>
        <w:rPr>
          <w:rFonts w:ascii="Calibri" w:hAnsi="Calibri"/>
          <w:i w:val="false"/>
          <w:iCs w:val="false"/>
        </w:rPr>
        <w:t xml:space="preserve"> Summer, 1999, Vol. 60, No. 2, </w:t>
      </w:r>
      <w:r>
        <w:rPr>
          <w:rFonts w:ascii="Calibri" w:hAnsi="Calibri"/>
          <w:i w:val="false"/>
          <w:iCs w:val="false"/>
        </w:rPr>
        <w:t>pp. 188-189</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rFonts w:ascii="Calibri" w:hAnsi="Calibri"/>
        <w:sz w:val="24"/>
        <w:szCs w:val="24"/>
      </w:rPr>
    </w:pPr>
    <w:r>
      <w:rPr>
        <w:rFonts w:ascii="Calibri" w:hAnsi="Calibri"/>
        <w:sz w:val="24"/>
        <w:szCs w:val="24"/>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20"/>
  <w:autoHyphenation w:val="true"/>
  <w:footnotePr>
    <w:numFmt w:val="decimal"/>
    <w:footnote w:id="0"/>
    <w:footnote w:id="1"/>
  </w:footnotePr>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start"/>
    </w:pPr>
    <w:rPr>
      <w:rFonts w:ascii="Times New Roman" w:hAnsi="Times New Roman" w:eastAsia="SimSun;宋体" w:cs="Times New Roman"/>
      <w:color w:val="auto"/>
      <w:kern w:val="0"/>
      <w:sz w:val="24"/>
      <w:szCs w:val="24"/>
      <w:lang w:val="en-GB" w:eastAsia="zh-CN" w:bidi="ar-SA"/>
    </w:rPr>
  </w:style>
  <w:style w:type="paragraph" w:styleId="Heading1">
    <w:name w:val="Heading 1"/>
    <w:basedOn w:val="Normal"/>
    <w:next w:val="Normal"/>
    <w:qFormat/>
    <w:pPr>
      <w:keepNext w:val="true"/>
      <w:numPr>
        <w:ilvl w:val="0"/>
        <w:numId w:val="1"/>
      </w:numPr>
      <w:spacing w:before="240" w:after="60"/>
      <w:outlineLvl w:val="0"/>
    </w:pPr>
    <w:rPr>
      <w:rFonts w:ascii="Arial" w:hAnsi="Arial" w:cs="Arial"/>
      <w:b/>
      <w:bCs/>
      <w:kern w:val="2"/>
      <w:sz w:val="32"/>
      <w:szCs w:val="32"/>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paragraph" w:styleId="Heading3">
    <w:name w:val="Heading 3"/>
    <w:basedOn w:val="Normal"/>
    <w:next w:val="BodyText"/>
    <w:qFormat/>
    <w:pPr>
      <w:keepNext w:val="true"/>
      <w:numPr>
        <w:ilvl w:val="2"/>
        <w:numId w:val="1"/>
      </w:numPr>
      <w:ind w:hanging="0" w:start="720" w:end="0"/>
      <w:jc w:val="both"/>
      <w:outlineLvl w:val="2"/>
    </w:pPr>
    <w:rPr>
      <w:rFonts w:ascii="Tahoma" w:hAnsi="Tahoma" w:cs="Tahoma"/>
      <w:b/>
      <w:bCs/>
      <w:sz w:val="20"/>
      <w:szCs w:val="20"/>
    </w:rPr>
  </w:style>
  <w:style w:type="character" w:styleId="WW8Num2z0">
    <w:name w:val="WW8Num2z0"/>
    <w:qFormat/>
    <w:rPr>
      <w:rFonts w:ascii="Symbol" w:hAnsi="Symbol" w:cs="Symbol"/>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3z0">
    <w:name w:val="WW8Num3z0"/>
    <w:qFormat/>
    <w:rPr>
      <w:rFonts w:ascii="Symbol" w:hAnsi="Symbol" w:cs="Symbol"/>
    </w:rPr>
  </w:style>
  <w:style w:type="character" w:styleId="WW8Num3z1">
    <w:name w:val="WW8Num3z1"/>
    <w:qFormat/>
    <w:rPr>
      <w:rFonts w:ascii="Courier New" w:hAnsi="Courier New" w:cs="Courier New"/>
    </w:rPr>
  </w:style>
  <w:style w:type="character" w:styleId="WW8Num3z2">
    <w:name w:val="WW8Num3z2"/>
    <w:qFormat/>
    <w:rPr>
      <w:rFonts w:ascii="Wingdings" w:hAnsi="Wingdings" w:cs="Wingdings"/>
    </w:rPr>
  </w:style>
  <w:style w:type="character" w:styleId="WW8Num4z0">
    <w:name w:val="WW8Num4z0"/>
    <w:qFormat/>
    <w:rPr>
      <w:rFonts w:ascii="Symbol" w:hAnsi="Symbol" w:cs="Symbol"/>
    </w:rPr>
  </w:style>
  <w:style w:type="character" w:styleId="WW8Num5z0">
    <w:name w:val="WW8Num5z0"/>
    <w:qFormat/>
    <w:rPr>
      <w:rFonts w:ascii="Symbol" w:hAnsi="Symbol" w:cs="Symbol"/>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6z0">
    <w:name w:val="WW8Num6z0"/>
    <w:qFormat/>
    <w:rPr>
      <w:rFonts w:ascii="Symbol" w:hAnsi="Symbol" w:cs="Symbol"/>
    </w:rPr>
  </w:style>
  <w:style w:type="character" w:styleId="WW8Num6z1">
    <w:name w:val="WW8Num6z1"/>
    <w:qFormat/>
    <w:rPr>
      <w:rFonts w:ascii="Courier New" w:hAnsi="Courier New" w:cs="Courier New"/>
    </w:rPr>
  </w:style>
  <w:style w:type="character" w:styleId="WW8Num6z2">
    <w:name w:val="WW8Num6z2"/>
    <w:qFormat/>
    <w:rPr>
      <w:rFonts w:ascii="Wingdings" w:hAnsi="Wingdings" w:cs="Wingdings"/>
    </w:rPr>
  </w:style>
  <w:style w:type="character" w:styleId="WW8Num8z0">
    <w:name w:val="WW8Num8z0"/>
    <w:qFormat/>
    <w:rPr>
      <w:rFonts w:ascii="Symbol" w:hAnsi="Symbol" w:cs="Symbol"/>
    </w:rPr>
  </w:style>
  <w:style w:type="character" w:styleId="WW8Num8z1">
    <w:name w:val="WW8Num8z1"/>
    <w:qFormat/>
    <w:rPr>
      <w:rFonts w:ascii="Courier New" w:hAnsi="Courier New" w:cs="Courier New"/>
    </w:rPr>
  </w:style>
  <w:style w:type="character" w:styleId="WW8Num8z2">
    <w:name w:val="WW8Num8z2"/>
    <w:qFormat/>
    <w:rPr>
      <w:rFonts w:ascii="Wingdings" w:hAnsi="Wingdings" w:cs="Wingdings"/>
    </w:rPr>
  </w:style>
  <w:style w:type="character" w:styleId="WW8Num10z0">
    <w:name w:val="WW8Num10z0"/>
    <w:qFormat/>
    <w:rPr>
      <w:sz w:val="20"/>
    </w:rPr>
  </w:style>
  <w:style w:type="character" w:styleId="WW8Num11z0">
    <w:name w:val="WW8Num11z0"/>
    <w:qFormat/>
    <w:rPr>
      <w:rFonts w:ascii="Symbol" w:hAnsi="Symbol" w:cs="Symbol"/>
    </w:rPr>
  </w:style>
  <w:style w:type="character" w:styleId="WW8Num12z0">
    <w:name w:val="WW8Num12z0"/>
    <w:qFormat/>
    <w:rPr>
      <w:rFonts w:ascii="Symbol" w:hAnsi="Symbol" w:cs="Symbol"/>
    </w:rPr>
  </w:style>
  <w:style w:type="character" w:styleId="WW8Num13z0">
    <w:name w:val="WW8Num13z0"/>
    <w:qFormat/>
    <w:rPr>
      <w:rFonts w:ascii="Symbol" w:hAnsi="Symbol" w:cs="Symbol"/>
    </w:rPr>
  </w:style>
  <w:style w:type="character" w:styleId="WW8Num14z0">
    <w:name w:val="WW8Num14z0"/>
    <w:qFormat/>
    <w:rPr>
      <w:rFonts w:ascii="Symbol" w:hAnsi="Symbol" w:cs="Symbol"/>
    </w:rPr>
  </w:style>
  <w:style w:type="character" w:styleId="WW8Num14z1">
    <w:name w:val="WW8Num14z1"/>
    <w:qFormat/>
    <w:rPr>
      <w:rFonts w:ascii="Courier New" w:hAnsi="Courier New" w:cs="Courier New"/>
    </w:rPr>
  </w:style>
  <w:style w:type="character" w:styleId="WW8Num14z2">
    <w:name w:val="WW8Num14z2"/>
    <w:qFormat/>
    <w:rPr>
      <w:rFonts w:ascii="Wingdings" w:hAnsi="Wingdings" w:cs="Wingdings"/>
    </w:rPr>
  </w:style>
  <w:style w:type="character" w:styleId="WW8Num15z0">
    <w:name w:val="WW8Num15z0"/>
    <w:qFormat/>
    <w:rPr>
      <w:rFonts w:ascii="Symbol" w:hAnsi="Symbol" w:cs="Symbol"/>
    </w:rPr>
  </w:style>
  <w:style w:type="character" w:styleId="WW8Num16z0">
    <w:name w:val="WW8Num16z0"/>
    <w:qFormat/>
    <w:rPr>
      <w:rFonts w:ascii="Symbol" w:hAnsi="Symbol" w:cs="Symbol"/>
    </w:rPr>
  </w:style>
  <w:style w:type="character" w:styleId="WW8Num16z1">
    <w:name w:val="WW8Num16z1"/>
    <w:qFormat/>
    <w:rPr>
      <w:rFonts w:ascii="Courier New" w:hAnsi="Courier New" w:cs="Courier New"/>
    </w:rPr>
  </w:style>
  <w:style w:type="character" w:styleId="WW8Num16z2">
    <w:name w:val="WW8Num16z2"/>
    <w:qFormat/>
    <w:rPr>
      <w:rFonts w:ascii="Wingdings" w:hAnsi="Wingdings" w:cs="Wingdings"/>
    </w:rPr>
  </w:style>
  <w:style w:type="character" w:styleId="WW8Num17z0">
    <w:name w:val="WW8Num17z0"/>
    <w:qFormat/>
    <w:rPr>
      <w:rFonts w:ascii="Symbol" w:hAnsi="Symbol" w:cs="Symbol"/>
    </w:rPr>
  </w:style>
  <w:style w:type="character" w:styleId="WW8Num18z0">
    <w:name w:val="WW8Num18z0"/>
    <w:qFormat/>
    <w:rPr>
      <w:rFonts w:ascii="Symbol" w:hAnsi="Symbol" w:cs="Symbol"/>
    </w:rPr>
  </w:style>
  <w:style w:type="character" w:styleId="WW8Num18z1">
    <w:name w:val="WW8Num18z1"/>
    <w:qFormat/>
    <w:rPr>
      <w:rFonts w:ascii="Courier New" w:hAnsi="Courier New" w:cs="Courier New"/>
    </w:rPr>
  </w:style>
  <w:style w:type="character" w:styleId="WW8Num18z2">
    <w:name w:val="WW8Num18z2"/>
    <w:qFormat/>
    <w:rPr>
      <w:rFonts w:ascii="Wingdings" w:hAnsi="Wingdings" w:cs="Wingdings"/>
    </w:rPr>
  </w:style>
  <w:style w:type="character" w:styleId="WW8Num19z0">
    <w:name w:val="WW8Num19z0"/>
    <w:qFormat/>
    <w:rPr>
      <w:rFonts w:ascii="Albertus" w:hAnsi="Albertus" w:cs="Albertus"/>
    </w:rPr>
  </w:style>
  <w:style w:type="character" w:styleId="WW8Num19z1">
    <w:name w:val="WW8Num19z1"/>
    <w:qFormat/>
    <w:rPr>
      <w:rFonts w:ascii="Courier New" w:hAnsi="Courier New" w:cs="Courier New"/>
    </w:rPr>
  </w:style>
  <w:style w:type="character" w:styleId="WW8Num19z2">
    <w:name w:val="WW8Num19z2"/>
    <w:qFormat/>
    <w:rPr>
      <w:rFonts w:ascii="Wingdings" w:hAnsi="Wingdings" w:cs="Wingdings"/>
    </w:rPr>
  </w:style>
  <w:style w:type="character" w:styleId="WW8Num19z3">
    <w:name w:val="WW8Num19z3"/>
    <w:qFormat/>
    <w:rPr>
      <w:rFonts w:ascii="Symbol" w:hAnsi="Symbol" w:cs="Symbol"/>
    </w:rPr>
  </w:style>
  <w:style w:type="character" w:styleId="WW8Num21z0">
    <w:name w:val="WW8Num21z0"/>
    <w:qFormat/>
    <w:rPr>
      <w:rFonts w:ascii="Symbol" w:hAnsi="Symbol" w:cs="Symbol"/>
    </w:rPr>
  </w:style>
  <w:style w:type="character" w:styleId="WW8Num21z1">
    <w:name w:val="WW8Num21z1"/>
    <w:qFormat/>
    <w:rPr>
      <w:rFonts w:ascii="Courier New" w:hAnsi="Courier New" w:cs="Courier New"/>
    </w:rPr>
  </w:style>
  <w:style w:type="character" w:styleId="WW8Num21z2">
    <w:name w:val="WW8Num21z2"/>
    <w:qFormat/>
    <w:rPr>
      <w:rFonts w:ascii="Wingdings" w:hAnsi="Wingdings" w:cs="Wingdings"/>
    </w:rPr>
  </w:style>
  <w:style w:type="character" w:styleId="WW8Num22z0">
    <w:name w:val="WW8Num22z0"/>
    <w:qFormat/>
    <w:rPr>
      <w:rFonts w:ascii="Symbol" w:hAnsi="Symbol" w:cs="Symbol"/>
    </w:rPr>
  </w:style>
  <w:style w:type="character" w:styleId="WW8Num22z1">
    <w:name w:val="WW8Num22z1"/>
    <w:qFormat/>
    <w:rPr>
      <w:rFonts w:ascii="Courier New" w:hAnsi="Courier New" w:cs="Courier New"/>
    </w:rPr>
  </w:style>
  <w:style w:type="character" w:styleId="WW8Num22z2">
    <w:name w:val="WW8Num22z2"/>
    <w:qFormat/>
    <w:rPr>
      <w:rFonts w:ascii="Wingdings" w:hAnsi="Wingdings" w:cs="Wingdings"/>
    </w:rPr>
  </w:style>
  <w:style w:type="character" w:styleId="WW8Num23z0">
    <w:name w:val="WW8Num23z0"/>
    <w:qFormat/>
    <w:rPr>
      <w:rFonts w:ascii="Symbol" w:hAnsi="Symbol" w:cs="Symbol"/>
    </w:rPr>
  </w:style>
  <w:style w:type="character" w:styleId="WW8Num24z0">
    <w:name w:val="WW8Num24z0"/>
    <w:qFormat/>
    <w:rPr>
      <w:rFonts w:ascii="Symbol" w:hAnsi="Symbol" w:cs="Symbol"/>
    </w:rPr>
  </w:style>
  <w:style w:type="character" w:styleId="WW8Num24z1">
    <w:name w:val="WW8Num24z1"/>
    <w:qFormat/>
    <w:rPr>
      <w:rFonts w:ascii="Courier New" w:hAnsi="Courier New" w:cs="Courier New"/>
    </w:rPr>
  </w:style>
  <w:style w:type="character" w:styleId="WW8Num24z2">
    <w:name w:val="WW8Num24z2"/>
    <w:qFormat/>
    <w:rPr>
      <w:rFonts w:ascii="Wingdings" w:hAnsi="Wingdings" w:cs="Wingdings"/>
    </w:rPr>
  </w:style>
  <w:style w:type="character" w:styleId="WW8NumSt16z0">
    <w:name w:val="WW8NumSt16z0"/>
    <w:qFormat/>
    <w:rPr>
      <w:rFonts w:ascii="Symbol" w:hAnsi="Symbol" w:cs="Symbol"/>
    </w:rPr>
  </w:style>
  <w:style w:type="character" w:styleId="WW8NumSt18z0">
    <w:name w:val="WW8NumSt18z0"/>
    <w:qFormat/>
    <w:rPr>
      <w:rFonts w:ascii="Symbol" w:hAnsi="Symbol" w:cs="Symbol"/>
    </w:rPr>
  </w:style>
  <w:style w:type="character" w:styleId="DefaultParagraphFont">
    <w:name w:val="Default Paragraph Font"/>
    <w:qFormat/>
    <w:rPr/>
  </w:style>
  <w:style w:type="character" w:styleId="CommentReference">
    <w:name w:val="Comment Reference"/>
    <w:qFormat/>
    <w:rPr>
      <w:sz w:val="16"/>
      <w:szCs w:val="16"/>
    </w:rPr>
  </w:style>
  <w:style w:type="character" w:styleId="CommentTextChar">
    <w:name w:val="Comment Text Char"/>
    <w:qFormat/>
    <w:rPr>
      <w:lang w:eastAsia="zh-CN"/>
    </w:rPr>
  </w:style>
  <w:style w:type="character" w:styleId="CommentSubjectChar">
    <w:name w:val="Comment Subject Char"/>
    <w:qFormat/>
    <w:rPr>
      <w:b/>
      <w:bCs/>
      <w:lang w:eastAsia="zh-CN"/>
    </w:rPr>
  </w:style>
  <w:style w:type="character" w:styleId="BalloonTextChar">
    <w:name w:val="Balloon Text Char"/>
    <w:qFormat/>
    <w:rPr>
      <w:rFonts w:ascii="Tahoma" w:hAnsi="Tahoma" w:cs="Tahoma"/>
      <w:sz w:val="16"/>
      <w:szCs w:val="16"/>
      <w:lang w:eastAsia="zh-CN"/>
    </w:rPr>
  </w:style>
  <w:style w:type="character" w:styleId="HeaderChar">
    <w:name w:val="Header Char"/>
    <w:qFormat/>
    <w:rPr>
      <w:rFonts w:ascii="Trebuchet MS" w:hAnsi="Trebuchet MS" w:eastAsia="Calibri" w:cs="Tahoma"/>
      <w:sz w:val="22"/>
    </w:rPr>
  </w:style>
  <w:style w:type="character" w:styleId="FooterChar">
    <w:name w:val="Footer Char"/>
    <w:qFormat/>
    <w:rPr>
      <w:sz w:val="24"/>
      <w:szCs w:val="24"/>
      <w:lang w:eastAsia="zh-CN"/>
    </w:rPr>
  </w:style>
  <w:style w:type="character" w:styleId="FootnoteCharacters">
    <w:name w:val="Footnote Characters"/>
    <w:qFormat/>
    <w:rPr>
      <w:vertAlign w:val="superscript"/>
    </w:rPr>
  </w:style>
  <w:style w:type="character" w:styleId="FootnoteReference">
    <w:name w:val="Footnote Reference"/>
    <w:rPr>
      <w:vertAlign w:val="superscript"/>
    </w:rPr>
  </w:style>
  <w:style w:type="character" w:styleId="EndnoteCharacters">
    <w:name w:val="Endnote Characters"/>
    <w:qFormat/>
    <w:rPr>
      <w:vertAlign w:val="superscript"/>
    </w:rPr>
  </w:style>
  <w:style w:type="character" w:styleId="EndnoteReference">
    <w:name w:val="Endnote Reference"/>
    <w:rPr>
      <w:vertAlign w:val="superscript"/>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NormalWeb">
    <w:name w:val="Normal (Web)"/>
    <w:basedOn w:val="Normal"/>
    <w:qFormat/>
    <w:pPr>
      <w:spacing w:before="280" w:after="280"/>
    </w:pPr>
    <w:rPr>
      <w:rFonts w:ascii="Georgia" w:hAnsi="Georgia" w:cs="Georgia"/>
      <w:color w:val="000000"/>
      <w:sz w:val="21"/>
      <w:szCs w:val="21"/>
    </w:rPr>
  </w:style>
  <w:style w:type="paragraph" w:styleId="CommentText">
    <w:name w:val="Comment Text"/>
    <w:basedOn w:val="Normal"/>
    <w:qFormat/>
    <w:pPr/>
    <w:rPr>
      <w:sz w:val="20"/>
      <w:szCs w:val="20"/>
      <w:lang w:val="en-US"/>
    </w:rPr>
  </w:style>
  <w:style w:type="paragraph" w:styleId="CommentSubject">
    <w:name w:val="Comment Subject"/>
    <w:basedOn w:val="CommentText"/>
    <w:next w:val="CommentText"/>
    <w:qFormat/>
    <w:pPr/>
    <w:rPr>
      <w:b/>
      <w:bCs/>
    </w:rPr>
  </w:style>
  <w:style w:type="paragraph" w:styleId="BalloonText">
    <w:name w:val="Balloon Text"/>
    <w:basedOn w:val="Normal"/>
    <w:qFormat/>
    <w:pPr/>
    <w:rPr>
      <w:rFonts w:ascii="Tahoma" w:hAnsi="Tahoma" w:cs="Tahoma"/>
      <w:sz w:val="16"/>
      <w:szCs w:val="16"/>
      <w:lang w:val="en-US"/>
    </w:rPr>
  </w:style>
  <w:style w:type="paragraph" w:styleId="HeaderandFooter">
    <w:name w:val="Header and Footer"/>
    <w:basedOn w:val="Normal"/>
    <w:qFormat/>
    <w:pPr>
      <w:suppressLineNumbers/>
      <w:tabs>
        <w:tab w:val="clear" w:pos="720"/>
        <w:tab w:val="center" w:pos="4986" w:leader="none"/>
        <w:tab w:val="right" w:pos="9972" w:leader="none"/>
      </w:tabs>
    </w:pPr>
    <w:rPr/>
  </w:style>
  <w:style w:type="paragraph" w:styleId="Header">
    <w:name w:val="Header"/>
    <w:basedOn w:val="Normal"/>
    <w:pPr>
      <w:tabs>
        <w:tab w:val="clear" w:pos="720"/>
        <w:tab w:val="center" w:pos="4513" w:leader="none"/>
        <w:tab w:val="right" w:pos="9026" w:leader="none"/>
      </w:tabs>
    </w:pPr>
    <w:rPr>
      <w:rFonts w:ascii="Trebuchet MS" w:hAnsi="Trebuchet MS" w:eastAsia="Calibri" w:cs="Trebuchet MS"/>
      <w:sz w:val="22"/>
      <w:szCs w:val="20"/>
      <w:lang w:val="en-US"/>
    </w:rPr>
  </w:style>
  <w:style w:type="paragraph" w:styleId="Footer">
    <w:name w:val="Footer"/>
    <w:basedOn w:val="Normal"/>
    <w:pPr>
      <w:tabs>
        <w:tab w:val="clear" w:pos="720"/>
        <w:tab w:val="center" w:pos="4513" w:leader="none"/>
        <w:tab w:val="right" w:pos="9026" w:leader="none"/>
      </w:tabs>
    </w:pPr>
    <w:rPr>
      <w:lang w:val="en-US"/>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FootnoteText">
    <w:name w:val="Footnote Text"/>
    <w:basedOn w:val="Normal"/>
    <w:pPr>
      <w:suppressLineNumbers/>
      <w:ind w:hanging="340" w:start="340"/>
    </w:pPr>
    <w:rPr>
      <w:sz w:val="20"/>
      <w:szCs w:val="20"/>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otnotes" Target="footnotes.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1079</TotalTime>
  <Application>LibreOffice/7.6.5.2$Windows_X86_64 LibreOffice_project/38d5f62f85355c192ef5f1dd47c5c0c0c6d6598b</Application>
  <AppVersion>15.0000</AppVersion>
  <Pages>9</Pages>
  <Words>3348</Words>
  <Characters>18300</Characters>
  <CharactersWithSpaces>22365</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2019-10-07T10:42:00Z</dcterms:created>
  <dc:creator>sa044</dc:creator>
  <dc:description/>
  <dc:language>en-US</dc:language>
  <cp:lastModifiedBy/>
  <cp:lastPrinted>2011-03-31T14:57:00Z</cp:lastPrinted>
  <dcterms:modified xsi:type="dcterms:W3CDTF">2024-03-15T19:58:28Z</dcterms:modified>
  <cp:revision>34</cp:revision>
  <dc:subject/>
  <dc:title>UNIVERSITY OF WALES</dc:title>
</cp:coreProperties>
</file>

<file path=docProps/custom.xml><?xml version="1.0" encoding="utf-8"?>
<Properties xmlns="http://schemas.openxmlformats.org/officeDocument/2006/custom-properties" xmlns:vt="http://schemas.openxmlformats.org/officeDocument/2006/docPropsVTypes"/>
</file>