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F60AA19" w:rsidP="6EB0AFBF" w:rsidRDefault="6F60AA19" w14:paraId="360377D4" w14:textId="1850DAA4">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6F60AA19">
        <w:drawing>
          <wp:inline wp14:editId="0FC589BD" wp14:anchorId="541F415B">
            <wp:extent cx="4429125" cy="2257425"/>
            <wp:effectExtent l="0" t="0" r="0" b="0"/>
            <wp:docPr id="12509121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0912120" name="Picture 1250912120"/>
                    <pic:cNvPicPr/>
                  </pic:nvPicPr>
                  <pic:blipFill>
                    <a:blip xmlns:r="http://schemas.openxmlformats.org/officeDocument/2006/relationships" r:embed="rId986999332">
                      <a:extLst>
                        <a:ext uri="{28A0092B-C50C-407E-A947-70E740481C1C}">
                          <a14:useLocalDpi xmlns:a14="http://schemas.microsoft.com/office/drawing/2010/main"/>
                        </a:ext>
                      </a:extLst>
                    </a:blip>
                    <a:stretch>
                      <a:fillRect/>
                    </a:stretch>
                  </pic:blipFill>
                  <pic:spPr>
                    <a:xfrm>
                      <a:off x="0" y="0"/>
                      <a:ext cx="4429125" cy="2257425"/>
                    </a:xfrm>
                    <a:prstGeom prst="rect">
                      <a:avLst/>
                    </a:prstGeom>
                  </pic:spPr>
                </pic:pic>
              </a:graphicData>
            </a:graphic>
          </wp:inline>
        </w:drawing>
      </w: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0001E0F8" w14:textId="1DC5E2F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69BF7A94" w14:textId="1E53D81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5C5387C2" w14:textId="7A46EF24">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Bachelor of Arts, Business Management</w:t>
      </w:r>
    </w:p>
    <w:p w:rsidR="74D9EDB9" w:rsidP="6EB0AFBF" w:rsidRDefault="74D9EDB9" w14:paraId="04AEA4F3" w14:textId="5E26922F">
      <w:pPr>
        <w:pStyle w:val="Normal"/>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US"/>
        </w:rPr>
      </w:pPr>
      <w:r w:rsidRPr="6EB0AFBF" w:rsidR="74D9EDB9">
        <w:rPr>
          <w:rFonts w:ascii="Aptos" w:hAnsi="Aptos" w:eastAsia="Aptos" w:cs="Aptos"/>
          <w:noProof w:val="0"/>
          <w:sz w:val="22"/>
          <w:szCs w:val="22"/>
          <w:lang w:val="en-US"/>
        </w:rPr>
        <w:t>International Business Communications</w:t>
      </w: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6EB0AFBF" w:rsidR="6F60AA19">
        <w:rPr>
          <w:rFonts w:ascii="Aptos" w:hAnsi="Aptos" w:eastAsia="Aptos" w:cs="Aptos"/>
          <w:b w:val="1"/>
          <w:bCs w:val="1"/>
          <w:i w:val="0"/>
          <w:iCs w:val="0"/>
          <w:caps w:val="0"/>
          <w:smallCaps w:val="0"/>
          <w:noProof w:val="0"/>
          <w:color w:val="000000" w:themeColor="text1" w:themeTint="FF" w:themeShade="FF"/>
          <w:sz w:val="22"/>
          <w:szCs w:val="22"/>
          <w:lang w:val="en-US"/>
        </w:rPr>
        <w:t xml:space="preserve"> </w:t>
      </w: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LCBB</w:t>
      </w: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60</w:t>
      </w:r>
      <w:r w:rsidRPr="6EB0AFBF" w:rsidR="487FC26B">
        <w:rPr>
          <w:rFonts w:ascii="Aptos" w:hAnsi="Aptos" w:eastAsia="Aptos" w:cs="Aptos"/>
          <w:b w:val="0"/>
          <w:bCs w:val="0"/>
          <w:i w:val="0"/>
          <w:iCs w:val="0"/>
          <w:caps w:val="0"/>
          <w:smallCaps w:val="0"/>
          <w:noProof w:val="0"/>
          <w:color w:val="000000" w:themeColor="text1" w:themeTint="FF" w:themeShade="FF"/>
          <w:sz w:val="22"/>
          <w:szCs w:val="22"/>
          <w:lang w:val="en-US"/>
        </w:rPr>
        <w:t>23</w:t>
      </w:r>
    </w:p>
    <w:p w:rsidR="6F60AA19" w:rsidP="6EB0AFBF" w:rsidRDefault="6F60AA19" w14:paraId="7AFC7DC5" w14:textId="0A99341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1BB86F29" w14:textId="758A1C7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4232C606" w14:textId="1B3630F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3E8E77AE" w14:textId="78F21F1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21C2C976" w14:textId="4ED941D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54C22FDA" w14:textId="662A024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F60AA19" w:rsidP="6EB0AFBF" w:rsidRDefault="6F60AA19" w14:paraId="1FE24E4D" w14:textId="0396FAA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Student name &amp; ID : Nedret Metodiev 2317961</w:t>
      </w:r>
    </w:p>
    <w:p w:rsidR="6F60AA19" w:rsidP="6EB0AFBF" w:rsidRDefault="6F60AA19" w14:paraId="648F4D96" w14:textId="19350CB2">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Lecturer name: Gregory Cowan</w:t>
      </w:r>
    </w:p>
    <w:p w:rsidR="6F60AA19" w:rsidP="6EB0AFBF" w:rsidRDefault="6F60AA19" w14:paraId="32A3B114" w14:textId="1FFCDD0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GB"/>
        </w:rPr>
        <w:t>Component 2: Coursework: Essay</w:t>
      </w:r>
    </w:p>
    <w:p w:rsidR="6F60AA19" w:rsidP="6EB0AFBF" w:rsidRDefault="6F60AA19" w14:paraId="2CECAA72" w14:textId="3D8FDDF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Submission:</w:t>
      </w:r>
      <w:r w:rsidRPr="6EB0AFBF" w:rsidR="05899CE8">
        <w:rPr>
          <w:rFonts w:ascii="Aptos" w:hAnsi="Aptos" w:eastAsia="Aptos" w:cs="Aptos"/>
          <w:b w:val="0"/>
          <w:bCs w:val="0"/>
          <w:i w:val="0"/>
          <w:iCs w:val="0"/>
          <w:caps w:val="0"/>
          <w:smallCaps w:val="0"/>
          <w:noProof w:val="0"/>
          <w:color w:val="000000" w:themeColor="text1" w:themeTint="FF" w:themeShade="FF"/>
          <w:sz w:val="22"/>
          <w:szCs w:val="22"/>
          <w:lang w:val="en-US"/>
        </w:rPr>
        <w:t>21</w:t>
      </w: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.12.2025</w:t>
      </w:r>
    </w:p>
    <w:p w:rsidR="6F60AA19" w:rsidP="6EB0AFBF" w:rsidRDefault="6F60AA19" w14:paraId="26558EEC" w14:textId="02C3999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6EB0AFBF" w:rsidR="6F60AA19">
        <w:rPr>
          <w:rFonts w:ascii="Aptos" w:hAnsi="Aptos" w:eastAsia="Aptos" w:cs="Aptos"/>
          <w:b w:val="0"/>
          <w:bCs w:val="0"/>
          <w:i w:val="0"/>
          <w:iCs w:val="0"/>
          <w:caps w:val="0"/>
          <w:smallCaps w:val="0"/>
          <w:noProof w:val="0"/>
          <w:color w:val="000000" w:themeColor="text1" w:themeTint="FF" w:themeShade="FF"/>
          <w:sz w:val="22"/>
          <w:szCs w:val="22"/>
          <w:lang w:val="en-US"/>
        </w:rPr>
        <w:t>Word count:</w:t>
      </w:r>
      <w:r w:rsidRPr="6EB0AFBF" w:rsidR="083363EB">
        <w:rPr>
          <w:rFonts w:ascii="Aptos" w:hAnsi="Aptos" w:eastAsia="Aptos" w:cs="Aptos"/>
          <w:b w:val="0"/>
          <w:bCs w:val="0"/>
          <w:i w:val="0"/>
          <w:iCs w:val="0"/>
          <w:caps w:val="0"/>
          <w:smallCaps w:val="0"/>
          <w:noProof w:val="0"/>
          <w:color w:val="000000" w:themeColor="text1" w:themeTint="FF" w:themeShade="FF"/>
          <w:sz w:val="22"/>
          <w:szCs w:val="22"/>
          <w:lang w:val="en-US"/>
        </w:rPr>
        <w:t>1869</w:t>
      </w:r>
    </w:p>
    <w:p w:rsidR="6EB0AFBF" w:rsidP="6EB0AFBF" w:rsidRDefault="6EB0AFBF" w14:paraId="0B8EED23" w14:textId="0BE5828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0C4D148E" w14:textId="28C8EF47">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6574F96F" w14:textId="5F6C51C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1D89943E" w14:textId="45466E9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10D265B4" w14:textId="312EBC7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6C7F84D0" w14:textId="560B7C7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632F4D5B" w14:textId="5C01311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6D2A5B4D" w14:textId="3289B6E2">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41C4CD97" w14:textId="2955E52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4811D3A" w:rsidP="6EB0AFBF" w:rsidRDefault="64811D3A" w14:paraId="6C6B9C1E" w14:textId="55B329B8">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6EB0AFBF" w:rsidR="64811D3A">
        <w:rPr>
          <w:rFonts w:ascii="Aptos" w:hAnsi="Aptos" w:eastAsia="Aptos" w:cs="Aptos"/>
          <w:b w:val="0"/>
          <w:bCs w:val="0"/>
          <w:i w:val="0"/>
          <w:iCs w:val="0"/>
          <w:caps w:val="0"/>
          <w:smallCaps w:val="0"/>
          <w:noProof w:val="0"/>
          <w:color w:val="000000" w:themeColor="text1" w:themeTint="FF" w:themeShade="FF"/>
          <w:sz w:val="32"/>
          <w:szCs w:val="32"/>
          <w:lang w:val="en-GB"/>
        </w:rPr>
        <w:t>Table of content</w:t>
      </w:r>
    </w:p>
    <w:p w:rsidR="6EB0AFBF" w:rsidP="6EB0AFBF" w:rsidRDefault="6EB0AFBF" w14:paraId="26CEC307" w14:textId="77AE00C0">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p>
    <w:p w:rsidR="64811D3A" w:rsidP="6EB0AFBF" w:rsidRDefault="64811D3A" w14:paraId="11825205" w14:textId="31B61E85">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EB0AFBF" w:rsidR="64811D3A">
        <w:rPr>
          <w:rFonts w:ascii="Aptos" w:hAnsi="Aptos" w:eastAsia="Aptos" w:cs="Aptos"/>
          <w:b w:val="0"/>
          <w:bCs w:val="0"/>
          <w:i w:val="0"/>
          <w:iCs w:val="0"/>
          <w:caps w:val="0"/>
          <w:smallCaps w:val="0"/>
          <w:noProof w:val="0"/>
          <w:color w:val="000000" w:themeColor="text1" w:themeTint="FF" w:themeShade="FF"/>
          <w:sz w:val="24"/>
          <w:szCs w:val="24"/>
          <w:lang w:val="en-GB"/>
        </w:rPr>
        <w:t xml:space="preserve">1.Introduction </w:t>
      </w:r>
    </w:p>
    <w:p w:rsidR="64811D3A" w:rsidP="6EB0AFBF" w:rsidRDefault="64811D3A" w14:paraId="080E8E53" w14:textId="264E9118">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EB0AFBF" w:rsidR="64811D3A">
        <w:rPr>
          <w:rFonts w:ascii="Aptos" w:hAnsi="Aptos" w:eastAsia="Aptos" w:cs="Aptos"/>
          <w:b w:val="0"/>
          <w:bCs w:val="0"/>
          <w:i w:val="0"/>
          <w:iCs w:val="0"/>
          <w:caps w:val="0"/>
          <w:smallCaps w:val="0"/>
          <w:noProof w:val="0"/>
          <w:color w:val="000000" w:themeColor="text1" w:themeTint="FF" w:themeShade="FF"/>
          <w:sz w:val="24"/>
          <w:szCs w:val="24"/>
          <w:lang w:val="en-GB"/>
        </w:rPr>
        <w:t xml:space="preserve">2.Literature Review </w:t>
      </w:r>
    </w:p>
    <w:p w:rsidR="64811D3A" w:rsidP="6EB0AFBF" w:rsidRDefault="64811D3A" w14:paraId="17FCE589" w14:textId="290A1FC9">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EB0AFBF" w:rsidR="64811D3A">
        <w:rPr>
          <w:rFonts w:ascii="Aptos" w:hAnsi="Aptos" w:eastAsia="Aptos" w:cs="Aptos"/>
          <w:b w:val="0"/>
          <w:bCs w:val="0"/>
          <w:i w:val="0"/>
          <w:iCs w:val="0"/>
          <w:caps w:val="0"/>
          <w:smallCaps w:val="0"/>
          <w:noProof w:val="0"/>
          <w:color w:val="000000" w:themeColor="text1" w:themeTint="FF" w:themeShade="FF"/>
          <w:sz w:val="24"/>
          <w:szCs w:val="24"/>
          <w:lang w:val="en-GB"/>
        </w:rPr>
        <w:t xml:space="preserve">3.Main Analysis </w:t>
      </w:r>
    </w:p>
    <w:p w:rsidR="64811D3A" w:rsidP="6EB0AFBF" w:rsidRDefault="64811D3A" w14:paraId="3B56B562" w14:textId="5E08F57A">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EB0AFBF" w:rsidR="64811D3A">
        <w:rPr>
          <w:rFonts w:ascii="Aptos" w:hAnsi="Aptos" w:eastAsia="Aptos" w:cs="Aptos"/>
          <w:b w:val="0"/>
          <w:bCs w:val="0"/>
          <w:i w:val="0"/>
          <w:iCs w:val="0"/>
          <w:caps w:val="0"/>
          <w:smallCaps w:val="0"/>
          <w:noProof w:val="0"/>
          <w:color w:val="000000" w:themeColor="text1" w:themeTint="FF" w:themeShade="FF"/>
          <w:sz w:val="24"/>
          <w:szCs w:val="24"/>
          <w:lang w:val="en-GB"/>
        </w:rPr>
        <w:t xml:space="preserve">4.Conclusion </w:t>
      </w:r>
    </w:p>
    <w:p w:rsidR="64811D3A" w:rsidP="6EB0AFBF" w:rsidRDefault="64811D3A" w14:paraId="466D7E38" w14:textId="7B57642C">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6EB0AFBF" w:rsidR="64811D3A">
        <w:rPr>
          <w:rFonts w:ascii="Aptos" w:hAnsi="Aptos" w:eastAsia="Aptos" w:cs="Aptos"/>
          <w:b w:val="0"/>
          <w:bCs w:val="0"/>
          <w:i w:val="0"/>
          <w:iCs w:val="0"/>
          <w:caps w:val="0"/>
          <w:smallCaps w:val="0"/>
          <w:noProof w:val="0"/>
          <w:color w:val="000000" w:themeColor="text1" w:themeTint="FF" w:themeShade="FF"/>
          <w:sz w:val="24"/>
          <w:szCs w:val="24"/>
          <w:lang w:val="en-GB"/>
        </w:rPr>
        <w:t>5.Refrences</w:t>
      </w:r>
    </w:p>
    <w:p w:rsidR="6EB0AFBF" w:rsidP="6EB0AFBF" w:rsidRDefault="6EB0AFBF" w14:paraId="0A043230" w14:textId="281D00AF">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5C0DAA59" w14:textId="4B742FD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53B7AF7A" w14:textId="5ACFA16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0F735B34" w14:textId="7A7730F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36757CC8" w14:textId="63DE6CE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7D9F6B88" w14:textId="7809BC0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75079608" w14:textId="0DEB085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313542BF" w14:textId="6786415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21A105D6" w14:textId="0090CFA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05C10E98" w14:textId="6AEC5A1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4A24AA6D" w14:textId="635F360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107892B1" w14:textId="1C5A71F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560039D9" w14:textId="26DB1C6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743A4151" w14:textId="6DA0D80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16A2B40C" w14:textId="4ED6F057">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68EDC55F" w14:textId="18946FC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7C207B0E" w14:textId="778180C5">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1480B840" w14:textId="3F929E7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0B542699" w14:textId="07B3AAE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10EE682A" w14:textId="4D65EFF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1E4B0385" w14:textId="0FCFBE3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6EB0AFBF" w:rsidP="6EB0AFBF" w:rsidRDefault="6EB0AFBF" w14:paraId="117EC17F" w14:textId="2D9D67A1">
      <w:pPr>
        <w:spacing w:before="322" w:beforeAutospacing="off" w:after="322" w:afterAutospacing="off"/>
        <w:jc w:val="center"/>
        <w:rPr>
          <w:b w:val="0"/>
          <w:bCs w:val="0"/>
          <w:sz w:val="28"/>
          <w:szCs w:val="28"/>
        </w:rPr>
      </w:pPr>
    </w:p>
    <w:p xmlns:wp14="http://schemas.microsoft.com/office/word/2010/wordml" w:rsidP="6EB0AFBF" wp14:paraId="0AB6A927" wp14:textId="6A298F56">
      <w:pPr>
        <w:spacing w:before="322" w:beforeAutospacing="off" w:after="322" w:afterAutospacing="off"/>
        <w:jc w:val="center"/>
        <w:rPr>
          <w:rFonts w:ascii="Aptos" w:hAnsi="Aptos" w:eastAsia="Aptos" w:cs="Aptos"/>
          <w:b w:val="0"/>
          <w:bCs w:val="0"/>
          <w:noProof w:val="0"/>
          <w:sz w:val="28"/>
          <w:szCs w:val="28"/>
          <w:lang w:val="en-GB"/>
        </w:rPr>
      </w:pPr>
      <w:r w:rsidRPr="6EB0AFBF" w:rsidR="1DF543CA">
        <w:rPr>
          <w:b w:val="0"/>
          <w:bCs w:val="0"/>
          <w:sz w:val="28"/>
          <w:szCs w:val="28"/>
        </w:rPr>
        <w:t xml:space="preserve"> </w:t>
      </w:r>
      <w:r w:rsidRPr="6EB0AFBF" w:rsidR="7BD581A1">
        <w:rPr>
          <w:b w:val="0"/>
          <w:bCs w:val="0"/>
          <w:sz w:val="28"/>
          <w:szCs w:val="28"/>
        </w:rPr>
        <w:t>1.</w:t>
      </w:r>
      <w:r w:rsidRPr="6EB0AFBF" w:rsidR="59C2209E">
        <w:rPr>
          <w:rFonts w:ascii="Aptos" w:hAnsi="Aptos" w:eastAsia="Aptos" w:cs="Aptos"/>
          <w:b w:val="0"/>
          <w:bCs w:val="0"/>
          <w:noProof w:val="0"/>
          <w:sz w:val="28"/>
          <w:szCs w:val="28"/>
          <w:lang w:val="en-GB"/>
        </w:rPr>
        <w:t>Introduction</w:t>
      </w:r>
    </w:p>
    <w:p xmlns:wp14="http://schemas.microsoft.com/office/word/2010/wordml" w:rsidP="6EB0AFBF" wp14:paraId="0031FF31" wp14:textId="5AB8EA12">
      <w:pPr>
        <w:spacing w:before="240" w:beforeAutospacing="off" w:after="240" w:afterAutospacing="off"/>
      </w:pPr>
      <w:r w:rsidRPr="6EB0AFBF" w:rsidR="59C2209E">
        <w:rPr>
          <w:rFonts w:ascii="Aptos" w:hAnsi="Aptos" w:eastAsia="Aptos" w:cs="Aptos"/>
          <w:noProof w:val="0"/>
          <w:sz w:val="24"/>
          <w:szCs w:val="24"/>
          <w:lang w:val="en-GB"/>
        </w:rPr>
        <w:t>In an increasingly interconnected global economy, effective communication across cultures has become a critical competency for international business success. Among the most complex communication practices is persuasion, a process deeply shaped by cultural norms, values, and expectations. When organisations from culturally distinct environments engage in negotiation, their contrasting communication styles can significantly influence outcomes. This essay critically analyses persuasion and relationship‑building in business negotiations between the United Kingdom (UK) and the United Arab Emirates (UAE), two countries whose communication practices differ substantially in terms of context, hierarchy, and interpersonal expectations.</w:t>
      </w:r>
    </w:p>
    <w:p xmlns:wp14="http://schemas.microsoft.com/office/word/2010/wordml" w:rsidP="6EB0AFBF" wp14:paraId="6B090248" wp14:textId="6A675879">
      <w:pPr>
        <w:spacing w:before="240" w:beforeAutospacing="off" w:after="240" w:afterAutospacing="off"/>
      </w:pPr>
      <w:r w:rsidRPr="6EB0AFBF" w:rsidR="59C2209E">
        <w:rPr>
          <w:rFonts w:ascii="Aptos" w:hAnsi="Aptos" w:eastAsia="Aptos" w:cs="Aptos"/>
          <w:noProof w:val="0"/>
          <w:sz w:val="24"/>
          <w:szCs w:val="24"/>
          <w:lang w:val="en-GB"/>
        </w:rPr>
        <w:t xml:space="preserve">The central research question guiding this essay is: </w:t>
      </w:r>
      <w:r w:rsidRPr="6EB0AFBF" w:rsidR="59C2209E">
        <w:rPr>
          <w:rFonts w:ascii="Aptos" w:hAnsi="Aptos" w:eastAsia="Aptos" w:cs="Aptos"/>
          <w:b w:val="0"/>
          <w:bCs w:val="0"/>
          <w:noProof w:val="0"/>
          <w:sz w:val="24"/>
          <w:szCs w:val="24"/>
          <w:lang w:val="en-GB"/>
        </w:rPr>
        <w:t>How do cultural differences between the UK and UAE influence persuasive communication in business negotiations, and what strategic approaches can international managers use to overcome these barriers?</w:t>
      </w:r>
      <w:r w:rsidRPr="6EB0AFBF" w:rsidR="59C2209E">
        <w:rPr>
          <w:rFonts w:ascii="Aptos" w:hAnsi="Aptos" w:eastAsia="Aptos" w:cs="Aptos"/>
          <w:noProof w:val="0"/>
          <w:sz w:val="24"/>
          <w:szCs w:val="24"/>
          <w:lang w:val="en-GB"/>
        </w:rPr>
        <w:t xml:space="preserve"> To address this question, the essay draws on intercultural communication theories including Hall’s high‑ and low‑context communication, Hofstede’s cultural dimensions, Trompenaars’ relationship‑oriented framework, and BELF (Business English as a Lingua Franca). These theories provide a foundation for understanding how persuasion operates differently across cultures.</w:t>
      </w:r>
    </w:p>
    <w:p xmlns:wp14="http://schemas.microsoft.com/office/word/2010/wordml" w:rsidP="6EB0AFBF" wp14:paraId="147B0573" wp14:textId="0357D0CC">
      <w:pPr>
        <w:spacing w:before="240" w:beforeAutospacing="off" w:after="240" w:afterAutospacing="off"/>
      </w:pPr>
      <w:r w:rsidRPr="6EB0AFBF" w:rsidR="59C2209E">
        <w:rPr>
          <w:rFonts w:ascii="Aptos" w:hAnsi="Aptos" w:eastAsia="Aptos" w:cs="Aptos"/>
          <w:noProof w:val="0"/>
          <w:sz w:val="24"/>
          <w:szCs w:val="24"/>
          <w:lang w:val="en-GB"/>
        </w:rPr>
        <w:t>The essay is structured as follows. The literature review outlines key intercultural communication theories relevant to persuasion and defines essential concepts. The main analysis applies these theories to UK</w:t>
      </w:r>
      <w:r w:rsidRPr="6EB0AFBF" w:rsidR="784E21EE">
        <w:rPr>
          <w:rFonts w:ascii="Aptos" w:hAnsi="Aptos" w:eastAsia="Aptos" w:cs="Aptos"/>
          <w:noProof w:val="0"/>
          <w:sz w:val="24"/>
          <w:szCs w:val="24"/>
          <w:lang w:val="en-GB"/>
        </w:rPr>
        <w:t>-</w:t>
      </w:r>
      <w:r w:rsidRPr="6EB0AFBF" w:rsidR="59C2209E">
        <w:rPr>
          <w:rFonts w:ascii="Aptos" w:hAnsi="Aptos" w:eastAsia="Aptos" w:cs="Aptos"/>
          <w:noProof w:val="0"/>
          <w:sz w:val="24"/>
          <w:szCs w:val="24"/>
          <w:lang w:val="en-GB"/>
        </w:rPr>
        <w:t>UAE business negotiations, using real‑world examples from the energy, construction, and finance sectors. It examines communication challenges and evaluates strategic approaches for international managers. The conclusion summarises key insights and reflects on the implications for global business practice.</w:t>
      </w:r>
    </w:p>
    <w:p xmlns:wp14="http://schemas.microsoft.com/office/word/2010/wordml" w:rsidP="6EB0AFBF" wp14:paraId="3438A4F8" wp14:textId="4919483E">
      <w:pPr>
        <w:pStyle w:val="Heading1"/>
        <w:spacing w:before="322" w:beforeAutospacing="off" w:after="322" w:afterAutospacing="off"/>
        <w:jc w:val="center"/>
        <w:rPr>
          <w:rFonts w:ascii="Aptos" w:hAnsi="Aptos" w:eastAsia="Aptos" w:cs="Aptos"/>
          <w:b w:val="0"/>
          <w:bCs w:val="0"/>
          <w:noProof w:val="0"/>
          <w:color w:val="auto"/>
          <w:sz w:val="28"/>
          <w:szCs w:val="28"/>
          <w:lang w:val="en-GB"/>
        </w:rPr>
      </w:pPr>
      <w:r w:rsidRPr="6EB0AFBF" w:rsidR="3A917CAF">
        <w:rPr>
          <w:rFonts w:ascii="Aptos" w:hAnsi="Aptos" w:eastAsia="Aptos" w:cs="Aptos"/>
          <w:b w:val="0"/>
          <w:bCs w:val="0"/>
          <w:noProof w:val="0"/>
          <w:color w:val="auto"/>
          <w:sz w:val="28"/>
          <w:szCs w:val="28"/>
          <w:lang w:val="en-GB"/>
        </w:rPr>
        <w:t>2.</w:t>
      </w:r>
      <w:r w:rsidRPr="6EB0AFBF" w:rsidR="59C2209E">
        <w:rPr>
          <w:rFonts w:ascii="Aptos" w:hAnsi="Aptos" w:eastAsia="Aptos" w:cs="Aptos"/>
          <w:b w:val="0"/>
          <w:bCs w:val="0"/>
          <w:noProof w:val="0"/>
          <w:color w:val="auto"/>
          <w:sz w:val="28"/>
          <w:szCs w:val="28"/>
          <w:lang w:val="en-GB"/>
        </w:rPr>
        <w:t xml:space="preserve">Literature Review </w:t>
      </w:r>
    </w:p>
    <w:p xmlns:wp14="http://schemas.microsoft.com/office/word/2010/wordml" w:rsidP="6EB0AFBF" wp14:paraId="355E356E" wp14:textId="14D0E551">
      <w:pPr>
        <w:spacing w:before="240" w:beforeAutospacing="off" w:after="240" w:afterAutospacing="off"/>
      </w:pPr>
      <w:r w:rsidRPr="6EB0AFBF" w:rsidR="59C2209E">
        <w:rPr>
          <w:rFonts w:ascii="Aptos" w:hAnsi="Aptos" w:eastAsia="Aptos" w:cs="Aptos"/>
          <w:noProof w:val="0"/>
          <w:sz w:val="24"/>
          <w:szCs w:val="24"/>
          <w:lang w:val="en-GB"/>
        </w:rPr>
        <w:t>Persuasion in international business communication is shaped by cultural norms that influence how individuals interpret messages, build trust, and make decisions. Several intercultural theories provide insight into these dynamics.</w:t>
      </w:r>
    </w:p>
    <w:p xmlns:wp14="http://schemas.microsoft.com/office/word/2010/wordml" w:rsidP="6EB0AFBF" wp14:paraId="580BB9A6" wp14:textId="5BF6545F">
      <w:pPr>
        <w:pStyle w:val="Heading2"/>
        <w:spacing w:before="299" w:beforeAutospacing="off" w:after="299" w:afterAutospacing="off"/>
        <w:rPr>
          <w:rFonts w:ascii="Aptos" w:hAnsi="Aptos" w:eastAsia="Aptos" w:cs="Aptos"/>
          <w:b w:val="0"/>
          <w:bCs w:val="0"/>
          <w:noProof w:val="0"/>
          <w:color w:val="auto"/>
          <w:sz w:val="24"/>
          <w:szCs w:val="24"/>
          <w:lang w:val="en-GB"/>
        </w:rPr>
      </w:pPr>
      <w:r w:rsidRPr="6EB0AFBF" w:rsidR="01C3F270">
        <w:rPr>
          <w:rFonts w:ascii="Aptos" w:hAnsi="Aptos" w:eastAsia="Aptos" w:cs="Aptos"/>
          <w:b w:val="0"/>
          <w:bCs w:val="0"/>
          <w:noProof w:val="0"/>
          <w:color w:val="auto"/>
          <w:sz w:val="24"/>
          <w:szCs w:val="24"/>
          <w:lang w:val="en-GB"/>
        </w:rPr>
        <w:t xml:space="preserve">2.1 </w:t>
      </w:r>
      <w:r w:rsidRPr="6EB0AFBF" w:rsidR="59C2209E">
        <w:rPr>
          <w:rFonts w:ascii="Aptos" w:hAnsi="Aptos" w:eastAsia="Aptos" w:cs="Aptos"/>
          <w:b w:val="0"/>
          <w:bCs w:val="0"/>
          <w:noProof w:val="0"/>
          <w:color w:val="auto"/>
          <w:sz w:val="24"/>
          <w:szCs w:val="24"/>
          <w:lang w:val="en-GB"/>
        </w:rPr>
        <w:t>Hall’s High‑ and Low‑Context Communication</w:t>
      </w:r>
    </w:p>
    <w:p xmlns:wp14="http://schemas.microsoft.com/office/word/2010/wordml" w:rsidP="6EB0AFBF" wp14:paraId="3CE71989" wp14:textId="02D66739">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 xml:space="preserve">Edward Hall (1976) distinguishes between </w:t>
      </w:r>
      <w:r w:rsidRPr="6EB0AFBF" w:rsidR="59C2209E">
        <w:rPr>
          <w:rFonts w:ascii="Aptos" w:hAnsi="Aptos" w:eastAsia="Aptos" w:cs="Aptos"/>
          <w:b w:val="0"/>
          <w:bCs w:val="0"/>
          <w:noProof w:val="0"/>
          <w:color w:val="auto"/>
          <w:sz w:val="24"/>
          <w:szCs w:val="24"/>
          <w:lang w:val="en-GB"/>
        </w:rPr>
        <w:t>high‑context</w:t>
      </w:r>
      <w:r w:rsidRPr="6EB0AFBF" w:rsidR="59C2209E">
        <w:rPr>
          <w:rFonts w:ascii="Aptos" w:hAnsi="Aptos" w:eastAsia="Aptos" w:cs="Aptos"/>
          <w:b w:val="0"/>
          <w:bCs w:val="0"/>
          <w:noProof w:val="0"/>
          <w:color w:val="auto"/>
          <w:sz w:val="24"/>
          <w:szCs w:val="24"/>
          <w:lang w:val="en-GB"/>
        </w:rPr>
        <w:t xml:space="preserve"> cultures, where meaning is conveyed implicitly through relationships and non‑verbal cues, and </w:t>
      </w:r>
      <w:r w:rsidRPr="6EB0AFBF" w:rsidR="59C2209E">
        <w:rPr>
          <w:rFonts w:ascii="Aptos" w:hAnsi="Aptos" w:eastAsia="Aptos" w:cs="Aptos"/>
          <w:b w:val="0"/>
          <w:bCs w:val="0"/>
          <w:noProof w:val="0"/>
          <w:color w:val="auto"/>
          <w:sz w:val="24"/>
          <w:szCs w:val="24"/>
          <w:lang w:val="en-GB"/>
        </w:rPr>
        <w:t>low‑context</w:t>
      </w:r>
      <w:r w:rsidRPr="6EB0AFBF" w:rsidR="59C2209E">
        <w:rPr>
          <w:rFonts w:ascii="Aptos" w:hAnsi="Aptos" w:eastAsia="Aptos" w:cs="Aptos"/>
          <w:b w:val="0"/>
          <w:bCs w:val="0"/>
          <w:noProof w:val="0"/>
          <w:color w:val="auto"/>
          <w:sz w:val="24"/>
          <w:szCs w:val="24"/>
          <w:lang w:val="en-GB"/>
        </w:rPr>
        <w:t xml:space="preserve"> cultures, where communication is explicit and direct. The UAE is considered a high‑context culture, while the UK is predominantly low‑context. This distinction is central to understanding persuasive communication, as high‑context cultures emphasise relational trust, </w:t>
      </w:r>
      <w:r w:rsidRPr="6EB0AFBF" w:rsidR="59C2209E">
        <w:rPr>
          <w:rFonts w:ascii="Aptos" w:hAnsi="Aptos" w:eastAsia="Aptos" w:cs="Aptos"/>
          <w:b w:val="0"/>
          <w:bCs w:val="0"/>
          <w:noProof w:val="0"/>
          <w:color w:val="auto"/>
          <w:sz w:val="24"/>
          <w:szCs w:val="24"/>
          <w:lang w:val="en-GB"/>
        </w:rPr>
        <w:t>whereas</w:t>
      </w:r>
      <w:r w:rsidRPr="6EB0AFBF" w:rsidR="59C2209E">
        <w:rPr>
          <w:rFonts w:ascii="Aptos" w:hAnsi="Aptos" w:eastAsia="Aptos" w:cs="Aptos"/>
          <w:b w:val="0"/>
          <w:bCs w:val="0"/>
          <w:noProof w:val="0"/>
          <w:color w:val="auto"/>
          <w:sz w:val="24"/>
          <w:szCs w:val="24"/>
          <w:lang w:val="en-GB"/>
        </w:rPr>
        <w:t xml:space="preserve"> low‑context cultures prioritise clarity and evidence.</w:t>
      </w:r>
    </w:p>
    <w:p xmlns:wp14="http://schemas.microsoft.com/office/word/2010/wordml" w:rsidP="6EB0AFBF" wp14:paraId="3744855E" wp14:textId="3698F132">
      <w:pPr>
        <w:pStyle w:val="Heading2"/>
        <w:spacing w:before="299" w:beforeAutospacing="off" w:after="299" w:afterAutospacing="off"/>
        <w:rPr>
          <w:rFonts w:ascii="Aptos" w:hAnsi="Aptos" w:eastAsia="Aptos" w:cs="Aptos"/>
          <w:b w:val="0"/>
          <w:bCs w:val="0"/>
          <w:noProof w:val="0"/>
          <w:color w:val="auto"/>
          <w:sz w:val="24"/>
          <w:szCs w:val="24"/>
          <w:lang w:val="en-GB"/>
        </w:rPr>
      </w:pPr>
      <w:r w:rsidRPr="6EB0AFBF" w:rsidR="658AD949">
        <w:rPr>
          <w:rFonts w:ascii="Aptos" w:hAnsi="Aptos" w:eastAsia="Aptos" w:cs="Aptos"/>
          <w:b w:val="0"/>
          <w:bCs w:val="0"/>
          <w:noProof w:val="0"/>
          <w:color w:val="auto"/>
          <w:sz w:val="24"/>
          <w:szCs w:val="24"/>
          <w:lang w:val="en-GB"/>
        </w:rPr>
        <w:t xml:space="preserve">2.2 </w:t>
      </w:r>
      <w:r w:rsidRPr="6EB0AFBF" w:rsidR="59C2209E">
        <w:rPr>
          <w:rFonts w:ascii="Aptos" w:hAnsi="Aptos" w:eastAsia="Aptos" w:cs="Aptos"/>
          <w:b w:val="0"/>
          <w:bCs w:val="0"/>
          <w:noProof w:val="0"/>
          <w:color w:val="auto"/>
          <w:sz w:val="24"/>
          <w:szCs w:val="24"/>
          <w:lang w:val="en-GB"/>
        </w:rPr>
        <w:t>Hofstede’s Cultural Dimensions</w:t>
      </w:r>
    </w:p>
    <w:p xmlns:wp14="http://schemas.microsoft.com/office/word/2010/wordml" w:rsidP="6EB0AFBF" wp14:paraId="2875BF08" wp14:textId="4EB65785">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 xml:space="preserve">Hofstede’s (2001) model </w:t>
      </w:r>
      <w:r w:rsidRPr="6EB0AFBF" w:rsidR="59C2209E">
        <w:rPr>
          <w:rFonts w:ascii="Aptos" w:hAnsi="Aptos" w:eastAsia="Aptos" w:cs="Aptos"/>
          <w:b w:val="0"/>
          <w:bCs w:val="0"/>
          <w:noProof w:val="0"/>
          <w:color w:val="auto"/>
          <w:sz w:val="24"/>
          <w:szCs w:val="24"/>
          <w:lang w:val="en-GB"/>
        </w:rPr>
        <w:t>identifies</w:t>
      </w:r>
      <w:r w:rsidRPr="6EB0AFBF" w:rsidR="59C2209E">
        <w:rPr>
          <w:rFonts w:ascii="Aptos" w:hAnsi="Aptos" w:eastAsia="Aptos" w:cs="Aptos"/>
          <w:b w:val="0"/>
          <w:bCs w:val="0"/>
          <w:noProof w:val="0"/>
          <w:color w:val="auto"/>
          <w:sz w:val="24"/>
          <w:szCs w:val="24"/>
          <w:lang w:val="en-GB"/>
        </w:rPr>
        <w:t xml:space="preserve"> several dimensions relevant to persuasion:</w:t>
      </w:r>
    </w:p>
    <w:p xmlns:wp14="http://schemas.microsoft.com/office/word/2010/wordml" w:rsidP="6EB0AFBF" wp14:paraId="14DB35FC" wp14:textId="30B35D6F">
      <w:pPr>
        <w:pStyle w:val="ListParagraph"/>
        <w:numPr>
          <w:ilvl w:val="0"/>
          <w:numId w:val="1"/>
        </w:num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Power Distance:</w:t>
      </w:r>
      <w:r w:rsidRPr="6EB0AFBF" w:rsidR="59C2209E">
        <w:rPr>
          <w:rFonts w:ascii="Aptos" w:hAnsi="Aptos" w:eastAsia="Aptos" w:cs="Aptos"/>
          <w:b w:val="0"/>
          <w:bCs w:val="0"/>
          <w:noProof w:val="0"/>
          <w:color w:val="auto"/>
          <w:sz w:val="24"/>
          <w:szCs w:val="24"/>
          <w:lang w:val="en-GB"/>
        </w:rPr>
        <w:t xml:space="preserve"> The UAE scores high, </w:t>
      </w:r>
      <w:r w:rsidRPr="6EB0AFBF" w:rsidR="59C2209E">
        <w:rPr>
          <w:rFonts w:ascii="Aptos" w:hAnsi="Aptos" w:eastAsia="Aptos" w:cs="Aptos"/>
          <w:b w:val="0"/>
          <w:bCs w:val="0"/>
          <w:noProof w:val="0"/>
          <w:color w:val="auto"/>
          <w:sz w:val="24"/>
          <w:szCs w:val="24"/>
          <w:lang w:val="en-GB"/>
        </w:rPr>
        <w:t>indicating</w:t>
      </w:r>
      <w:r w:rsidRPr="6EB0AFBF" w:rsidR="59C2209E">
        <w:rPr>
          <w:rFonts w:ascii="Aptos" w:hAnsi="Aptos" w:eastAsia="Aptos" w:cs="Aptos"/>
          <w:b w:val="0"/>
          <w:bCs w:val="0"/>
          <w:noProof w:val="0"/>
          <w:color w:val="auto"/>
          <w:sz w:val="24"/>
          <w:szCs w:val="24"/>
          <w:lang w:val="en-GB"/>
        </w:rPr>
        <w:t xml:space="preserve"> acceptance of hierarchy; the UK scores lower, favouring egalitarianism.</w:t>
      </w:r>
    </w:p>
    <w:p xmlns:wp14="http://schemas.microsoft.com/office/word/2010/wordml" w:rsidP="6EB0AFBF" wp14:paraId="4DA1FEA3" wp14:textId="04E02AC3">
      <w:pPr>
        <w:pStyle w:val="ListParagraph"/>
        <w:numPr>
          <w:ilvl w:val="0"/>
          <w:numId w:val="1"/>
        </w:num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Individualism vs. Collectivism:</w:t>
      </w:r>
      <w:r w:rsidRPr="6EB0AFBF" w:rsidR="59C2209E">
        <w:rPr>
          <w:rFonts w:ascii="Aptos" w:hAnsi="Aptos" w:eastAsia="Aptos" w:cs="Aptos"/>
          <w:b w:val="0"/>
          <w:bCs w:val="0"/>
          <w:noProof w:val="0"/>
          <w:color w:val="auto"/>
          <w:sz w:val="24"/>
          <w:szCs w:val="24"/>
          <w:lang w:val="en-GB"/>
        </w:rPr>
        <w:t xml:space="preserve"> The UK is highly individualistic; the UAE leans toward collectivism, valuing group harmony.</w:t>
      </w:r>
    </w:p>
    <w:p xmlns:wp14="http://schemas.microsoft.com/office/word/2010/wordml" w:rsidP="6EB0AFBF" wp14:paraId="78313DD6" wp14:textId="736C4BFB">
      <w:pPr>
        <w:pStyle w:val="ListParagraph"/>
        <w:numPr>
          <w:ilvl w:val="0"/>
          <w:numId w:val="1"/>
        </w:num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Uncertainty Avoidance:</w:t>
      </w:r>
      <w:r w:rsidRPr="6EB0AFBF" w:rsidR="59C2209E">
        <w:rPr>
          <w:rFonts w:ascii="Aptos" w:hAnsi="Aptos" w:eastAsia="Aptos" w:cs="Aptos"/>
          <w:b w:val="0"/>
          <w:bCs w:val="0"/>
          <w:noProof w:val="0"/>
          <w:color w:val="auto"/>
          <w:sz w:val="24"/>
          <w:szCs w:val="24"/>
          <w:lang w:val="en-GB"/>
        </w:rPr>
        <w:t xml:space="preserve"> The UAE’s moderate‑to‑high score suggests a preference for structured agreements, while the UK is more comfortable with ambiguity.</w:t>
      </w:r>
    </w:p>
    <w:p xmlns:wp14="http://schemas.microsoft.com/office/word/2010/wordml" w:rsidP="6EB0AFBF" wp14:paraId="164F60CE" wp14:textId="04E408DE">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These dimensions influence how negotiators present arguments, evaluate proposals, and build credibility.</w:t>
      </w:r>
    </w:p>
    <w:p xmlns:wp14="http://schemas.microsoft.com/office/word/2010/wordml" w:rsidP="6EB0AFBF" wp14:paraId="2084212D" wp14:textId="24E57BD0">
      <w:pPr>
        <w:pStyle w:val="Heading2"/>
        <w:spacing w:before="299" w:beforeAutospacing="off" w:after="299" w:afterAutospacing="off"/>
        <w:rPr>
          <w:rFonts w:ascii="Aptos" w:hAnsi="Aptos" w:eastAsia="Aptos" w:cs="Aptos"/>
          <w:b w:val="0"/>
          <w:bCs w:val="0"/>
          <w:noProof w:val="0"/>
          <w:color w:val="auto"/>
          <w:sz w:val="24"/>
          <w:szCs w:val="24"/>
          <w:lang w:val="en-GB"/>
        </w:rPr>
      </w:pPr>
      <w:r w:rsidRPr="6EB0AFBF" w:rsidR="790F9800">
        <w:rPr>
          <w:rFonts w:ascii="Aptos" w:hAnsi="Aptos" w:eastAsia="Aptos" w:cs="Aptos"/>
          <w:b w:val="0"/>
          <w:bCs w:val="0"/>
          <w:noProof w:val="0"/>
          <w:color w:val="auto"/>
          <w:sz w:val="24"/>
          <w:szCs w:val="24"/>
          <w:lang w:val="en-GB"/>
        </w:rPr>
        <w:t xml:space="preserve">2.2 </w:t>
      </w:r>
      <w:r w:rsidRPr="6EB0AFBF" w:rsidR="59C2209E">
        <w:rPr>
          <w:rFonts w:ascii="Aptos" w:hAnsi="Aptos" w:eastAsia="Aptos" w:cs="Aptos"/>
          <w:b w:val="0"/>
          <w:bCs w:val="0"/>
          <w:noProof w:val="0"/>
          <w:color w:val="auto"/>
          <w:sz w:val="24"/>
          <w:szCs w:val="24"/>
          <w:lang w:val="en-GB"/>
        </w:rPr>
        <w:t>Trompenaars’ Relationship‑Oriented Framework</w:t>
      </w:r>
    </w:p>
    <w:p xmlns:wp14="http://schemas.microsoft.com/office/word/2010/wordml" w:rsidP="6EB0AFBF" wp14:paraId="258B1C98" wp14:textId="43E6653F">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 xml:space="preserve">Trompenaars and Hampden‑Turner (1998) distinguish between </w:t>
      </w:r>
      <w:r w:rsidRPr="6EB0AFBF" w:rsidR="59C2209E">
        <w:rPr>
          <w:rFonts w:ascii="Aptos" w:hAnsi="Aptos" w:eastAsia="Aptos" w:cs="Aptos"/>
          <w:b w:val="0"/>
          <w:bCs w:val="0"/>
          <w:noProof w:val="0"/>
          <w:color w:val="auto"/>
          <w:sz w:val="24"/>
          <w:szCs w:val="24"/>
          <w:lang w:val="en-GB"/>
        </w:rPr>
        <w:t>specific</w:t>
      </w:r>
      <w:r w:rsidRPr="6EB0AFBF" w:rsidR="59C2209E">
        <w:rPr>
          <w:rFonts w:ascii="Aptos" w:hAnsi="Aptos" w:eastAsia="Aptos" w:cs="Aptos"/>
          <w:b w:val="0"/>
          <w:bCs w:val="0"/>
          <w:noProof w:val="0"/>
          <w:color w:val="auto"/>
          <w:sz w:val="24"/>
          <w:szCs w:val="24"/>
          <w:lang w:val="en-GB"/>
        </w:rPr>
        <w:t xml:space="preserve"> cultures (task‑oriented, such as the UK) and </w:t>
      </w:r>
      <w:r w:rsidRPr="6EB0AFBF" w:rsidR="59C2209E">
        <w:rPr>
          <w:rFonts w:ascii="Aptos" w:hAnsi="Aptos" w:eastAsia="Aptos" w:cs="Aptos"/>
          <w:b w:val="0"/>
          <w:bCs w:val="0"/>
          <w:noProof w:val="0"/>
          <w:color w:val="auto"/>
          <w:sz w:val="24"/>
          <w:szCs w:val="24"/>
          <w:lang w:val="en-GB"/>
        </w:rPr>
        <w:t>diffuse</w:t>
      </w:r>
      <w:r w:rsidRPr="6EB0AFBF" w:rsidR="59C2209E">
        <w:rPr>
          <w:rFonts w:ascii="Aptos" w:hAnsi="Aptos" w:eastAsia="Aptos" w:cs="Aptos"/>
          <w:b w:val="0"/>
          <w:bCs w:val="0"/>
          <w:noProof w:val="0"/>
          <w:color w:val="auto"/>
          <w:sz w:val="24"/>
          <w:szCs w:val="24"/>
          <w:lang w:val="en-GB"/>
        </w:rPr>
        <w:t xml:space="preserve"> cultures (relationship‑oriented, such as the UAE). In diffuse cultures, persuasion is inseparable from personal trust, hospitality, and long‑term rapport.</w:t>
      </w:r>
    </w:p>
    <w:p xmlns:wp14="http://schemas.microsoft.com/office/word/2010/wordml" w:rsidP="6EB0AFBF" wp14:paraId="2BCC1028" wp14:textId="48810FD7">
      <w:pPr>
        <w:pStyle w:val="Heading2"/>
        <w:spacing w:before="299" w:beforeAutospacing="off" w:after="299" w:afterAutospacing="off"/>
        <w:rPr>
          <w:rFonts w:ascii="Aptos" w:hAnsi="Aptos" w:eastAsia="Aptos" w:cs="Aptos"/>
          <w:b w:val="0"/>
          <w:bCs w:val="0"/>
          <w:noProof w:val="0"/>
          <w:color w:val="auto"/>
          <w:sz w:val="24"/>
          <w:szCs w:val="24"/>
          <w:lang w:val="en-GB"/>
        </w:rPr>
      </w:pPr>
      <w:r w:rsidRPr="6EB0AFBF" w:rsidR="5B3F418B">
        <w:rPr>
          <w:rFonts w:ascii="Aptos" w:hAnsi="Aptos" w:eastAsia="Aptos" w:cs="Aptos"/>
          <w:b w:val="0"/>
          <w:bCs w:val="0"/>
          <w:noProof w:val="0"/>
          <w:color w:val="auto"/>
          <w:sz w:val="24"/>
          <w:szCs w:val="24"/>
          <w:lang w:val="en-GB"/>
        </w:rPr>
        <w:t xml:space="preserve">2.3 </w:t>
      </w:r>
      <w:r w:rsidRPr="6EB0AFBF" w:rsidR="59C2209E">
        <w:rPr>
          <w:rFonts w:ascii="Aptos" w:hAnsi="Aptos" w:eastAsia="Aptos" w:cs="Aptos"/>
          <w:b w:val="0"/>
          <w:bCs w:val="0"/>
          <w:noProof w:val="0"/>
          <w:color w:val="auto"/>
          <w:sz w:val="24"/>
          <w:szCs w:val="24"/>
          <w:lang w:val="en-GB"/>
        </w:rPr>
        <w:t>BELF (Business English as a Lingua Franca)</w:t>
      </w:r>
    </w:p>
    <w:p xmlns:wp14="http://schemas.microsoft.com/office/word/2010/wordml" w:rsidP="6EB0AFBF" wp14:paraId="296D8E15" wp14:textId="021B7B11">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 xml:space="preserve">BELF, introduced by </w:t>
      </w:r>
      <w:r w:rsidRPr="6EB0AFBF" w:rsidR="59C2209E">
        <w:rPr>
          <w:rFonts w:ascii="Aptos" w:hAnsi="Aptos" w:eastAsia="Aptos" w:cs="Aptos"/>
          <w:b w:val="0"/>
          <w:bCs w:val="0"/>
          <w:noProof w:val="0"/>
          <w:color w:val="auto"/>
          <w:sz w:val="24"/>
          <w:szCs w:val="24"/>
          <w:lang w:val="en-GB"/>
        </w:rPr>
        <w:t>Louhiala</w:t>
      </w:r>
      <w:r w:rsidRPr="6EB0AFBF" w:rsidR="59C2209E">
        <w:rPr>
          <w:rFonts w:ascii="Aptos" w:hAnsi="Aptos" w:eastAsia="Aptos" w:cs="Aptos"/>
          <w:b w:val="0"/>
          <w:bCs w:val="0"/>
          <w:noProof w:val="0"/>
          <w:color w:val="auto"/>
          <w:sz w:val="24"/>
          <w:szCs w:val="24"/>
          <w:lang w:val="en-GB"/>
        </w:rPr>
        <w:t xml:space="preserve">‑Salminen and </w:t>
      </w:r>
      <w:r w:rsidRPr="6EB0AFBF" w:rsidR="59C2209E">
        <w:rPr>
          <w:rFonts w:ascii="Aptos" w:hAnsi="Aptos" w:eastAsia="Aptos" w:cs="Aptos"/>
          <w:b w:val="0"/>
          <w:bCs w:val="0"/>
          <w:noProof w:val="0"/>
          <w:color w:val="auto"/>
          <w:sz w:val="24"/>
          <w:szCs w:val="24"/>
          <w:lang w:val="en-GB"/>
        </w:rPr>
        <w:t>Kankaanranta</w:t>
      </w:r>
      <w:r w:rsidRPr="6EB0AFBF" w:rsidR="59C2209E">
        <w:rPr>
          <w:rFonts w:ascii="Aptos" w:hAnsi="Aptos" w:eastAsia="Aptos" w:cs="Aptos"/>
          <w:b w:val="0"/>
          <w:bCs w:val="0"/>
          <w:noProof w:val="0"/>
          <w:color w:val="auto"/>
          <w:sz w:val="24"/>
          <w:szCs w:val="24"/>
          <w:lang w:val="en-GB"/>
        </w:rPr>
        <w:t xml:space="preserve"> (2012), highlights how English is used as a shared communication tool in international business. In UK–UAE negotiations, English often serves as the lingua franca, but linguistic </w:t>
      </w:r>
      <w:r w:rsidRPr="6EB0AFBF" w:rsidR="59C2209E">
        <w:rPr>
          <w:rFonts w:ascii="Aptos" w:hAnsi="Aptos" w:eastAsia="Aptos" w:cs="Aptos"/>
          <w:b w:val="0"/>
          <w:bCs w:val="0"/>
          <w:noProof w:val="0"/>
          <w:color w:val="auto"/>
          <w:sz w:val="24"/>
          <w:szCs w:val="24"/>
          <w:lang w:val="en-GB"/>
        </w:rPr>
        <w:t>proficiency</w:t>
      </w:r>
      <w:r w:rsidRPr="6EB0AFBF" w:rsidR="59C2209E">
        <w:rPr>
          <w:rFonts w:ascii="Aptos" w:hAnsi="Aptos" w:eastAsia="Aptos" w:cs="Aptos"/>
          <w:b w:val="0"/>
          <w:bCs w:val="0"/>
          <w:noProof w:val="0"/>
          <w:color w:val="auto"/>
          <w:sz w:val="24"/>
          <w:szCs w:val="24"/>
          <w:lang w:val="en-GB"/>
        </w:rPr>
        <w:t xml:space="preserve"> does not </w:t>
      </w:r>
      <w:r w:rsidRPr="6EB0AFBF" w:rsidR="59C2209E">
        <w:rPr>
          <w:rFonts w:ascii="Aptos" w:hAnsi="Aptos" w:eastAsia="Aptos" w:cs="Aptos"/>
          <w:b w:val="0"/>
          <w:bCs w:val="0"/>
          <w:noProof w:val="0"/>
          <w:color w:val="auto"/>
          <w:sz w:val="24"/>
          <w:szCs w:val="24"/>
          <w:lang w:val="en-GB"/>
        </w:rPr>
        <w:t>eliminate</w:t>
      </w:r>
      <w:r w:rsidRPr="6EB0AFBF" w:rsidR="59C2209E">
        <w:rPr>
          <w:rFonts w:ascii="Aptos" w:hAnsi="Aptos" w:eastAsia="Aptos" w:cs="Aptos"/>
          <w:b w:val="0"/>
          <w:bCs w:val="0"/>
          <w:noProof w:val="0"/>
          <w:color w:val="auto"/>
          <w:sz w:val="24"/>
          <w:szCs w:val="24"/>
          <w:lang w:val="en-GB"/>
        </w:rPr>
        <w:t xml:space="preserve"> cultural differences in meaning, tone, or persuasive style.</w:t>
      </w:r>
    </w:p>
    <w:p xmlns:wp14="http://schemas.microsoft.com/office/word/2010/wordml" w:rsidP="6EB0AFBF" wp14:paraId="15EF7E45" wp14:textId="129B5648">
      <w:pPr>
        <w:pStyle w:val="Heading2"/>
        <w:spacing w:before="299" w:beforeAutospacing="off" w:after="299"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Key Concepts</w:t>
      </w:r>
    </w:p>
    <w:p xmlns:wp14="http://schemas.microsoft.com/office/word/2010/wordml" w:rsidP="6EB0AFBF" wp14:paraId="12754C45" wp14:textId="085AEC5B">
      <w:pPr>
        <w:pStyle w:val="ListParagraph"/>
        <w:numPr>
          <w:ilvl w:val="0"/>
          <w:numId w:val="2"/>
        </w:num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Persuasion:</w:t>
      </w:r>
      <w:r w:rsidRPr="6EB0AFBF" w:rsidR="59C2209E">
        <w:rPr>
          <w:rFonts w:ascii="Aptos" w:hAnsi="Aptos" w:eastAsia="Aptos" w:cs="Aptos"/>
          <w:b w:val="0"/>
          <w:bCs w:val="0"/>
          <w:noProof w:val="0"/>
          <w:color w:val="auto"/>
          <w:sz w:val="24"/>
          <w:szCs w:val="24"/>
          <w:lang w:val="en-GB"/>
        </w:rPr>
        <w:t xml:space="preserve"> The process of influencing attitudes or decisions through communication.</w:t>
      </w:r>
    </w:p>
    <w:p xmlns:wp14="http://schemas.microsoft.com/office/word/2010/wordml" w:rsidP="6EB0AFBF" wp14:paraId="7949CF73" wp14:textId="061798CA">
      <w:pPr>
        <w:pStyle w:val="ListParagraph"/>
        <w:numPr>
          <w:ilvl w:val="0"/>
          <w:numId w:val="2"/>
        </w:num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Relationship‑building:</w:t>
      </w:r>
      <w:r w:rsidRPr="6EB0AFBF" w:rsidR="59C2209E">
        <w:rPr>
          <w:rFonts w:ascii="Aptos" w:hAnsi="Aptos" w:eastAsia="Aptos" w:cs="Aptos"/>
          <w:b w:val="0"/>
          <w:bCs w:val="0"/>
          <w:noProof w:val="0"/>
          <w:color w:val="auto"/>
          <w:sz w:val="24"/>
          <w:szCs w:val="24"/>
          <w:lang w:val="en-GB"/>
        </w:rPr>
        <w:t xml:space="preserve"> </w:t>
      </w:r>
      <w:r w:rsidRPr="6EB0AFBF" w:rsidR="59C2209E">
        <w:rPr>
          <w:rFonts w:ascii="Aptos" w:hAnsi="Aptos" w:eastAsia="Aptos" w:cs="Aptos"/>
          <w:b w:val="0"/>
          <w:bCs w:val="0"/>
          <w:noProof w:val="0"/>
          <w:color w:val="auto"/>
          <w:sz w:val="24"/>
          <w:szCs w:val="24"/>
          <w:lang w:val="en-GB"/>
        </w:rPr>
        <w:t>Establishing</w:t>
      </w:r>
      <w:r w:rsidRPr="6EB0AFBF" w:rsidR="59C2209E">
        <w:rPr>
          <w:rFonts w:ascii="Aptos" w:hAnsi="Aptos" w:eastAsia="Aptos" w:cs="Aptos"/>
          <w:b w:val="0"/>
          <w:bCs w:val="0"/>
          <w:noProof w:val="0"/>
          <w:color w:val="auto"/>
          <w:sz w:val="24"/>
          <w:szCs w:val="24"/>
          <w:lang w:val="en-GB"/>
        </w:rPr>
        <w:t xml:space="preserve"> trust and rapport, often a prerequisite for persuasion in high‑context cultures.</w:t>
      </w:r>
    </w:p>
    <w:p xmlns:wp14="http://schemas.microsoft.com/office/word/2010/wordml" w:rsidP="6EB0AFBF" wp14:paraId="739EFCC6" wp14:textId="19B39436">
      <w:pPr>
        <w:pStyle w:val="ListParagraph"/>
        <w:numPr>
          <w:ilvl w:val="0"/>
          <w:numId w:val="2"/>
        </w:num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Face:</w:t>
      </w:r>
      <w:r w:rsidRPr="6EB0AFBF" w:rsidR="59C2209E">
        <w:rPr>
          <w:rFonts w:ascii="Aptos" w:hAnsi="Aptos" w:eastAsia="Aptos" w:cs="Aptos"/>
          <w:b w:val="0"/>
          <w:bCs w:val="0"/>
          <w:noProof w:val="0"/>
          <w:color w:val="auto"/>
          <w:sz w:val="24"/>
          <w:szCs w:val="24"/>
          <w:lang w:val="en-GB"/>
        </w:rPr>
        <w:t xml:space="preserve"> The social value a person claims for themselves; </w:t>
      </w:r>
      <w:r w:rsidRPr="6EB0AFBF" w:rsidR="59C2209E">
        <w:rPr>
          <w:rFonts w:ascii="Aptos" w:hAnsi="Aptos" w:eastAsia="Aptos" w:cs="Aptos"/>
          <w:b w:val="0"/>
          <w:bCs w:val="0"/>
          <w:noProof w:val="0"/>
          <w:color w:val="auto"/>
          <w:sz w:val="24"/>
          <w:szCs w:val="24"/>
          <w:lang w:val="en-GB"/>
        </w:rPr>
        <w:t>maintaining</w:t>
      </w:r>
      <w:r w:rsidRPr="6EB0AFBF" w:rsidR="59C2209E">
        <w:rPr>
          <w:rFonts w:ascii="Aptos" w:hAnsi="Aptos" w:eastAsia="Aptos" w:cs="Aptos"/>
          <w:b w:val="0"/>
          <w:bCs w:val="0"/>
          <w:noProof w:val="0"/>
          <w:color w:val="auto"/>
          <w:sz w:val="24"/>
          <w:szCs w:val="24"/>
          <w:lang w:val="en-GB"/>
        </w:rPr>
        <w:t xml:space="preserve"> face is crucial in Middle Eastern communication (Ting‑Toomey, 2005).</w:t>
      </w:r>
    </w:p>
    <w:p xmlns:wp14="http://schemas.microsoft.com/office/word/2010/wordml" w:rsidP="6EB0AFBF" wp14:paraId="70AC0FEB" wp14:textId="7A1235D8">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 xml:space="preserve">Together, these theories and concepts provide a framework for analysing how persuasion </w:t>
      </w:r>
      <w:r w:rsidRPr="6EB0AFBF" w:rsidR="59C2209E">
        <w:rPr>
          <w:rFonts w:ascii="Aptos" w:hAnsi="Aptos" w:eastAsia="Aptos" w:cs="Aptos"/>
          <w:b w:val="0"/>
          <w:bCs w:val="0"/>
          <w:noProof w:val="0"/>
          <w:color w:val="auto"/>
          <w:sz w:val="24"/>
          <w:szCs w:val="24"/>
          <w:lang w:val="en-GB"/>
        </w:rPr>
        <w:t>operates</w:t>
      </w:r>
      <w:r w:rsidRPr="6EB0AFBF" w:rsidR="59C2209E">
        <w:rPr>
          <w:rFonts w:ascii="Aptos" w:hAnsi="Aptos" w:eastAsia="Aptos" w:cs="Aptos"/>
          <w:b w:val="0"/>
          <w:bCs w:val="0"/>
          <w:noProof w:val="0"/>
          <w:color w:val="auto"/>
          <w:sz w:val="24"/>
          <w:szCs w:val="24"/>
          <w:lang w:val="en-GB"/>
        </w:rPr>
        <w:t xml:space="preserve"> in UK–UAE business negotiations.</w:t>
      </w:r>
    </w:p>
    <w:p xmlns:wp14="http://schemas.microsoft.com/office/word/2010/wordml" w:rsidP="6EB0AFBF" wp14:paraId="4CE268BD" wp14:textId="10212058">
      <w:pPr>
        <w:pStyle w:val="Heading1"/>
        <w:spacing w:before="322" w:beforeAutospacing="off" w:after="322" w:afterAutospacing="off"/>
        <w:jc w:val="center"/>
        <w:rPr>
          <w:rFonts w:ascii="Aptos" w:hAnsi="Aptos" w:eastAsia="Aptos" w:cs="Aptos"/>
          <w:b w:val="0"/>
          <w:bCs w:val="0"/>
          <w:noProof w:val="0"/>
          <w:color w:val="auto"/>
          <w:sz w:val="24"/>
          <w:szCs w:val="24"/>
          <w:lang w:val="en-GB"/>
        </w:rPr>
      </w:pPr>
      <w:r w:rsidRPr="6EB0AFBF" w:rsidR="1534A4B3">
        <w:rPr>
          <w:rFonts w:ascii="Aptos" w:hAnsi="Aptos" w:eastAsia="Aptos" w:cs="Aptos"/>
          <w:b w:val="0"/>
          <w:bCs w:val="0"/>
          <w:noProof w:val="0"/>
          <w:color w:val="auto"/>
          <w:sz w:val="24"/>
          <w:szCs w:val="24"/>
          <w:lang w:val="en-GB"/>
        </w:rPr>
        <w:t>3.</w:t>
      </w:r>
      <w:r w:rsidRPr="6EB0AFBF" w:rsidR="1EA73304">
        <w:rPr>
          <w:rFonts w:ascii="Aptos" w:hAnsi="Aptos" w:eastAsia="Aptos" w:cs="Aptos"/>
          <w:b w:val="0"/>
          <w:bCs w:val="0"/>
          <w:noProof w:val="0"/>
          <w:color w:val="auto"/>
          <w:sz w:val="24"/>
          <w:szCs w:val="24"/>
          <w:lang w:val="en-GB"/>
        </w:rPr>
        <w:t xml:space="preserve">Main Analysis </w:t>
      </w:r>
    </w:p>
    <w:p xmlns:wp14="http://schemas.microsoft.com/office/word/2010/wordml" w:rsidP="6EB0AFBF" wp14:paraId="0CB75087" wp14:textId="22149149">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Persuasive communication in UK–UAE business negotiations is shaped by deep cultural contrasts that influence how trust is built, how arguments are framed, and how decisions are made. These differences are not superficial; they are rooted in long‑standing cultural values, social structures, and communication norms. Applying intercultural theories to </w:t>
      </w:r>
      <w:r w:rsidRPr="6EB0AFBF" w:rsidR="1EA73304">
        <w:rPr>
          <w:rFonts w:ascii="Aptos" w:hAnsi="Aptos" w:eastAsia="Aptos" w:cs="Aptos"/>
          <w:b w:val="0"/>
          <w:bCs w:val="0"/>
          <w:noProof w:val="0"/>
          <w:color w:val="auto"/>
          <w:sz w:val="24"/>
          <w:szCs w:val="24"/>
          <w:lang w:val="en-GB"/>
        </w:rPr>
        <w:t>real business</w:t>
      </w:r>
      <w:r w:rsidRPr="6EB0AFBF" w:rsidR="1EA73304">
        <w:rPr>
          <w:rFonts w:ascii="Aptos" w:hAnsi="Aptos" w:eastAsia="Aptos" w:cs="Aptos"/>
          <w:b w:val="0"/>
          <w:bCs w:val="0"/>
          <w:noProof w:val="0"/>
          <w:color w:val="auto"/>
          <w:sz w:val="24"/>
          <w:szCs w:val="24"/>
          <w:lang w:val="en-GB"/>
        </w:rPr>
        <w:t xml:space="preserve"> interactions reveals how these contrasts create both challenges and opportunities for international managers.</w:t>
      </w:r>
    </w:p>
    <w:p xmlns:wp14="http://schemas.microsoft.com/office/word/2010/wordml" w:rsidP="6EB0AFBF" wp14:paraId="6FB203F9" wp14:textId="116CFDF4">
      <w:pPr>
        <w:pStyle w:val="Heading2"/>
        <w:spacing w:before="299" w:beforeAutospacing="off" w:after="299"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Cultural Contrasts in Persuasive Communication</w:t>
      </w:r>
    </w:p>
    <w:p xmlns:wp14="http://schemas.microsoft.com/office/word/2010/wordml" w:rsidP="6EB0AFBF" wp14:paraId="60318305" wp14:textId="571A6DF7">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1. Communication Style: Direct vs. Indirect</w:t>
      </w:r>
    </w:p>
    <w:p xmlns:wp14="http://schemas.microsoft.com/office/word/2010/wordml" w:rsidP="6EB0AFBF" wp14:paraId="61CAD925" wp14:textId="69D3DDF2">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One of the most significant differences between British and Emirati negotiators lies in their communication styles. The UK, as a low‑context culture, values clarity, precision, and explicit verbal expression. British negotiators typically present persuasive arguments using structured logic, factual evidence, and clear recommendations. This approach reflects the British preference for efficiency and transparency in business communication.</w:t>
      </w:r>
    </w:p>
    <w:p xmlns:wp14="http://schemas.microsoft.com/office/word/2010/wordml" w:rsidP="6EB0AFBF" wp14:paraId="2197DB04" wp14:textId="3CC906E6">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In contrast, the UAE’s high‑context communication style places greater emphasis on subtlety, non‑verbal cues, and shared understanding. Emirati negotiators may communicate their position indirectly, using implication rather than explicit statements. This aligns with Hall’s (1976) argument that high‑context cultures rely on relational cues to convey meaning. For British negotiators, this indirectness can be misinterpreted as evasiveness or lack of commitment, when in fact it is a culturally </w:t>
      </w:r>
      <w:r w:rsidRPr="6EB0AFBF" w:rsidR="1EA73304">
        <w:rPr>
          <w:rFonts w:ascii="Aptos" w:hAnsi="Aptos" w:eastAsia="Aptos" w:cs="Aptos"/>
          <w:b w:val="0"/>
          <w:bCs w:val="0"/>
          <w:noProof w:val="0"/>
          <w:color w:val="auto"/>
          <w:sz w:val="24"/>
          <w:szCs w:val="24"/>
          <w:lang w:val="en-GB"/>
        </w:rPr>
        <w:t>appropriate way</w:t>
      </w:r>
      <w:r w:rsidRPr="6EB0AFBF" w:rsidR="1EA73304">
        <w:rPr>
          <w:rFonts w:ascii="Aptos" w:hAnsi="Aptos" w:eastAsia="Aptos" w:cs="Aptos"/>
          <w:b w:val="0"/>
          <w:bCs w:val="0"/>
          <w:noProof w:val="0"/>
          <w:color w:val="auto"/>
          <w:sz w:val="24"/>
          <w:szCs w:val="24"/>
          <w:lang w:val="en-GB"/>
        </w:rPr>
        <w:t xml:space="preserve"> of </w:t>
      </w:r>
      <w:r w:rsidRPr="6EB0AFBF" w:rsidR="1EA73304">
        <w:rPr>
          <w:rFonts w:ascii="Aptos" w:hAnsi="Aptos" w:eastAsia="Aptos" w:cs="Aptos"/>
          <w:b w:val="0"/>
          <w:bCs w:val="0"/>
          <w:noProof w:val="0"/>
          <w:color w:val="auto"/>
          <w:sz w:val="24"/>
          <w:szCs w:val="24"/>
          <w:lang w:val="en-GB"/>
        </w:rPr>
        <w:t>maintaining</w:t>
      </w:r>
      <w:r w:rsidRPr="6EB0AFBF" w:rsidR="1EA73304">
        <w:rPr>
          <w:rFonts w:ascii="Aptos" w:hAnsi="Aptos" w:eastAsia="Aptos" w:cs="Aptos"/>
          <w:b w:val="0"/>
          <w:bCs w:val="0"/>
          <w:noProof w:val="0"/>
          <w:color w:val="auto"/>
          <w:sz w:val="24"/>
          <w:szCs w:val="24"/>
          <w:lang w:val="en-GB"/>
        </w:rPr>
        <w:t xml:space="preserve"> harmony and avoiding confrontation.</w:t>
      </w:r>
    </w:p>
    <w:p xmlns:wp14="http://schemas.microsoft.com/office/word/2010/wordml" w:rsidP="6EB0AFBF" wp14:paraId="451D832D" wp14:textId="0145C5DE">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A practical example can be seen in UK construction firms </w:t>
      </w:r>
      <w:r w:rsidRPr="6EB0AFBF" w:rsidR="1EA73304">
        <w:rPr>
          <w:rFonts w:ascii="Aptos" w:hAnsi="Aptos" w:eastAsia="Aptos" w:cs="Aptos"/>
          <w:b w:val="0"/>
          <w:bCs w:val="0"/>
          <w:noProof w:val="0"/>
          <w:color w:val="auto"/>
          <w:sz w:val="24"/>
          <w:szCs w:val="24"/>
          <w:lang w:val="en-GB"/>
        </w:rPr>
        <w:t>operating</w:t>
      </w:r>
      <w:r w:rsidRPr="6EB0AFBF" w:rsidR="1EA73304">
        <w:rPr>
          <w:rFonts w:ascii="Aptos" w:hAnsi="Aptos" w:eastAsia="Aptos" w:cs="Aptos"/>
          <w:b w:val="0"/>
          <w:bCs w:val="0"/>
          <w:noProof w:val="0"/>
          <w:color w:val="auto"/>
          <w:sz w:val="24"/>
          <w:szCs w:val="24"/>
          <w:lang w:val="en-GB"/>
        </w:rPr>
        <w:t xml:space="preserve"> in Dubai. British project managers often report frustration when Emirati partners avoid giving a direct “no,” instead using phrases such as “We will consider it” or “Let us revisit this later.” In British communication norms, these phrases imply tentative agreement, </w:t>
      </w:r>
      <w:r w:rsidRPr="6EB0AFBF" w:rsidR="1EA73304">
        <w:rPr>
          <w:rFonts w:ascii="Aptos" w:hAnsi="Aptos" w:eastAsia="Aptos" w:cs="Aptos"/>
          <w:b w:val="0"/>
          <w:bCs w:val="0"/>
          <w:noProof w:val="0"/>
          <w:color w:val="auto"/>
          <w:sz w:val="24"/>
          <w:szCs w:val="24"/>
          <w:lang w:val="en-GB"/>
        </w:rPr>
        <w:t>whereas</w:t>
      </w:r>
      <w:r w:rsidRPr="6EB0AFBF" w:rsidR="1EA73304">
        <w:rPr>
          <w:rFonts w:ascii="Aptos" w:hAnsi="Aptos" w:eastAsia="Aptos" w:cs="Aptos"/>
          <w:b w:val="0"/>
          <w:bCs w:val="0"/>
          <w:noProof w:val="0"/>
          <w:color w:val="auto"/>
          <w:sz w:val="24"/>
          <w:szCs w:val="24"/>
          <w:lang w:val="en-GB"/>
        </w:rPr>
        <w:t xml:space="preserve"> in Emirati culture they may signal polite refusal. Such misunderstandings can derail persuasive efforts if managers </w:t>
      </w:r>
      <w:r w:rsidRPr="6EB0AFBF" w:rsidR="1EA73304">
        <w:rPr>
          <w:rFonts w:ascii="Aptos" w:hAnsi="Aptos" w:eastAsia="Aptos" w:cs="Aptos"/>
          <w:b w:val="0"/>
          <w:bCs w:val="0"/>
          <w:noProof w:val="0"/>
          <w:color w:val="auto"/>
          <w:sz w:val="24"/>
          <w:szCs w:val="24"/>
          <w:lang w:val="en-GB"/>
        </w:rPr>
        <w:t>fail to</w:t>
      </w:r>
      <w:r w:rsidRPr="6EB0AFBF" w:rsidR="1EA73304">
        <w:rPr>
          <w:rFonts w:ascii="Aptos" w:hAnsi="Aptos" w:eastAsia="Aptos" w:cs="Aptos"/>
          <w:b w:val="0"/>
          <w:bCs w:val="0"/>
          <w:noProof w:val="0"/>
          <w:color w:val="auto"/>
          <w:sz w:val="24"/>
          <w:szCs w:val="24"/>
          <w:lang w:val="en-GB"/>
        </w:rPr>
        <w:t xml:space="preserve"> interpret these cues correctly.</w:t>
      </w:r>
    </w:p>
    <w:p xmlns:wp14="http://schemas.microsoft.com/office/word/2010/wordml" w:rsidP="6EB0AFBF" wp14:paraId="55C35815" wp14:textId="16E48CF4">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2. Trust and Relationship‑Building as Foundations of Persuasion</w:t>
      </w:r>
    </w:p>
    <w:p xmlns:wp14="http://schemas.microsoft.com/office/word/2010/wordml" w:rsidP="6EB0AFBF" wp14:paraId="01EE719F" wp14:textId="21AF4733">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In the UAE, persuasion is inseparable from relationship‑building. Trompenaars’ (1998) distinction between specific and diffuse cultures helps explain this dynamic. The UK, as a specific culture, separates personal and professional spheres; trust is built through competence, reliability, and the quality of the proposal. In contrast, the UAE’s diffuse culture integrates personal relationships into business interactions. Trust is built through social engagement, hospitality, and demonstrations of respect.</w:t>
      </w:r>
    </w:p>
    <w:p xmlns:wp14="http://schemas.microsoft.com/office/word/2010/wordml" w:rsidP="6EB0AFBF" wp14:paraId="1A02CA7D" wp14:textId="4B0818D9">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This difference has profound implications for persuasion. British negotiators may enter a meeting expecting to discuss the contract </w:t>
      </w:r>
      <w:r w:rsidRPr="6EB0AFBF" w:rsidR="1EA73304">
        <w:rPr>
          <w:rFonts w:ascii="Aptos" w:hAnsi="Aptos" w:eastAsia="Aptos" w:cs="Aptos"/>
          <w:b w:val="0"/>
          <w:bCs w:val="0"/>
          <w:noProof w:val="0"/>
          <w:color w:val="auto"/>
          <w:sz w:val="24"/>
          <w:szCs w:val="24"/>
          <w:lang w:val="en-GB"/>
        </w:rPr>
        <w:t>immediately</w:t>
      </w:r>
      <w:r w:rsidRPr="6EB0AFBF" w:rsidR="1EA73304">
        <w:rPr>
          <w:rFonts w:ascii="Aptos" w:hAnsi="Aptos" w:eastAsia="Aptos" w:cs="Aptos"/>
          <w:b w:val="0"/>
          <w:bCs w:val="0"/>
          <w:noProof w:val="0"/>
          <w:color w:val="auto"/>
          <w:sz w:val="24"/>
          <w:szCs w:val="24"/>
          <w:lang w:val="en-GB"/>
        </w:rPr>
        <w:t xml:space="preserve">, </w:t>
      </w:r>
      <w:r w:rsidRPr="6EB0AFBF" w:rsidR="1EA73304">
        <w:rPr>
          <w:rFonts w:ascii="Aptos" w:hAnsi="Aptos" w:eastAsia="Aptos" w:cs="Aptos"/>
          <w:b w:val="0"/>
          <w:bCs w:val="0"/>
          <w:noProof w:val="0"/>
          <w:color w:val="auto"/>
          <w:sz w:val="24"/>
          <w:szCs w:val="24"/>
          <w:lang w:val="en-GB"/>
        </w:rPr>
        <w:t>whereas</w:t>
      </w:r>
      <w:r w:rsidRPr="6EB0AFBF" w:rsidR="1EA73304">
        <w:rPr>
          <w:rFonts w:ascii="Aptos" w:hAnsi="Aptos" w:eastAsia="Aptos" w:cs="Aptos"/>
          <w:b w:val="0"/>
          <w:bCs w:val="0"/>
          <w:noProof w:val="0"/>
          <w:color w:val="auto"/>
          <w:sz w:val="24"/>
          <w:szCs w:val="24"/>
          <w:lang w:val="en-GB"/>
        </w:rPr>
        <w:t xml:space="preserve"> Emirati negotiators may begin with extended social conversation. Far from being a distraction, this relational prelude is a crucial step in </w:t>
      </w:r>
      <w:r w:rsidRPr="6EB0AFBF" w:rsidR="1EA73304">
        <w:rPr>
          <w:rFonts w:ascii="Aptos" w:hAnsi="Aptos" w:eastAsia="Aptos" w:cs="Aptos"/>
          <w:b w:val="0"/>
          <w:bCs w:val="0"/>
          <w:noProof w:val="0"/>
          <w:color w:val="auto"/>
          <w:sz w:val="24"/>
          <w:szCs w:val="24"/>
          <w:lang w:val="en-GB"/>
        </w:rPr>
        <w:t>establishing</w:t>
      </w:r>
      <w:r w:rsidRPr="6EB0AFBF" w:rsidR="1EA73304">
        <w:rPr>
          <w:rFonts w:ascii="Aptos" w:hAnsi="Aptos" w:eastAsia="Aptos" w:cs="Aptos"/>
          <w:b w:val="0"/>
          <w:bCs w:val="0"/>
          <w:noProof w:val="0"/>
          <w:color w:val="auto"/>
          <w:sz w:val="24"/>
          <w:szCs w:val="24"/>
          <w:lang w:val="en-GB"/>
        </w:rPr>
        <w:t xml:space="preserve"> the trust necessary for persuasive communication. Without it, Emirati partners may perceive British negotiators as cold, transactional, or disrespectful.</w:t>
      </w:r>
    </w:p>
    <w:p xmlns:wp14="http://schemas.microsoft.com/office/word/2010/wordml" w:rsidP="6EB0AFBF" wp14:paraId="203869DB" wp14:textId="6140FC15">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A notable example is the partnership between Masdar (UAE) and BP (UK) in renewable energy projects. Reports from the collaboration highlight that early negotiations involved </w:t>
      </w:r>
      <w:r w:rsidRPr="6EB0AFBF" w:rsidR="1EA73304">
        <w:rPr>
          <w:rFonts w:ascii="Aptos" w:hAnsi="Aptos" w:eastAsia="Aptos" w:cs="Aptos"/>
          <w:b w:val="0"/>
          <w:bCs w:val="0"/>
          <w:noProof w:val="0"/>
          <w:color w:val="auto"/>
          <w:sz w:val="24"/>
          <w:szCs w:val="24"/>
          <w:lang w:val="en-GB"/>
        </w:rPr>
        <w:t>numerous</w:t>
      </w:r>
      <w:r w:rsidRPr="6EB0AFBF" w:rsidR="1EA73304">
        <w:rPr>
          <w:rFonts w:ascii="Aptos" w:hAnsi="Aptos" w:eastAsia="Aptos" w:cs="Aptos"/>
          <w:b w:val="0"/>
          <w:bCs w:val="0"/>
          <w:noProof w:val="0"/>
          <w:color w:val="auto"/>
          <w:sz w:val="24"/>
          <w:szCs w:val="24"/>
          <w:lang w:val="en-GB"/>
        </w:rPr>
        <w:t xml:space="preserve"> informal meetings, cultural exchanges, and personal introductions before formal discussions began. British negotiators who adapted to this relational approach found that Emirati partners became more receptive to their proposals.</w:t>
      </w:r>
    </w:p>
    <w:p xmlns:wp14="http://schemas.microsoft.com/office/word/2010/wordml" w:rsidP="6EB0AFBF" wp14:paraId="54340BAC" wp14:textId="3169FA12">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3. Hierarchy, Authority, and Decision‑Making</w:t>
      </w:r>
    </w:p>
    <w:p xmlns:wp14="http://schemas.microsoft.com/office/word/2010/wordml" w:rsidP="6EB0AFBF" wp14:paraId="20A93755" wp14:textId="50A0DE69">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Hofstede’s (2001) power distance dimension </w:t>
      </w:r>
      <w:r w:rsidRPr="6EB0AFBF" w:rsidR="1EA73304">
        <w:rPr>
          <w:rFonts w:ascii="Aptos" w:hAnsi="Aptos" w:eastAsia="Aptos" w:cs="Aptos"/>
          <w:b w:val="0"/>
          <w:bCs w:val="0"/>
          <w:noProof w:val="0"/>
          <w:color w:val="auto"/>
          <w:sz w:val="24"/>
          <w:szCs w:val="24"/>
          <w:lang w:val="en-GB"/>
        </w:rPr>
        <w:t>provides</w:t>
      </w:r>
      <w:r w:rsidRPr="6EB0AFBF" w:rsidR="1EA73304">
        <w:rPr>
          <w:rFonts w:ascii="Aptos" w:hAnsi="Aptos" w:eastAsia="Aptos" w:cs="Aptos"/>
          <w:b w:val="0"/>
          <w:bCs w:val="0"/>
          <w:noProof w:val="0"/>
          <w:color w:val="auto"/>
          <w:sz w:val="24"/>
          <w:szCs w:val="24"/>
          <w:lang w:val="en-GB"/>
        </w:rPr>
        <w:t xml:space="preserve"> further insight into persuasive communication. The UAE’s </w:t>
      </w:r>
      <w:r w:rsidRPr="6EB0AFBF" w:rsidR="1EA73304">
        <w:rPr>
          <w:rFonts w:ascii="Aptos" w:hAnsi="Aptos" w:eastAsia="Aptos" w:cs="Aptos"/>
          <w:b w:val="0"/>
          <w:bCs w:val="0"/>
          <w:noProof w:val="0"/>
          <w:color w:val="auto"/>
          <w:sz w:val="24"/>
          <w:szCs w:val="24"/>
          <w:lang w:val="en-GB"/>
        </w:rPr>
        <w:t>high power</w:t>
      </w:r>
      <w:r w:rsidRPr="6EB0AFBF" w:rsidR="1EA73304">
        <w:rPr>
          <w:rFonts w:ascii="Aptos" w:hAnsi="Aptos" w:eastAsia="Aptos" w:cs="Aptos"/>
          <w:b w:val="0"/>
          <w:bCs w:val="0"/>
          <w:noProof w:val="0"/>
          <w:color w:val="auto"/>
          <w:sz w:val="24"/>
          <w:szCs w:val="24"/>
          <w:lang w:val="en-GB"/>
        </w:rPr>
        <w:t xml:space="preserve"> distance means that authority is centralised, and decisions are typically made by senior leaders. Persuasion must therefore be directed at individuals with the </w:t>
      </w:r>
      <w:r w:rsidRPr="6EB0AFBF" w:rsidR="1EA73304">
        <w:rPr>
          <w:rFonts w:ascii="Aptos" w:hAnsi="Aptos" w:eastAsia="Aptos" w:cs="Aptos"/>
          <w:b w:val="0"/>
          <w:bCs w:val="0"/>
          <w:noProof w:val="0"/>
          <w:color w:val="auto"/>
          <w:sz w:val="24"/>
          <w:szCs w:val="24"/>
          <w:lang w:val="en-GB"/>
        </w:rPr>
        <w:t>appropriate status</w:t>
      </w:r>
      <w:r w:rsidRPr="6EB0AFBF" w:rsidR="1EA73304">
        <w:rPr>
          <w:rFonts w:ascii="Aptos" w:hAnsi="Aptos" w:eastAsia="Aptos" w:cs="Aptos"/>
          <w:b w:val="0"/>
          <w:bCs w:val="0"/>
          <w:noProof w:val="0"/>
          <w:color w:val="auto"/>
          <w:sz w:val="24"/>
          <w:szCs w:val="24"/>
          <w:lang w:val="en-GB"/>
        </w:rPr>
        <w:t>. British negotiators, accustomed to flatter organisational structures, may mistakenly assume that mid‑level managers have decision‑making authority. This misalignment can lead to delays, repeated negotiations, or even perceived disrespect.</w:t>
      </w:r>
    </w:p>
    <w:p xmlns:wp14="http://schemas.microsoft.com/office/word/2010/wordml" w:rsidP="6EB0AFBF" wp14:paraId="1A0FF8F4" wp14:textId="4CA4A1DE">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For example, in UK–UAE financial negotiations, British firms have sometimes presented proposals to operational managers, only to discover that final approval rests with senior executives who were not present. Emirati partners may interpret this oversight as a failure to respect hierarchy, weakening the persuasive impact of the proposal.</w:t>
      </w:r>
    </w:p>
    <w:p xmlns:wp14="http://schemas.microsoft.com/office/word/2010/wordml" w:rsidP="6EB0AFBF" wp14:paraId="047E02E8" wp14:textId="589A8FD8">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4. Time Orientation and Its Influence on Persuasion</w:t>
      </w:r>
    </w:p>
    <w:p xmlns:wp14="http://schemas.microsoft.com/office/word/2010/wordml" w:rsidP="6EB0AFBF" wp14:paraId="341B790C" wp14:textId="0A8753A6">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Time orientation also plays a critical role in shaping persuasive strategies. The UK’s monochronic approach values punctuality, deadlines, and linear progression. British negotiators often aim to reach decisions quickly and may interpret delays as inefficiency or lack of interest.</w:t>
      </w:r>
    </w:p>
    <w:p xmlns:wp14="http://schemas.microsoft.com/office/word/2010/wordml" w:rsidP="6EB0AFBF" wp14:paraId="05116DDB" wp14:textId="2F5927FD">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The UAE’s polychronic orientation, however, prioritises flexibility, relationships, and adaptability. Decision‑making may take longer because it involves consultation with family networks, senior leaders, or extended stakeholders. From an Emirati perspective, taking time reflects respect for the relationship and the importance of the decision.</w:t>
      </w:r>
    </w:p>
    <w:p xmlns:wp14="http://schemas.microsoft.com/office/word/2010/wordml" w:rsidP="6EB0AFBF" wp14:paraId="51B9A77E" wp14:textId="5B7D92F6">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This difference can create tension in negotiations. British negotiators may push for rapid agreement, inadvertently applying pressure that Emirati partners perceive as disrespectful. Conversely, Emirati negotiators may interpret British urgency as impatience or disregard for relational norms. Successful persuasion therefore requires British managers to adjust their expectations and adopt a more flexible approach to time.</w:t>
      </w:r>
    </w:p>
    <w:p xmlns:wp14="http://schemas.microsoft.com/office/word/2010/wordml" w:rsidP="6EB0AFBF" wp14:paraId="00E3D228" wp14:textId="63B031B2">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5. Language, BELF, and the Subtleties of Meaning</w:t>
      </w:r>
    </w:p>
    <w:p xmlns:wp14="http://schemas.microsoft.com/office/word/2010/wordml" w:rsidP="6EB0AFBF" wp14:paraId="26264A11" wp14:textId="08B9E1C8">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Although English is widely used in UAE business, BELF research highlights that shared language does not guarantee shared meaning. Tone, politeness strategies, and idiomatic expressions can significantly affect persuasion. British English often relies on understatement, indirect criticism, and humour, which may not translate effectively in intercultural contexts.</w:t>
      </w:r>
    </w:p>
    <w:p xmlns:wp14="http://schemas.microsoft.com/office/word/2010/wordml" w:rsidP="6EB0AFBF" wp14:paraId="7E6576AB" wp14:textId="603B3160">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For instance, a British negotiator might say, “There are a few minor issues we should look at,” intending to signal serious concerns politely. Emirati partners may interpret this literally and underestimate the importance of the issue. Similarly, Emirati politeness strategies—such as avoiding direct disagreement—may be misread by British negotiators as agreement or indecision.</w:t>
      </w:r>
    </w:p>
    <w:p xmlns:wp14="http://schemas.microsoft.com/office/word/2010/wordml" w:rsidP="6EB0AFBF" wp14:paraId="21C57C1A" wp14:textId="45D63DBA">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These linguistic nuances </w:t>
      </w:r>
      <w:r w:rsidRPr="6EB0AFBF" w:rsidR="1EA73304">
        <w:rPr>
          <w:rFonts w:ascii="Aptos" w:hAnsi="Aptos" w:eastAsia="Aptos" w:cs="Aptos"/>
          <w:b w:val="0"/>
          <w:bCs w:val="0"/>
          <w:noProof w:val="0"/>
          <w:color w:val="auto"/>
          <w:sz w:val="24"/>
          <w:szCs w:val="24"/>
          <w:lang w:val="en-GB"/>
        </w:rPr>
        <w:t>demonstrate</w:t>
      </w:r>
      <w:r w:rsidRPr="6EB0AFBF" w:rsidR="1EA73304">
        <w:rPr>
          <w:rFonts w:ascii="Aptos" w:hAnsi="Aptos" w:eastAsia="Aptos" w:cs="Aptos"/>
          <w:b w:val="0"/>
          <w:bCs w:val="0"/>
          <w:noProof w:val="0"/>
          <w:color w:val="auto"/>
          <w:sz w:val="24"/>
          <w:szCs w:val="24"/>
          <w:lang w:val="en-GB"/>
        </w:rPr>
        <w:t xml:space="preserve"> that persuasion is not merely about language </w:t>
      </w:r>
      <w:r w:rsidRPr="6EB0AFBF" w:rsidR="1EA73304">
        <w:rPr>
          <w:rFonts w:ascii="Aptos" w:hAnsi="Aptos" w:eastAsia="Aptos" w:cs="Aptos"/>
          <w:b w:val="0"/>
          <w:bCs w:val="0"/>
          <w:noProof w:val="0"/>
          <w:color w:val="auto"/>
          <w:sz w:val="24"/>
          <w:szCs w:val="24"/>
          <w:lang w:val="en-GB"/>
        </w:rPr>
        <w:t>proficiency</w:t>
      </w:r>
      <w:r w:rsidRPr="6EB0AFBF" w:rsidR="1EA73304">
        <w:rPr>
          <w:rFonts w:ascii="Aptos" w:hAnsi="Aptos" w:eastAsia="Aptos" w:cs="Aptos"/>
          <w:b w:val="0"/>
          <w:bCs w:val="0"/>
          <w:noProof w:val="0"/>
          <w:color w:val="auto"/>
          <w:sz w:val="24"/>
          <w:szCs w:val="24"/>
          <w:lang w:val="en-GB"/>
        </w:rPr>
        <w:t xml:space="preserve"> but about understanding how cultural norms shape the interpretation of messages.</w:t>
      </w:r>
    </w:p>
    <w:p xmlns:wp14="http://schemas.microsoft.com/office/word/2010/wordml" w:rsidP="6EB0AFBF" wp14:paraId="6E0E5E00" wp14:textId="3F643432">
      <w:pPr>
        <w:pStyle w:val="Heading2"/>
        <w:spacing w:before="299" w:beforeAutospacing="off" w:after="299"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Communication Challenges in UK–UAE Negotiations</w:t>
      </w:r>
    </w:p>
    <w:p xmlns:wp14="http://schemas.microsoft.com/office/word/2010/wordml" w:rsidP="6EB0AFBF" wp14:paraId="021B1D11" wp14:textId="7D09F602">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Challenge 1: Misinterpretation of Intent</w:t>
      </w:r>
    </w:p>
    <w:p xmlns:wp14="http://schemas.microsoft.com/office/word/2010/wordml" w:rsidP="6EB0AFBF" wp14:paraId="492C53CE" wp14:textId="7956DE5E">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Differences in communication style can lead to misinterpretation of intent. British directness may be perceived as aggressive, while Emirati indirectness may be seen as evasive. These misunderstandings can undermine persuasive efforts and damage relationships.</w:t>
      </w:r>
    </w:p>
    <w:p xmlns:wp14="http://schemas.microsoft.com/office/word/2010/wordml" w:rsidP="6EB0AFBF" wp14:paraId="58E45AE5" wp14:textId="391BB971">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Challenge 2: Conflicting Expectations of Trust</w:t>
      </w:r>
    </w:p>
    <w:p xmlns:wp14="http://schemas.microsoft.com/office/word/2010/wordml" w:rsidP="6EB0AFBF" wp14:paraId="4E2CF50E" wp14:textId="4FE007EC">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British negotiators may underestimate the importance of personal rapport, while Emirati negotiators may view a purely transactional approach as untrustworthy. This mismatch can hinder the development of persuasive influence.</w:t>
      </w:r>
    </w:p>
    <w:p xmlns:wp14="http://schemas.microsoft.com/office/word/2010/wordml" w:rsidP="6EB0AFBF" wp14:paraId="4948EDEE" wp14:textId="321A6D7D">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Challenge 3: Face‑Saving and Conflict Avoidance</w:t>
      </w:r>
    </w:p>
    <w:p xmlns:wp14="http://schemas.microsoft.com/office/word/2010/wordml" w:rsidP="6EB0AFBF" wp14:paraId="2E83DA95" wp14:textId="570E5C6D">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Emirati negotiators may avoid direct disagreement to preserve face, leading to ambiguity. British negotiators may misinterpret this as agreement, resulting in misaligned expectations.</w:t>
      </w:r>
    </w:p>
    <w:p xmlns:wp14="http://schemas.microsoft.com/office/word/2010/wordml" w:rsidP="6EB0AFBF" wp14:paraId="3FEF5771" wp14:textId="6BCCE59F">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Challenge 4: Power Distance Misalignment</w:t>
      </w:r>
    </w:p>
    <w:p xmlns:wp14="http://schemas.microsoft.com/office/word/2010/wordml" w:rsidP="6EB0AFBF" wp14:paraId="57EE9EEF" wp14:textId="035C63A8">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British negotiators may inadvertently bypass hierarchical norms, </w:t>
      </w:r>
      <w:r w:rsidRPr="6EB0AFBF" w:rsidR="1EA73304">
        <w:rPr>
          <w:rFonts w:ascii="Aptos" w:hAnsi="Aptos" w:eastAsia="Aptos" w:cs="Aptos"/>
          <w:b w:val="0"/>
          <w:bCs w:val="0"/>
          <w:noProof w:val="0"/>
          <w:color w:val="auto"/>
          <w:sz w:val="24"/>
          <w:szCs w:val="24"/>
          <w:lang w:val="en-GB"/>
        </w:rPr>
        <w:t>damaging</w:t>
      </w:r>
      <w:r w:rsidRPr="6EB0AFBF" w:rsidR="1EA73304">
        <w:rPr>
          <w:rFonts w:ascii="Aptos" w:hAnsi="Aptos" w:eastAsia="Aptos" w:cs="Aptos"/>
          <w:b w:val="0"/>
          <w:bCs w:val="0"/>
          <w:noProof w:val="0"/>
          <w:color w:val="auto"/>
          <w:sz w:val="24"/>
          <w:szCs w:val="24"/>
          <w:lang w:val="en-GB"/>
        </w:rPr>
        <w:t xml:space="preserve"> credibility and reducing persuasive impact.</w:t>
      </w:r>
    </w:p>
    <w:p xmlns:wp14="http://schemas.microsoft.com/office/word/2010/wordml" w:rsidP="6EB0AFBF" wp14:paraId="6BDBAD6B" wp14:textId="3345D5D1">
      <w:pPr>
        <w:pStyle w:val="Heading2"/>
        <w:spacing w:before="299" w:beforeAutospacing="off" w:after="299"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Strategic Approaches for International Managers</w:t>
      </w:r>
    </w:p>
    <w:p xmlns:wp14="http://schemas.microsoft.com/office/word/2010/wordml" w:rsidP="6EB0AFBF" wp14:paraId="5AA1B692" wp14:textId="329F43DC">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1. Developing Cultural Intelligence (CQ)</w:t>
      </w:r>
    </w:p>
    <w:p xmlns:wp14="http://schemas.microsoft.com/office/word/2010/wordml" w:rsidP="6EB0AFBF" wp14:paraId="03593F19" wp14:textId="04E95DF7">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Managers must cultivate cognitive, motivational, and behavioural CQ to adapt persuasive strategies to cultural expectations. This includes learning about UAE norms, values, and communication styles.</w:t>
      </w:r>
    </w:p>
    <w:p xmlns:wp14="http://schemas.microsoft.com/office/word/2010/wordml" w:rsidP="6EB0AFBF" wp14:paraId="14BFBE69" wp14:textId="5ED921DF">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2. Prioritising Relationship‑Building</w:t>
      </w:r>
    </w:p>
    <w:p xmlns:wp14="http://schemas.microsoft.com/office/word/2010/wordml" w:rsidP="6EB0AFBF" wp14:paraId="578EA125" wp14:textId="3BF999C3">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British negotiators should invest time in informal meetings, hospitality, and personal rapport. Demonstrating respect for Emirati traditions enhances trust and increases persuasive influence.</w:t>
      </w:r>
    </w:p>
    <w:p xmlns:wp14="http://schemas.microsoft.com/office/word/2010/wordml" w:rsidP="6EB0AFBF" wp14:paraId="42CE884C" wp14:textId="53B32309">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3. Adapting Communication Style</w:t>
      </w:r>
    </w:p>
    <w:p xmlns:wp14="http://schemas.microsoft.com/office/word/2010/wordml" w:rsidP="6EB0AFBF" wp14:paraId="42E4F63D" wp14:textId="6F8DBCA5">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Managers should balance clarity with politeness, avoiding overly direct criticism. Using narrative, context, and relational framing can increase persuasive impact in the UAE.</w:t>
      </w:r>
    </w:p>
    <w:p xmlns:wp14="http://schemas.microsoft.com/office/word/2010/wordml" w:rsidP="6EB0AFBF" wp14:paraId="109147F9" wp14:textId="2E872221">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4. Respecting Hierarchy</w:t>
      </w:r>
    </w:p>
    <w:p xmlns:wp14="http://schemas.microsoft.com/office/word/2010/wordml" w:rsidP="6EB0AFBF" wp14:paraId="341F573C" wp14:textId="1FE8E192">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Understanding organisational structures and addressing senior decision‑makers appropriately is essential. British firms should avoid assuming egalitarian norms apply universally.</w:t>
      </w:r>
    </w:p>
    <w:p xmlns:wp14="http://schemas.microsoft.com/office/word/2010/wordml" w:rsidP="6EB0AFBF" wp14:paraId="3B0AFCD7" wp14:textId="4F02BAA9">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 xml:space="preserve">5. </w:t>
      </w:r>
      <w:r w:rsidRPr="6EB0AFBF" w:rsidR="1EA73304">
        <w:rPr>
          <w:rFonts w:ascii="Aptos" w:hAnsi="Aptos" w:eastAsia="Aptos" w:cs="Aptos"/>
          <w:b w:val="0"/>
          <w:bCs w:val="0"/>
          <w:noProof w:val="0"/>
          <w:color w:val="auto"/>
          <w:sz w:val="24"/>
          <w:szCs w:val="24"/>
          <w:lang w:val="en-GB"/>
        </w:rPr>
        <w:t>Leveraging</w:t>
      </w:r>
      <w:r w:rsidRPr="6EB0AFBF" w:rsidR="1EA73304">
        <w:rPr>
          <w:rFonts w:ascii="Aptos" w:hAnsi="Aptos" w:eastAsia="Aptos" w:cs="Aptos"/>
          <w:b w:val="0"/>
          <w:bCs w:val="0"/>
          <w:noProof w:val="0"/>
          <w:color w:val="auto"/>
          <w:sz w:val="24"/>
          <w:szCs w:val="24"/>
          <w:lang w:val="en-GB"/>
        </w:rPr>
        <w:t xml:space="preserve"> Cultural Mediators</w:t>
      </w:r>
    </w:p>
    <w:p xmlns:wp14="http://schemas.microsoft.com/office/word/2010/wordml" w:rsidP="6EB0AFBF" wp14:paraId="3D23BC7E" wp14:textId="05535E86">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Local consultants or bilingual staff can help interpret subtle cues, bridge misunderstandings, and guide persuasive strategies.</w:t>
      </w:r>
    </w:p>
    <w:p xmlns:wp14="http://schemas.microsoft.com/office/word/2010/wordml" w:rsidP="6EB0AFBF" wp14:paraId="2C725302" wp14:textId="0BFD3FBE">
      <w:pPr>
        <w:pStyle w:val="Heading3"/>
        <w:spacing w:before="281" w:beforeAutospacing="off" w:after="281"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6. Enhancing BELF Competency</w:t>
      </w:r>
    </w:p>
    <w:p xmlns:wp14="http://schemas.microsoft.com/office/word/2010/wordml" w:rsidP="6EB0AFBF" wp14:paraId="11842EE5" wp14:textId="33591910">
      <w:pPr>
        <w:spacing w:before="240" w:beforeAutospacing="off" w:after="240" w:afterAutospacing="off"/>
        <w:rPr>
          <w:rFonts w:ascii="Aptos" w:hAnsi="Aptos" w:eastAsia="Aptos" w:cs="Aptos"/>
          <w:b w:val="0"/>
          <w:bCs w:val="0"/>
          <w:noProof w:val="0"/>
          <w:color w:val="auto"/>
          <w:sz w:val="24"/>
          <w:szCs w:val="24"/>
          <w:lang w:val="en-GB"/>
        </w:rPr>
      </w:pPr>
      <w:r w:rsidRPr="6EB0AFBF" w:rsidR="1EA73304">
        <w:rPr>
          <w:rFonts w:ascii="Aptos" w:hAnsi="Aptos" w:eastAsia="Aptos" w:cs="Aptos"/>
          <w:b w:val="0"/>
          <w:bCs w:val="0"/>
          <w:noProof w:val="0"/>
          <w:color w:val="auto"/>
          <w:sz w:val="24"/>
          <w:szCs w:val="24"/>
          <w:lang w:val="en-GB"/>
        </w:rPr>
        <w:t>Managers should use clear, simple English, avoid idioms, and check for understanding. Active listening and paraphrasing can prevent miscommunication.</w:t>
      </w:r>
    </w:p>
    <w:p xmlns:wp14="http://schemas.microsoft.com/office/word/2010/wordml" w:rsidP="6EB0AFBF" wp14:paraId="60138A6E" wp14:textId="6098A37C">
      <w:pPr>
        <w:pStyle w:val="Heading1"/>
        <w:spacing w:before="322" w:beforeAutospacing="off" w:after="322" w:afterAutospacing="off"/>
        <w:jc w:val="center"/>
        <w:rPr>
          <w:rFonts w:ascii="Aptos" w:hAnsi="Aptos" w:eastAsia="Aptos" w:cs="Aptos"/>
          <w:b w:val="0"/>
          <w:bCs w:val="0"/>
          <w:noProof w:val="0"/>
          <w:color w:val="auto"/>
          <w:sz w:val="24"/>
          <w:szCs w:val="24"/>
          <w:lang w:val="en-GB"/>
        </w:rPr>
      </w:pPr>
      <w:r w:rsidRPr="6EB0AFBF" w:rsidR="3CC72580">
        <w:rPr>
          <w:rFonts w:ascii="Aptos" w:hAnsi="Aptos" w:eastAsia="Aptos" w:cs="Aptos"/>
          <w:b w:val="0"/>
          <w:bCs w:val="0"/>
          <w:noProof w:val="0"/>
          <w:color w:val="auto"/>
          <w:sz w:val="24"/>
          <w:szCs w:val="24"/>
          <w:lang w:val="en-GB"/>
        </w:rPr>
        <w:t>4.</w:t>
      </w:r>
      <w:r w:rsidRPr="6EB0AFBF" w:rsidR="59C2209E">
        <w:rPr>
          <w:rFonts w:ascii="Aptos" w:hAnsi="Aptos" w:eastAsia="Aptos" w:cs="Aptos"/>
          <w:b w:val="0"/>
          <w:bCs w:val="0"/>
          <w:noProof w:val="0"/>
          <w:color w:val="auto"/>
          <w:sz w:val="24"/>
          <w:szCs w:val="24"/>
          <w:lang w:val="en-GB"/>
        </w:rPr>
        <w:t>Conclusion</w:t>
      </w:r>
    </w:p>
    <w:p xmlns:wp14="http://schemas.microsoft.com/office/word/2010/wordml" w:rsidP="6EB0AFBF" wp14:paraId="3663C82D" wp14:textId="7A6A5C42">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Persuasion in international business is deeply influenced by cultural norms, values, and communication styles. The UK and UAE represent two contrasting approaches: the UK’s direct, task‑oriented, low‑context communication contrasts sharply with the UAE’s indirect, relationship‑oriented, high‑context style. These differences shape how negotiators build trust, present arguments, and make decisions.</w:t>
      </w:r>
    </w:p>
    <w:p xmlns:wp14="http://schemas.microsoft.com/office/word/2010/wordml" w:rsidP="6EB0AFBF" wp14:paraId="102B4AF3" wp14:textId="7917A8E1">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 xml:space="preserve">This essay has shown that successful persuasion in UK–UAE business negotiations </w:t>
      </w:r>
      <w:r w:rsidRPr="6EB0AFBF" w:rsidR="59C2209E">
        <w:rPr>
          <w:rFonts w:ascii="Aptos" w:hAnsi="Aptos" w:eastAsia="Aptos" w:cs="Aptos"/>
          <w:b w:val="0"/>
          <w:bCs w:val="0"/>
          <w:noProof w:val="0"/>
          <w:color w:val="auto"/>
          <w:sz w:val="24"/>
          <w:szCs w:val="24"/>
          <w:lang w:val="en-GB"/>
        </w:rPr>
        <w:t>requires</w:t>
      </w:r>
      <w:r w:rsidRPr="6EB0AFBF" w:rsidR="59C2209E">
        <w:rPr>
          <w:rFonts w:ascii="Aptos" w:hAnsi="Aptos" w:eastAsia="Aptos" w:cs="Aptos"/>
          <w:b w:val="0"/>
          <w:bCs w:val="0"/>
          <w:noProof w:val="0"/>
          <w:color w:val="auto"/>
          <w:sz w:val="24"/>
          <w:szCs w:val="24"/>
          <w:lang w:val="en-GB"/>
        </w:rPr>
        <w:t xml:space="preserve"> more than linguistic </w:t>
      </w:r>
      <w:r w:rsidRPr="6EB0AFBF" w:rsidR="59C2209E">
        <w:rPr>
          <w:rFonts w:ascii="Aptos" w:hAnsi="Aptos" w:eastAsia="Aptos" w:cs="Aptos"/>
          <w:b w:val="0"/>
          <w:bCs w:val="0"/>
          <w:noProof w:val="0"/>
          <w:color w:val="auto"/>
          <w:sz w:val="24"/>
          <w:szCs w:val="24"/>
          <w:lang w:val="en-GB"/>
        </w:rPr>
        <w:t>proficiency</w:t>
      </w:r>
      <w:r w:rsidRPr="6EB0AFBF" w:rsidR="59C2209E">
        <w:rPr>
          <w:rFonts w:ascii="Aptos" w:hAnsi="Aptos" w:eastAsia="Aptos" w:cs="Aptos"/>
          <w:b w:val="0"/>
          <w:bCs w:val="0"/>
          <w:noProof w:val="0"/>
          <w:color w:val="auto"/>
          <w:sz w:val="24"/>
          <w:szCs w:val="24"/>
          <w:lang w:val="en-GB"/>
        </w:rPr>
        <w:t xml:space="preserve">; it demands cultural intelligence, relational sensitivity, and strategic adaptability. International managers must recognise the importance of relationship‑building, respect hierarchical norms, and adjust their communication style to align with Emirati expectations. Real‑world examples from the energy, construction, and finance sectors </w:t>
      </w:r>
      <w:r w:rsidRPr="6EB0AFBF" w:rsidR="59C2209E">
        <w:rPr>
          <w:rFonts w:ascii="Aptos" w:hAnsi="Aptos" w:eastAsia="Aptos" w:cs="Aptos"/>
          <w:b w:val="0"/>
          <w:bCs w:val="0"/>
          <w:noProof w:val="0"/>
          <w:color w:val="auto"/>
          <w:sz w:val="24"/>
          <w:szCs w:val="24"/>
          <w:lang w:val="en-GB"/>
        </w:rPr>
        <w:t>demonstrate</w:t>
      </w:r>
      <w:r w:rsidRPr="6EB0AFBF" w:rsidR="59C2209E">
        <w:rPr>
          <w:rFonts w:ascii="Aptos" w:hAnsi="Aptos" w:eastAsia="Aptos" w:cs="Aptos"/>
          <w:b w:val="0"/>
          <w:bCs w:val="0"/>
          <w:noProof w:val="0"/>
          <w:color w:val="auto"/>
          <w:sz w:val="24"/>
          <w:szCs w:val="24"/>
          <w:lang w:val="en-GB"/>
        </w:rPr>
        <w:t xml:space="preserve"> that culturally informed strategies lead to more effective negotiations and stronger long‑term partnerships.</w:t>
      </w:r>
    </w:p>
    <w:p xmlns:wp14="http://schemas.microsoft.com/office/word/2010/wordml" w:rsidP="6EB0AFBF" wp14:paraId="69DAF203" wp14:textId="2C2019E5">
      <w:pPr>
        <w:spacing w:before="240" w:beforeAutospacing="off" w:after="240" w:afterAutospacing="off"/>
        <w:rPr>
          <w:rFonts w:ascii="Aptos" w:hAnsi="Aptos" w:eastAsia="Aptos" w:cs="Aptos"/>
          <w:b w:val="0"/>
          <w:bCs w:val="0"/>
          <w:noProof w:val="0"/>
          <w:color w:val="auto"/>
          <w:sz w:val="24"/>
          <w:szCs w:val="24"/>
          <w:lang w:val="en-GB"/>
        </w:rPr>
      </w:pPr>
      <w:r w:rsidRPr="6EB0AFBF" w:rsidR="59C2209E">
        <w:rPr>
          <w:rFonts w:ascii="Aptos" w:hAnsi="Aptos" w:eastAsia="Aptos" w:cs="Aptos"/>
          <w:b w:val="0"/>
          <w:bCs w:val="0"/>
          <w:noProof w:val="0"/>
          <w:color w:val="auto"/>
          <w:sz w:val="24"/>
          <w:szCs w:val="24"/>
          <w:lang w:val="en-GB"/>
        </w:rPr>
        <w:t>Ultimately, the</w:t>
      </w:r>
      <w:r w:rsidRPr="6EB0AFBF" w:rsidR="59C2209E">
        <w:rPr>
          <w:rFonts w:ascii="Aptos" w:hAnsi="Aptos" w:eastAsia="Aptos" w:cs="Aptos"/>
          <w:b w:val="0"/>
          <w:bCs w:val="0"/>
          <w:noProof w:val="0"/>
          <w:color w:val="auto"/>
          <w:sz w:val="24"/>
          <w:szCs w:val="24"/>
          <w:lang w:val="en-GB"/>
        </w:rPr>
        <w:t xml:space="preserve"> ability to navigate cultural differences is a critical competency for international managers. As global business interactions continue to expand, understanding how persuasion </w:t>
      </w:r>
      <w:r w:rsidRPr="6EB0AFBF" w:rsidR="59C2209E">
        <w:rPr>
          <w:rFonts w:ascii="Aptos" w:hAnsi="Aptos" w:eastAsia="Aptos" w:cs="Aptos"/>
          <w:b w:val="0"/>
          <w:bCs w:val="0"/>
          <w:noProof w:val="0"/>
          <w:color w:val="auto"/>
          <w:sz w:val="24"/>
          <w:szCs w:val="24"/>
          <w:lang w:val="en-GB"/>
        </w:rPr>
        <w:t>operates</w:t>
      </w:r>
      <w:r w:rsidRPr="6EB0AFBF" w:rsidR="59C2209E">
        <w:rPr>
          <w:rFonts w:ascii="Aptos" w:hAnsi="Aptos" w:eastAsia="Aptos" w:cs="Aptos"/>
          <w:b w:val="0"/>
          <w:bCs w:val="0"/>
          <w:noProof w:val="0"/>
          <w:color w:val="auto"/>
          <w:sz w:val="24"/>
          <w:szCs w:val="24"/>
          <w:lang w:val="en-GB"/>
        </w:rPr>
        <w:t xml:space="preserve"> across cultures will remain essential for achieving successful outcomes.</w:t>
      </w:r>
    </w:p>
    <w:p xmlns:wp14="http://schemas.microsoft.com/office/word/2010/wordml" w:rsidP="6EB0AFBF" wp14:paraId="4C099DEF" wp14:textId="7B33519A">
      <w:pPr>
        <w:pStyle w:val="Heading1"/>
        <w:spacing w:before="322" w:beforeAutospacing="off" w:after="322" w:afterAutospacing="off"/>
        <w:jc w:val="center"/>
        <w:rPr>
          <w:rFonts w:ascii="Aptos" w:hAnsi="Aptos" w:eastAsia="Aptos" w:cs="Aptos"/>
          <w:b w:val="0"/>
          <w:bCs w:val="0"/>
          <w:noProof w:val="0"/>
          <w:color w:val="auto"/>
          <w:sz w:val="24"/>
          <w:szCs w:val="24"/>
          <w:lang w:val="en-GB"/>
        </w:rPr>
      </w:pPr>
      <w:r w:rsidRPr="6EB0AFBF" w:rsidR="1E922E7B">
        <w:rPr>
          <w:rFonts w:ascii="Aptos" w:hAnsi="Aptos" w:eastAsia="Aptos" w:cs="Aptos"/>
          <w:b w:val="0"/>
          <w:bCs w:val="0"/>
          <w:noProof w:val="0"/>
          <w:color w:val="auto"/>
          <w:sz w:val="24"/>
          <w:szCs w:val="24"/>
          <w:lang w:val="en-GB"/>
        </w:rPr>
        <w:t>5.</w:t>
      </w:r>
      <w:r w:rsidRPr="6EB0AFBF" w:rsidR="59C2209E">
        <w:rPr>
          <w:rFonts w:ascii="Aptos" w:hAnsi="Aptos" w:eastAsia="Aptos" w:cs="Aptos"/>
          <w:b w:val="0"/>
          <w:bCs w:val="0"/>
          <w:noProof w:val="0"/>
          <w:color w:val="auto"/>
          <w:sz w:val="24"/>
          <w:szCs w:val="24"/>
          <w:lang w:val="en-GB"/>
        </w:rPr>
        <w:t xml:space="preserve">References </w:t>
      </w:r>
    </w:p>
    <w:p xmlns:wp14="http://schemas.microsoft.com/office/word/2010/wordml" w:rsidP="6EB0AFBF" wp14:paraId="4B6D5B85" wp14:textId="67AEE4DC">
      <w:pPr>
        <w:spacing w:before="240" w:beforeAutospacing="off" w:after="240" w:afterAutospacing="off"/>
      </w:pPr>
      <w:r w:rsidRPr="6EB0AFBF" w:rsidR="59C2209E">
        <w:rPr>
          <w:rFonts w:ascii="Aptos" w:hAnsi="Aptos" w:eastAsia="Aptos" w:cs="Aptos"/>
          <w:noProof w:val="0"/>
          <w:sz w:val="24"/>
          <w:szCs w:val="24"/>
          <w:lang w:val="en-GB"/>
        </w:rPr>
        <w:t xml:space="preserve">BP (2023) </w:t>
      </w:r>
      <w:r w:rsidRPr="6EB0AFBF" w:rsidR="59C2209E">
        <w:rPr>
          <w:rFonts w:ascii="Aptos" w:hAnsi="Aptos" w:eastAsia="Aptos" w:cs="Aptos"/>
          <w:i w:val="1"/>
          <w:iCs w:val="1"/>
          <w:noProof w:val="0"/>
          <w:sz w:val="24"/>
          <w:szCs w:val="24"/>
          <w:lang w:val="en-GB"/>
        </w:rPr>
        <w:t>BP and Masdar partnership overview</w:t>
      </w:r>
      <w:r w:rsidRPr="6EB0AFBF" w:rsidR="59C2209E">
        <w:rPr>
          <w:rFonts w:ascii="Aptos" w:hAnsi="Aptos" w:eastAsia="Aptos" w:cs="Aptos"/>
          <w:noProof w:val="0"/>
          <w:sz w:val="24"/>
          <w:szCs w:val="24"/>
          <w:lang w:val="en-GB"/>
        </w:rPr>
        <w:t xml:space="preserve">. Available at: </w:t>
      </w:r>
      <w:hyperlink r:id="R1b6ce1cd5a044652">
        <w:r w:rsidRPr="6EB0AFBF" w:rsidR="59C2209E">
          <w:rPr>
            <w:rStyle w:val="Hyperlink"/>
            <w:rFonts w:ascii="Aptos" w:hAnsi="Aptos" w:eastAsia="Aptos" w:cs="Aptos"/>
            <w:noProof w:val="0"/>
            <w:sz w:val="24"/>
            <w:szCs w:val="24"/>
            <w:lang w:val="en-GB"/>
          </w:rPr>
          <w:t>https://www.bp.com</w:t>
        </w:r>
      </w:hyperlink>
      <w:r w:rsidRPr="6EB0AFBF" w:rsidR="59C2209E">
        <w:rPr>
          <w:rFonts w:ascii="Aptos" w:hAnsi="Aptos" w:eastAsia="Aptos" w:cs="Aptos"/>
          <w:noProof w:val="0"/>
          <w:sz w:val="24"/>
          <w:szCs w:val="24"/>
          <w:lang w:val="en-GB"/>
        </w:rPr>
        <w:t xml:space="preserve"> (Accessed: </w:t>
      </w:r>
      <w:r w:rsidRPr="6EB0AFBF" w:rsidR="56200032">
        <w:rPr>
          <w:rFonts w:ascii="Aptos" w:hAnsi="Aptos" w:eastAsia="Aptos" w:cs="Aptos"/>
          <w:noProof w:val="0"/>
          <w:sz w:val="24"/>
          <w:szCs w:val="24"/>
          <w:lang w:val="en-GB"/>
        </w:rPr>
        <w:t>2</w:t>
      </w:r>
      <w:r w:rsidRPr="6EB0AFBF" w:rsidR="59C2209E">
        <w:rPr>
          <w:rFonts w:ascii="Aptos" w:hAnsi="Aptos" w:eastAsia="Aptos" w:cs="Aptos"/>
          <w:noProof w:val="0"/>
          <w:sz w:val="24"/>
          <w:szCs w:val="24"/>
          <w:lang w:val="en-GB"/>
        </w:rPr>
        <w:t xml:space="preserve">0 </w:t>
      </w:r>
      <w:r w:rsidRPr="6EB0AFBF" w:rsidR="63C60683">
        <w:rPr>
          <w:rFonts w:ascii="Aptos" w:hAnsi="Aptos" w:eastAsia="Aptos" w:cs="Aptos"/>
          <w:noProof w:val="0"/>
          <w:sz w:val="24"/>
          <w:szCs w:val="24"/>
          <w:lang w:val="en-GB"/>
        </w:rPr>
        <w:t>December</w:t>
      </w:r>
      <w:r w:rsidRPr="6EB0AFBF" w:rsidR="59C2209E">
        <w:rPr>
          <w:rFonts w:ascii="Aptos" w:hAnsi="Aptos" w:eastAsia="Aptos" w:cs="Aptos"/>
          <w:noProof w:val="0"/>
          <w:sz w:val="24"/>
          <w:szCs w:val="24"/>
          <w:lang w:val="en-GB"/>
        </w:rPr>
        <w:t xml:space="preserve"> 2025).</w:t>
      </w:r>
    </w:p>
    <w:p xmlns:wp14="http://schemas.microsoft.com/office/word/2010/wordml" w:rsidP="6EB0AFBF" wp14:paraId="68086BA4" wp14:textId="004DCA84">
      <w:pPr>
        <w:spacing w:before="240" w:beforeAutospacing="off" w:after="240" w:afterAutospacing="off"/>
      </w:pPr>
      <w:r w:rsidRPr="6EB0AFBF" w:rsidR="59C2209E">
        <w:rPr>
          <w:rFonts w:ascii="Aptos" w:hAnsi="Aptos" w:eastAsia="Aptos" w:cs="Aptos"/>
          <w:noProof w:val="0"/>
          <w:sz w:val="24"/>
          <w:szCs w:val="24"/>
          <w:lang w:val="en-GB"/>
        </w:rPr>
        <w:t xml:space="preserve">Hall, E.T. (1976) </w:t>
      </w:r>
      <w:r w:rsidRPr="6EB0AFBF" w:rsidR="59C2209E">
        <w:rPr>
          <w:rFonts w:ascii="Aptos" w:hAnsi="Aptos" w:eastAsia="Aptos" w:cs="Aptos"/>
          <w:i w:val="1"/>
          <w:iCs w:val="1"/>
          <w:noProof w:val="0"/>
          <w:sz w:val="24"/>
          <w:szCs w:val="24"/>
          <w:lang w:val="en-GB"/>
        </w:rPr>
        <w:t>Beyond Culture</w:t>
      </w:r>
      <w:r w:rsidRPr="6EB0AFBF" w:rsidR="59C2209E">
        <w:rPr>
          <w:rFonts w:ascii="Aptos" w:hAnsi="Aptos" w:eastAsia="Aptos" w:cs="Aptos"/>
          <w:noProof w:val="0"/>
          <w:sz w:val="24"/>
          <w:szCs w:val="24"/>
          <w:lang w:val="en-GB"/>
        </w:rPr>
        <w:t>. New York: Anchor Books.</w:t>
      </w:r>
    </w:p>
    <w:p xmlns:wp14="http://schemas.microsoft.com/office/word/2010/wordml" w:rsidP="6EB0AFBF" wp14:paraId="6518CC78" wp14:textId="6ED448B4">
      <w:pPr>
        <w:spacing w:before="240" w:beforeAutospacing="off" w:after="240" w:afterAutospacing="off"/>
      </w:pPr>
      <w:r w:rsidRPr="6EB0AFBF" w:rsidR="59C2209E">
        <w:rPr>
          <w:rFonts w:ascii="Aptos" w:hAnsi="Aptos" w:eastAsia="Aptos" w:cs="Aptos"/>
          <w:noProof w:val="0"/>
          <w:sz w:val="24"/>
          <w:szCs w:val="24"/>
          <w:lang w:val="en-GB"/>
        </w:rPr>
        <w:t xml:space="preserve">Hofstede, G. (2001) </w:t>
      </w:r>
      <w:r w:rsidRPr="6EB0AFBF" w:rsidR="59C2209E">
        <w:rPr>
          <w:rFonts w:ascii="Aptos" w:hAnsi="Aptos" w:eastAsia="Aptos" w:cs="Aptos"/>
          <w:i w:val="1"/>
          <w:iCs w:val="1"/>
          <w:noProof w:val="0"/>
          <w:sz w:val="24"/>
          <w:szCs w:val="24"/>
          <w:lang w:val="en-GB"/>
        </w:rPr>
        <w:t>Culture’s Consequences: Comparing Values, Behaviors, Institutions and Organizations Across Nations</w:t>
      </w:r>
      <w:r w:rsidRPr="6EB0AFBF" w:rsidR="59C2209E">
        <w:rPr>
          <w:rFonts w:ascii="Aptos" w:hAnsi="Aptos" w:eastAsia="Aptos" w:cs="Aptos"/>
          <w:noProof w:val="0"/>
          <w:sz w:val="24"/>
          <w:szCs w:val="24"/>
          <w:lang w:val="en-GB"/>
        </w:rPr>
        <w:t>. 2nd edn. Thousand Oaks: Sage.</w:t>
      </w:r>
    </w:p>
    <w:p xmlns:wp14="http://schemas.microsoft.com/office/word/2010/wordml" w:rsidP="6EB0AFBF" wp14:paraId="43D0E5F7" wp14:textId="39D8AA6F">
      <w:pPr>
        <w:spacing w:before="240" w:beforeAutospacing="off" w:after="240" w:afterAutospacing="off"/>
      </w:pPr>
      <w:r w:rsidRPr="6EB0AFBF" w:rsidR="59C2209E">
        <w:rPr>
          <w:rFonts w:ascii="Aptos" w:hAnsi="Aptos" w:eastAsia="Aptos" w:cs="Aptos"/>
          <w:noProof w:val="0"/>
          <w:sz w:val="24"/>
          <w:szCs w:val="24"/>
          <w:lang w:val="en-GB"/>
        </w:rPr>
        <w:t xml:space="preserve">Louhiala‑Salminen, L. and Kankaanranta, A. (2012) ‘Language as an issue in international internal communication: English or local language?’, </w:t>
      </w:r>
      <w:r w:rsidRPr="6EB0AFBF" w:rsidR="59C2209E">
        <w:rPr>
          <w:rFonts w:ascii="Aptos" w:hAnsi="Aptos" w:eastAsia="Aptos" w:cs="Aptos"/>
          <w:i w:val="1"/>
          <w:iCs w:val="1"/>
          <w:noProof w:val="0"/>
          <w:sz w:val="24"/>
          <w:szCs w:val="24"/>
          <w:lang w:val="en-GB"/>
        </w:rPr>
        <w:t>Public Relations Review</w:t>
      </w:r>
      <w:r w:rsidRPr="6EB0AFBF" w:rsidR="59C2209E">
        <w:rPr>
          <w:rFonts w:ascii="Aptos" w:hAnsi="Aptos" w:eastAsia="Aptos" w:cs="Aptos"/>
          <w:noProof w:val="0"/>
          <w:sz w:val="24"/>
          <w:szCs w:val="24"/>
          <w:lang w:val="en-GB"/>
        </w:rPr>
        <w:t>, 38(2), pp. 262–269.</w:t>
      </w:r>
    </w:p>
    <w:p xmlns:wp14="http://schemas.microsoft.com/office/word/2010/wordml" w:rsidP="6EB0AFBF" wp14:paraId="6DC688BC" wp14:textId="5E6484B1">
      <w:pPr>
        <w:spacing w:before="240" w:beforeAutospacing="off" w:after="240" w:afterAutospacing="off"/>
        <w:rPr>
          <w:rFonts w:ascii="Aptos" w:hAnsi="Aptos" w:eastAsia="Aptos" w:cs="Aptos"/>
          <w:noProof w:val="0"/>
          <w:sz w:val="24"/>
          <w:szCs w:val="24"/>
          <w:lang w:val="en-GB"/>
        </w:rPr>
      </w:pPr>
      <w:r w:rsidRPr="6EB0AFBF" w:rsidR="59C2209E">
        <w:rPr>
          <w:rFonts w:ascii="Aptos" w:hAnsi="Aptos" w:eastAsia="Aptos" w:cs="Aptos"/>
          <w:noProof w:val="0"/>
          <w:sz w:val="24"/>
          <w:szCs w:val="24"/>
          <w:lang w:val="en-GB"/>
        </w:rPr>
        <w:t xml:space="preserve">Masdar (2024) </w:t>
      </w:r>
      <w:r w:rsidRPr="6EB0AFBF" w:rsidR="59C2209E">
        <w:rPr>
          <w:rFonts w:ascii="Aptos" w:hAnsi="Aptos" w:eastAsia="Aptos" w:cs="Aptos"/>
          <w:i w:val="1"/>
          <w:iCs w:val="1"/>
          <w:noProof w:val="0"/>
          <w:sz w:val="24"/>
          <w:szCs w:val="24"/>
          <w:lang w:val="en-GB"/>
        </w:rPr>
        <w:t>Masdar global partnerships</w:t>
      </w:r>
      <w:r w:rsidRPr="6EB0AFBF" w:rsidR="59C2209E">
        <w:rPr>
          <w:rFonts w:ascii="Aptos" w:hAnsi="Aptos" w:eastAsia="Aptos" w:cs="Aptos"/>
          <w:noProof w:val="0"/>
          <w:sz w:val="24"/>
          <w:szCs w:val="24"/>
          <w:lang w:val="en-GB"/>
        </w:rPr>
        <w:t xml:space="preserve">. Available at: </w:t>
      </w:r>
      <w:hyperlink r:id="Rddfdccd1adc34639">
        <w:r w:rsidRPr="6EB0AFBF" w:rsidR="59C2209E">
          <w:rPr>
            <w:rStyle w:val="Hyperlink"/>
            <w:rFonts w:ascii="Aptos" w:hAnsi="Aptos" w:eastAsia="Aptos" w:cs="Aptos"/>
            <w:noProof w:val="0"/>
            <w:sz w:val="24"/>
            <w:szCs w:val="24"/>
            <w:lang w:val="en-GB"/>
          </w:rPr>
          <w:t>https://www.masdar.ae</w:t>
        </w:r>
      </w:hyperlink>
      <w:r w:rsidRPr="6EB0AFBF" w:rsidR="59C2209E">
        <w:rPr>
          <w:rFonts w:ascii="Aptos" w:hAnsi="Aptos" w:eastAsia="Aptos" w:cs="Aptos"/>
          <w:noProof w:val="0"/>
          <w:sz w:val="24"/>
          <w:szCs w:val="24"/>
          <w:lang w:val="en-GB"/>
        </w:rPr>
        <w:t xml:space="preserve"> (Accessed: </w:t>
      </w:r>
      <w:r w:rsidRPr="6EB0AFBF" w:rsidR="1DEDFEE8">
        <w:rPr>
          <w:rFonts w:ascii="Aptos" w:hAnsi="Aptos" w:eastAsia="Aptos" w:cs="Aptos"/>
          <w:noProof w:val="0"/>
          <w:sz w:val="24"/>
          <w:szCs w:val="24"/>
          <w:lang w:val="en-GB"/>
        </w:rPr>
        <w:t>18</w:t>
      </w:r>
      <w:r w:rsidRPr="6EB0AFBF" w:rsidR="59C2209E">
        <w:rPr>
          <w:rFonts w:ascii="Aptos" w:hAnsi="Aptos" w:eastAsia="Aptos" w:cs="Aptos"/>
          <w:noProof w:val="0"/>
          <w:sz w:val="24"/>
          <w:szCs w:val="24"/>
          <w:lang w:val="en-GB"/>
        </w:rPr>
        <w:t xml:space="preserve"> </w:t>
      </w:r>
      <w:r w:rsidRPr="6EB0AFBF" w:rsidR="15DC7C52">
        <w:rPr>
          <w:rFonts w:ascii="Aptos" w:hAnsi="Aptos" w:eastAsia="Aptos" w:cs="Aptos"/>
          <w:noProof w:val="0"/>
          <w:sz w:val="24"/>
          <w:szCs w:val="24"/>
          <w:lang w:val="en-GB"/>
        </w:rPr>
        <w:t>December</w:t>
      </w:r>
      <w:r w:rsidRPr="6EB0AFBF" w:rsidR="59C2209E">
        <w:rPr>
          <w:rFonts w:ascii="Aptos" w:hAnsi="Aptos" w:eastAsia="Aptos" w:cs="Aptos"/>
          <w:noProof w:val="0"/>
          <w:sz w:val="24"/>
          <w:szCs w:val="24"/>
          <w:lang w:val="en-GB"/>
        </w:rPr>
        <w:t xml:space="preserve"> 2025).</w:t>
      </w:r>
    </w:p>
    <w:p xmlns:wp14="http://schemas.microsoft.com/office/word/2010/wordml" w:rsidP="6EB0AFBF" wp14:paraId="372FA629" wp14:textId="1ECB7E91">
      <w:pPr>
        <w:spacing w:before="240" w:beforeAutospacing="off" w:after="240" w:afterAutospacing="off"/>
      </w:pPr>
      <w:r w:rsidRPr="6EB0AFBF" w:rsidR="59C2209E">
        <w:rPr>
          <w:rFonts w:ascii="Aptos" w:hAnsi="Aptos" w:eastAsia="Aptos" w:cs="Aptos"/>
          <w:noProof w:val="0"/>
          <w:sz w:val="24"/>
          <w:szCs w:val="24"/>
          <w:lang w:val="en-GB"/>
        </w:rPr>
        <w:t xml:space="preserve">Samovar, L., Porter, R. and McDaniel, E. (2010) </w:t>
      </w:r>
      <w:r w:rsidRPr="6EB0AFBF" w:rsidR="59C2209E">
        <w:rPr>
          <w:rFonts w:ascii="Aptos" w:hAnsi="Aptos" w:eastAsia="Aptos" w:cs="Aptos"/>
          <w:i w:val="1"/>
          <w:iCs w:val="1"/>
          <w:noProof w:val="0"/>
          <w:sz w:val="24"/>
          <w:szCs w:val="24"/>
          <w:lang w:val="en-GB"/>
        </w:rPr>
        <w:t>Communication Between Cultures</w:t>
      </w:r>
      <w:r w:rsidRPr="6EB0AFBF" w:rsidR="59C2209E">
        <w:rPr>
          <w:rFonts w:ascii="Aptos" w:hAnsi="Aptos" w:eastAsia="Aptos" w:cs="Aptos"/>
          <w:noProof w:val="0"/>
          <w:sz w:val="24"/>
          <w:szCs w:val="24"/>
          <w:lang w:val="en-GB"/>
        </w:rPr>
        <w:t>. 7th edn. Boston: Wadsworth.</w:t>
      </w:r>
    </w:p>
    <w:p xmlns:wp14="http://schemas.microsoft.com/office/word/2010/wordml" w:rsidP="6EB0AFBF" wp14:paraId="4FEDF5F2" wp14:textId="79442BC1">
      <w:pPr>
        <w:spacing w:before="240" w:beforeAutospacing="off" w:after="240" w:afterAutospacing="off"/>
      </w:pPr>
      <w:r w:rsidRPr="6EB0AFBF" w:rsidR="59C2209E">
        <w:rPr>
          <w:rFonts w:ascii="Aptos" w:hAnsi="Aptos" w:eastAsia="Aptos" w:cs="Aptos"/>
          <w:noProof w:val="0"/>
          <w:sz w:val="24"/>
          <w:szCs w:val="24"/>
          <w:lang w:val="en-GB"/>
        </w:rPr>
        <w:t xml:space="preserve">Ting‑Toomey, S. (2005) ‘The matrix of face: An updated face‑negotiation theory’, in Gudykunst, W. (ed.) </w:t>
      </w:r>
      <w:r w:rsidRPr="6EB0AFBF" w:rsidR="59C2209E">
        <w:rPr>
          <w:rFonts w:ascii="Aptos" w:hAnsi="Aptos" w:eastAsia="Aptos" w:cs="Aptos"/>
          <w:i w:val="1"/>
          <w:iCs w:val="1"/>
          <w:noProof w:val="0"/>
          <w:sz w:val="24"/>
          <w:szCs w:val="24"/>
          <w:lang w:val="en-GB"/>
        </w:rPr>
        <w:t>Theorizing About Intercultural Communication</w:t>
      </w:r>
      <w:r w:rsidRPr="6EB0AFBF" w:rsidR="59C2209E">
        <w:rPr>
          <w:rFonts w:ascii="Aptos" w:hAnsi="Aptos" w:eastAsia="Aptos" w:cs="Aptos"/>
          <w:noProof w:val="0"/>
          <w:sz w:val="24"/>
          <w:szCs w:val="24"/>
          <w:lang w:val="en-GB"/>
        </w:rPr>
        <w:t>. Thousand Oaks: Sage, pp. 71–92.</w:t>
      </w:r>
    </w:p>
    <w:p xmlns:wp14="http://schemas.microsoft.com/office/word/2010/wordml" w:rsidP="6EB0AFBF" wp14:paraId="2CDAB90B" wp14:textId="79C634E1">
      <w:pPr>
        <w:spacing w:before="240" w:beforeAutospacing="off" w:after="240" w:afterAutospacing="off"/>
      </w:pPr>
      <w:r w:rsidRPr="6EB0AFBF" w:rsidR="59C2209E">
        <w:rPr>
          <w:rFonts w:ascii="Aptos" w:hAnsi="Aptos" w:eastAsia="Aptos" w:cs="Aptos"/>
          <w:noProof w:val="0"/>
          <w:sz w:val="24"/>
          <w:szCs w:val="24"/>
          <w:lang w:val="en-GB"/>
        </w:rPr>
        <w:t xml:space="preserve">Trompenaars, F. and Hampden‑Turner, C. (1998) </w:t>
      </w:r>
      <w:r w:rsidRPr="6EB0AFBF" w:rsidR="59C2209E">
        <w:rPr>
          <w:rFonts w:ascii="Aptos" w:hAnsi="Aptos" w:eastAsia="Aptos" w:cs="Aptos"/>
          <w:i w:val="1"/>
          <w:iCs w:val="1"/>
          <w:noProof w:val="0"/>
          <w:sz w:val="24"/>
          <w:szCs w:val="24"/>
          <w:lang w:val="en-GB"/>
        </w:rPr>
        <w:t>Riding the Waves of Culture: Understanding Diversity in Global Business</w:t>
      </w:r>
      <w:r w:rsidRPr="6EB0AFBF" w:rsidR="59C2209E">
        <w:rPr>
          <w:rFonts w:ascii="Aptos" w:hAnsi="Aptos" w:eastAsia="Aptos" w:cs="Aptos"/>
          <w:noProof w:val="0"/>
          <w:sz w:val="24"/>
          <w:szCs w:val="24"/>
          <w:lang w:val="en-GB"/>
        </w:rPr>
        <w:t>. 2nd edn. London: Nicholas Brealey.</w:t>
      </w:r>
    </w:p>
    <w:p xmlns:wp14="http://schemas.microsoft.com/office/word/2010/wordml" w:rsidP="6EB0AFBF" wp14:paraId="3E42A527" wp14:textId="6EE6F728">
      <w:pPr>
        <w:spacing w:before="240" w:beforeAutospacing="off" w:after="240" w:afterAutospacing="off"/>
      </w:pPr>
      <w:r w:rsidRPr="6EB0AFBF" w:rsidR="59C2209E">
        <w:rPr>
          <w:rFonts w:ascii="Aptos" w:hAnsi="Aptos" w:eastAsia="Aptos" w:cs="Aptos"/>
          <w:noProof w:val="0"/>
          <w:sz w:val="24"/>
          <w:szCs w:val="24"/>
          <w:lang w:val="en-GB"/>
        </w:rPr>
        <w:t xml:space="preserve">UK Department for Business and Trade (2024) </w:t>
      </w:r>
      <w:r w:rsidRPr="6EB0AFBF" w:rsidR="59C2209E">
        <w:rPr>
          <w:rFonts w:ascii="Aptos" w:hAnsi="Aptos" w:eastAsia="Aptos" w:cs="Aptos"/>
          <w:i w:val="1"/>
          <w:iCs w:val="1"/>
          <w:noProof w:val="0"/>
          <w:sz w:val="24"/>
          <w:szCs w:val="24"/>
          <w:lang w:val="en-GB"/>
        </w:rPr>
        <w:t>UK–UAE trade relations</w:t>
      </w:r>
      <w:r w:rsidRPr="6EB0AFBF" w:rsidR="59C2209E">
        <w:rPr>
          <w:rFonts w:ascii="Aptos" w:hAnsi="Aptos" w:eastAsia="Aptos" w:cs="Aptos"/>
          <w:noProof w:val="0"/>
          <w:sz w:val="24"/>
          <w:szCs w:val="24"/>
          <w:lang w:val="en-GB"/>
        </w:rPr>
        <w:t xml:space="preserve">. Available at: </w:t>
      </w:r>
      <w:hyperlink r:id="R526766548f7041e8">
        <w:r w:rsidRPr="6EB0AFBF" w:rsidR="59C2209E">
          <w:rPr>
            <w:rStyle w:val="Hyperlink"/>
            <w:rFonts w:ascii="Aptos" w:hAnsi="Aptos" w:eastAsia="Aptos" w:cs="Aptos"/>
            <w:noProof w:val="0"/>
            <w:sz w:val="24"/>
            <w:szCs w:val="24"/>
            <w:lang w:val="en-GB"/>
          </w:rPr>
          <w:t>https://www.gov.uk</w:t>
        </w:r>
      </w:hyperlink>
      <w:r w:rsidRPr="6EB0AFBF" w:rsidR="59C2209E">
        <w:rPr>
          <w:rFonts w:ascii="Aptos" w:hAnsi="Aptos" w:eastAsia="Aptos" w:cs="Aptos"/>
          <w:noProof w:val="0"/>
          <w:sz w:val="24"/>
          <w:szCs w:val="24"/>
          <w:lang w:val="en-GB"/>
        </w:rPr>
        <w:t xml:space="preserve"> (Accessed: </w:t>
      </w:r>
      <w:r w:rsidRPr="6EB0AFBF" w:rsidR="64A6AB0F">
        <w:rPr>
          <w:rFonts w:ascii="Aptos" w:hAnsi="Aptos" w:eastAsia="Aptos" w:cs="Aptos"/>
          <w:noProof w:val="0"/>
          <w:sz w:val="24"/>
          <w:szCs w:val="24"/>
          <w:lang w:val="en-GB"/>
        </w:rPr>
        <w:t>2</w:t>
      </w:r>
      <w:r w:rsidRPr="6EB0AFBF" w:rsidR="59C2209E">
        <w:rPr>
          <w:rFonts w:ascii="Aptos" w:hAnsi="Aptos" w:eastAsia="Aptos" w:cs="Aptos"/>
          <w:noProof w:val="0"/>
          <w:sz w:val="24"/>
          <w:szCs w:val="24"/>
          <w:lang w:val="en-GB"/>
        </w:rPr>
        <w:t>0</w:t>
      </w:r>
      <w:r w:rsidRPr="6EB0AFBF" w:rsidR="36A34140">
        <w:rPr>
          <w:rFonts w:ascii="Aptos" w:hAnsi="Aptos" w:eastAsia="Aptos" w:cs="Aptos"/>
          <w:noProof w:val="0"/>
          <w:sz w:val="24"/>
          <w:szCs w:val="24"/>
          <w:lang w:val="en-GB"/>
        </w:rPr>
        <w:t xml:space="preserve"> December</w:t>
      </w:r>
      <w:r w:rsidRPr="6EB0AFBF" w:rsidR="59C2209E">
        <w:rPr>
          <w:rFonts w:ascii="Aptos" w:hAnsi="Aptos" w:eastAsia="Aptos" w:cs="Aptos"/>
          <w:noProof w:val="0"/>
          <w:sz w:val="24"/>
          <w:szCs w:val="24"/>
          <w:lang w:val="en-GB"/>
        </w:rPr>
        <w:t xml:space="preserve"> 2025).</w:t>
      </w:r>
    </w:p>
    <w:p xmlns:wp14="http://schemas.microsoft.com/office/word/2010/wordml" w:rsidP="6EB0AFBF" wp14:paraId="71F63047" wp14:textId="096245B4">
      <w:pPr>
        <w:spacing w:before="240" w:beforeAutospacing="off" w:after="240" w:afterAutospacing="off"/>
      </w:pPr>
      <w:r w:rsidRPr="6EB0AFBF" w:rsidR="59C2209E">
        <w:rPr>
          <w:rFonts w:ascii="Aptos" w:hAnsi="Aptos" w:eastAsia="Aptos" w:cs="Aptos"/>
          <w:noProof w:val="0"/>
          <w:sz w:val="24"/>
          <w:szCs w:val="24"/>
          <w:lang w:val="en-GB"/>
        </w:rPr>
        <w:t xml:space="preserve">World Bank (2023) </w:t>
      </w:r>
      <w:r w:rsidRPr="6EB0AFBF" w:rsidR="59C2209E">
        <w:rPr>
          <w:rFonts w:ascii="Aptos" w:hAnsi="Aptos" w:eastAsia="Aptos" w:cs="Aptos"/>
          <w:i w:val="1"/>
          <w:iCs w:val="1"/>
          <w:noProof w:val="0"/>
          <w:sz w:val="24"/>
          <w:szCs w:val="24"/>
          <w:lang w:val="en-GB"/>
        </w:rPr>
        <w:t>UAE business environment report</w:t>
      </w:r>
      <w:r w:rsidRPr="6EB0AFBF" w:rsidR="59C2209E">
        <w:rPr>
          <w:rFonts w:ascii="Aptos" w:hAnsi="Aptos" w:eastAsia="Aptos" w:cs="Aptos"/>
          <w:noProof w:val="0"/>
          <w:sz w:val="24"/>
          <w:szCs w:val="24"/>
          <w:lang w:val="en-GB"/>
        </w:rPr>
        <w:t xml:space="preserve">. Available at: </w:t>
      </w:r>
      <w:hyperlink r:id="Rb454e613b91c40b3">
        <w:r w:rsidRPr="6EB0AFBF" w:rsidR="59C2209E">
          <w:rPr>
            <w:rStyle w:val="Hyperlink"/>
            <w:rFonts w:ascii="Aptos" w:hAnsi="Aptos" w:eastAsia="Aptos" w:cs="Aptos"/>
            <w:noProof w:val="0"/>
            <w:sz w:val="24"/>
            <w:szCs w:val="24"/>
            <w:lang w:val="en-GB"/>
          </w:rPr>
          <w:t>https://www.worldbank.org</w:t>
        </w:r>
      </w:hyperlink>
      <w:r w:rsidRPr="6EB0AFBF" w:rsidR="59C2209E">
        <w:rPr>
          <w:rFonts w:ascii="Aptos" w:hAnsi="Aptos" w:eastAsia="Aptos" w:cs="Aptos"/>
          <w:noProof w:val="0"/>
          <w:sz w:val="24"/>
          <w:szCs w:val="24"/>
          <w:lang w:val="en-GB"/>
        </w:rPr>
        <w:t xml:space="preserve"> (Accessed: </w:t>
      </w:r>
      <w:r w:rsidRPr="6EB0AFBF" w:rsidR="57125D39">
        <w:rPr>
          <w:rFonts w:ascii="Aptos" w:hAnsi="Aptos" w:eastAsia="Aptos" w:cs="Aptos"/>
          <w:noProof w:val="0"/>
          <w:sz w:val="24"/>
          <w:szCs w:val="24"/>
          <w:lang w:val="en-GB"/>
        </w:rPr>
        <w:t>2</w:t>
      </w:r>
      <w:r w:rsidRPr="6EB0AFBF" w:rsidR="59C2209E">
        <w:rPr>
          <w:rFonts w:ascii="Aptos" w:hAnsi="Aptos" w:eastAsia="Aptos" w:cs="Aptos"/>
          <w:noProof w:val="0"/>
          <w:sz w:val="24"/>
          <w:szCs w:val="24"/>
          <w:lang w:val="en-GB"/>
        </w:rPr>
        <w:t xml:space="preserve">0 </w:t>
      </w:r>
      <w:r w:rsidRPr="6EB0AFBF" w:rsidR="57D983B6">
        <w:rPr>
          <w:rFonts w:ascii="Aptos" w:hAnsi="Aptos" w:eastAsia="Aptos" w:cs="Aptos"/>
          <w:noProof w:val="0"/>
          <w:sz w:val="24"/>
          <w:szCs w:val="24"/>
          <w:lang w:val="en-GB"/>
        </w:rPr>
        <w:t>December</w:t>
      </w:r>
      <w:r w:rsidRPr="6EB0AFBF" w:rsidR="59C2209E">
        <w:rPr>
          <w:rFonts w:ascii="Aptos" w:hAnsi="Aptos" w:eastAsia="Aptos" w:cs="Aptos"/>
          <w:noProof w:val="0"/>
          <w:sz w:val="24"/>
          <w:szCs w:val="24"/>
          <w:lang w:val="en-GB"/>
        </w:rPr>
        <w:t>2025).</w:t>
      </w:r>
    </w:p>
    <w:p xmlns:wp14="http://schemas.microsoft.com/office/word/2010/wordml" w:rsidP="6EB0AFBF" wp14:paraId="78AEED5C" wp14:textId="1145EFF0">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7AFA91D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9700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7e9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566833"/>
    <w:rsid w:val="001E1016"/>
    <w:rsid w:val="01C3F270"/>
    <w:rsid w:val="052168CF"/>
    <w:rsid w:val="05899CE8"/>
    <w:rsid w:val="083363EB"/>
    <w:rsid w:val="0A00ECD3"/>
    <w:rsid w:val="103A0DF1"/>
    <w:rsid w:val="11E7FDEE"/>
    <w:rsid w:val="1534A4B3"/>
    <w:rsid w:val="1552FC63"/>
    <w:rsid w:val="15DC7C52"/>
    <w:rsid w:val="1DEDFEE8"/>
    <w:rsid w:val="1DF543CA"/>
    <w:rsid w:val="1E79DE6A"/>
    <w:rsid w:val="1E922E7B"/>
    <w:rsid w:val="1EA73304"/>
    <w:rsid w:val="2556249B"/>
    <w:rsid w:val="31F5AF06"/>
    <w:rsid w:val="3412DF52"/>
    <w:rsid w:val="36A34140"/>
    <w:rsid w:val="3A917CAF"/>
    <w:rsid w:val="3CC72580"/>
    <w:rsid w:val="3E566833"/>
    <w:rsid w:val="4089B3B5"/>
    <w:rsid w:val="41452F67"/>
    <w:rsid w:val="487FC26B"/>
    <w:rsid w:val="48EFE72B"/>
    <w:rsid w:val="4B6D355A"/>
    <w:rsid w:val="55D050E9"/>
    <w:rsid w:val="56200032"/>
    <w:rsid w:val="57125D39"/>
    <w:rsid w:val="57D983B6"/>
    <w:rsid w:val="588CFB15"/>
    <w:rsid w:val="59C2209E"/>
    <w:rsid w:val="5B3F418B"/>
    <w:rsid w:val="5D0466B4"/>
    <w:rsid w:val="5F90C864"/>
    <w:rsid w:val="61ECD438"/>
    <w:rsid w:val="63C60683"/>
    <w:rsid w:val="64811D3A"/>
    <w:rsid w:val="64A6AB0F"/>
    <w:rsid w:val="658AD949"/>
    <w:rsid w:val="681FD46B"/>
    <w:rsid w:val="6E35A035"/>
    <w:rsid w:val="6EB0AFBF"/>
    <w:rsid w:val="6F60AA19"/>
    <w:rsid w:val="709DCB72"/>
    <w:rsid w:val="71B61C46"/>
    <w:rsid w:val="74B86F8D"/>
    <w:rsid w:val="74D9EDB9"/>
    <w:rsid w:val="784E21EE"/>
    <w:rsid w:val="790F9800"/>
    <w:rsid w:val="7A88DFF7"/>
    <w:rsid w:val="7BD58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3BAEB"/>
  <w15:chartTrackingRefBased/>
  <w15:docId w15:val="{426094AD-5135-4D28-B872-42A39E5C34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EB0AFB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EB0AFB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EB0AFBF"/>
    <w:pPr>
      <w:spacing/>
      <w:ind w:left="720"/>
      <w:contextualSpacing/>
    </w:pPr>
  </w:style>
  <w:style w:type="paragraph" w:styleId="Heading3">
    <w:uiPriority w:val="9"/>
    <w:name w:val="heading 3"/>
    <w:basedOn w:val="Normal"/>
    <w:next w:val="Normal"/>
    <w:unhideWhenUsed/>
    <w:qFormat/>
    <w:rsid w:val="6EB0AFB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EB0AFB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86999332" /><Relationship Type="http://schemas.openxmlformats.org/officeDocument/2006/relationships/hyperlink" Target="https://www.bp.com" TargetMode="External" Id="R1b6ce1cd5a044652" /><Relationship Type="http://schemas.openxmlformats.org/officeDocument/2006/relationships/hyperlink" Target="https://www.masdar.ae" TargetMode="External" Id="Rddfdccd1adc34639" /><Relationship Type="http://schemas.openxmlformats.org/officeDocument/2006/relationships/hyperlink" Target="https://www.gov.uk" TargetMode="External" Id="R526766548f7041e8" /><Relationship Type="http://schemas.openxmlformats.org/officeDocument/2006/relationships/hyperlink" Target="https://www.worldbank.org" TargetMode="External" Id="Rb454e613b91c40b3" /><Relationship Type="http://schemas.openxmlformats.org/officeDocument/2006/relationships/numbering" Target="/word/numbering.xml" Id="R8af5ee9ce1154a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2</revision>
  <dcterms:created xsi:type="dcterms:W3CDTF">2025-12-21T22:04:32.5797755Z</dcterms:created>
  <dcterms:modified xsi:type="dcterms:W3CDTF">2025-12-22T12:30:45.3056386Z</dcterms:modified>
</coreProperties>
</file>