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2BA189" w14:textId="7113D013" w:rsidR="00797989" w:rsidRDefault="00797989" w:rsidP="00797989">
      <w:pPr>
        <w:spacing w:line="360" w:lineRule="auto"/>
        <w:jc w:val="center"/>
        <w:rPr>
          <w:rFonts w:ascii="Arial" w:hAnsi="Arial" w:cs="Arial"/>
          <w:b/>
        </w:rPr>
      </w:pPr>
      <w:r w:rsidRPr="00797989">
        <w:rPr>
          <w:rFonts w:ascii="Arial" w:hAnsi="Arial" w:cs="Arial"/>
          <w:b/>
        </w:rPr>
        <w:t>Sustainable Hospitality &amp; Tourism Management</w:t>
      </w:r>
    </w:p>
    <w:p w14:paraId="7F00B823" w14:textId="6EC19D43" w:rsidR="00797989" w:rsidRDefault="00797989" w:rsidP="00797989">
      <w:pPr>
        <w:spacing w:line="360" w:lineRule="auto"/>
        <w:jc w:val="center"/>
        <w:rPr>
          <w:rFonts w:ascii="Arial" w:hAnsi="Arial" w:cs="Arial"/>
          <w:b/>
        </w:rPr>
      </w:pPr>
      <w:r w:rsidRPr="00797989">
        <w:rPr>
          <w:rFonts w:ascii="Arial" w:hAnsi="Arial" w:cs="Arial"/>
          <w:b/>
        </w:rPr>
        <w:t>BMIH5006</w:t>
      </w:r>
    </w:p>
    <w:p w14:paraId="4CC3D83B" w14:textId="307B2BED" w:rsidR="00797989" w:rsidRDefault="00797989" w:rsidP="00797989">
      <w:pPr>
        <w:spacing w:line="360" w:lineRule="auto"/>
        <w:jc w:val="center"/>
        <w:rPr>
          <w:rFonts w:ascii="Arial" w:hAnsi="Arial" w:cs="Arial"/>
          <w:b/>
          <w:lang w:val="it-IT"/>
        </w:rPr>
      </w:pPr>
      <w:r>
        <w:rPr>
          <w:rFonts w:ascii="Arial" w:hAnsi="Arial" w:cs="Arial"/>
          <w:b/>
          <w:lang w:val="it-IT"/>
        </w:rPr>
        <w:t xml:space="preserve">Lecturer: </w:t>
      </w:r>
      <w:r w:rsidRPr="00797989">
        <w:rPr>
          <w:rFonts w:ascii="Arial" w:hAnsi="Arial" w:cs="Arial"/>
          <w:b/>
          <w:lang w:val="it-IT"/>
        </w:rPr>
        <w:t>Lisa Knight</w:t>
      </w:r>
    </w:p>
    <w:p w14:paraId="34F1C65C" w14:textId="10A94FD7" w:rsidR="00797989" w:rsidRDefault="00797989" w:rsidP="00797989">
      <w:pPr>
        <w:spacing w:line="360" w:lineRule="auto"/>
        <w:jc w:val="center"/>
        <w:rPr>
          <w:rFonts w:ascii="Arial" w:hAnsi="Arial" w:cs="Arial"/>
          <w:b/>
          <w:lang w:val="it-IT"/>
        </w:rPr>
      </w:pPr>
      <w:r>
        <w:rPr>
          <w:rFonts w:ascii="Arial" w:hAnsi="Arial" w:cs="Arial"/>
          <w:b/>
          <w:lang w:val="it-IT"/>
        </w:rPr>
        <w:t>Student: Ioana-Alexandra Frumusanu</w:t>
      </w:r>
    </w:p>
    <w:p w14:paraId="28ABB3C6" w14:textId="073E95FC" w:rsidR="00797989" w:rsidRDefault="00797989" w:rsidP="00797989">
      <w:pPr>
        <w:spacing w:line="360" w:lineRule="auto"/>
        <w:jc w:val="center"/>
        <w:rPr>
          <w:rFonts w:ascii="Arial" w:hAnsi="Arial" w:cs="Arial"/>
          <w:b/>
          <w:lang w:val="it-IT"/>
        </w:rPr>
      </w:pPr>
      <w:r>
        <w:rPr>
          <w:rFonts w:ascii="Arial" w:hAnsi="Arial" w:cs="Arial"/>
          <w:b/>
          <w:lang w:val="it-IT"/>
        </w:rPr>
        <w:t>Student number: 2212521</w:t>
      </w:r>
    </w:p>
    <w:p w14:paraId="5E86C2F8" w14:textId="00D03B9D" w:rsidR="00797989" w:rsidRDefault="00797989" w:rsidP="00797989">
      <w:pPr>
        <w:spacing w:line="360" w:lineRule="auto"/>
        <w:jc w:val="center"/>
        <w:rPr>
          <w:rFonts w:ascii="Arial" w:hAnsi="Arial" w:cs="Arial"/>
          <w:b/>
        </w:rPr>
      </w:pPr>
      <w:r w:rsidRPr="00797989">
        <w:rPr>
          <w:rFonts w:ascii="Arial" w:hAnsi="Arial" w:cs="Arial"/>
          <w:b/>
        </w:rPr>
        <w:t>Word count</w:t>
      </w:r>
      <w:r>
        <w:rPr>
          <w:rFonts w:ascii="Arial" w:hAnsi="Arial" w:cs="Arial"/>
          <w:b/>
        </w:rPr>
        <w:t>: 1992</w:t>
      </w:r>
    </w:p>
    <w:p w14:paraId="3B4F0B22" w14:textId="77777777" w:rsidR="00797989" w:rsidRDefault="00797989" w:rsidP="00797989">
      <w:pPr>
        <w:spacing w:line="360" w:lineRule="auto"/>
        <w:jc w:val="center"/>
        <w:rPr>
          <w:rFonts w:ascii="Arial" w:hAnsi="Arial" w:cs="Arial"/>
          <w:b/>
        </w:rPr>
      </w:pPr>
    </w:p>
    <w:p w14:paraId="45A2AF27" w14:textId="77777777" w:rsidR="00797989" w:rsidRDefault="00797989" w:rsidP="00797989">
      <w:pPr>
        <w:spacing w:line="360" w:lineRule="auto"/>
        <w:jc w:val="center"/>
        <w:rPr>
          <w:rFonts w:ascii="Arial" w:hAnsi="Arial" w:cs="Arial"/>
          <w:b/>
        </w:rPr>
      </w:pPr>
    </w:p>
    <w:p w14:paraId="125456D4" w14:textId="77777777" w:rsidR="00797989" w:rsidRDefault="00797989" w:rsidP="00797989">
      <w:pPr>
        <w:spacing w:line="360" w:lineRule="auto"/>
        <w:jc w:val="center"/>
        <w:rPr>
          <w:rFonts w:ascii="Arial" w:hAnsi="Arial" w:cs="Arial"/>
          <w:b/>
        </w:rPr>
      </w:pPr>
    </w:p>
    <w:p w14:paraId="691FAB2A" w14:textId="77777777" w:rsidR="00797989" w:rsidRDefault="00797989" w:rsidP="00797989">
      <w:pPr>
        <w:spacing w:line="360" w:lineRule="auto"/>
        <w:jc w:val="center"/>
        <w:rPr>
          <w:rFonts w:ascii="Arial" w:hAnsi="Arial" w:cs="Arial"/>
          <w:b/>
        </w:rPr>
      </w:pPr>
    </w:p>
    <w:p w14:paraId="49B8F814" w14:textId="77777777" w:rsidR="00797989" w:rsidRDefault="00797989" w:rsidP="00797989">
      <w:pPr>
        <w:spacing w:line="360" w:lineRule="auto"/>
        <w:jc w:val="center"/>
        <w:rPr>
          <w:rFonts w:ascii="Arial" w:hAnsi="Arial" w:cs="Arial"/>
          <w:b/>
        </w:rPr>
      </w:pPr>
    </w:p>
    <w:p w14:paraId="1A7EF8FC" w14:textId="77777777" w:rsidR="00797989" w:rsidRDefault="00797989" w:rsidP="00797989">
      <w:pPr>
        <w:spacing w:line="360" w:lineRule="auto"/>
        <w:jc w:val="center"/>
        <w:rPr>
          <w:rFonts w:ascii="Arial" w:hAnsi="Arial" w:cs="Arial"/>
          <w:b/>
        </w:rPr>
      </w:pPr>
    </w:p>
    <w:sdt>
      <w:sdtPr>
        <w:rPr>
          <w:rFonts w:asciiTheme="minorHAnsi" w:eastAsiaTheme="minorHAnsi" w:hAnsiTheme="minorHAnsi" w:cstheme="minorBidi"/>
          <w:color w:val="auto"/>
          <w:kern w:val="2"/>
          <w:sz w:val="24"/>
          <w:szCs w:val="24"/>
          <w:lang w:val="en-GB"/>
          <w14:ligatures w14:val="standardContextual"/>
        </w:rPr>
        <w:id w:val="604538065"/>
        <w:docPartObj>
          <w:docPartGallery w:val="Table of Contents"/>
          <w:docPartUnique/>
        </w:docPartObj>
      </w:sdtPr>
      <w:sdtEndPr>
        <w:rPr>
          <w:b/>
          <w:bCs/>
          <w:noProof/>
        </w:rPr>
      </w:sdtEndPr>
      <w:sdtContent>
        <w:p w14:paraId="7BE74840" w14:textId="177FD0D8" w:rsidR="00797989" w:rsidRDefault="00797989">
          <w:pPr>
            <w:pStyle w:val="TOCHeading"/>
          </w:pPr>
          <w:r>
            <w:t>Contents</w:t>
          </w:r>
        </w:p>
        <w:p w14:paraId="6C613380" w14:textId="00B926CE" w:rsidR="00797989" w:rsidRDefault="00797989">
          <w:pPr>
            <w:pStyle w:val="TOC1"/>
            <w:tabs>
              <w:tab w:val="right" w:leader="dot" w:pos="9016"/>
            </w:tabs>
            <w:rPr>
              <w:noProof/>
            </w:rPr>
          </w:pPr>
          <w:r>
            <w:fldChar w:fldCharType="begin"/>
          </w:r>
          <w:r>
            <w:instrText xml:space="preserve"> TOC \o "1-3" \h \z \u </w:instrText>
          </w:r>
          <w:r>
            <w:fldChar w:fldCharType="separate"/>
          </w:r>
          <w:hyperlink w:anchor="_Toc181980508" w:history="1">
            <w:r w:rsidRPr="007304D4">
              <w:rPr>
                <w:rStyle w:val="Hyperlink"/>
                <w:noProof/>
              </w:rPr>
              <w:t>Introduction</w:t>
            </w:r>
            <w:r>
              <w:rPr>
                <w:noProof/>
                <w:webHidden/>
              </w:rPr>
              <w:tab/>
            </w:r>
            <w:r>
              <w:rPr>
                <w:noProof/>
                <w:webHidden/>
              </w:rPr>
              <w:fldChar w:fldCharType="begin"/>
            </w:r>
            <w:r>
              <w:rPr>
                <w:noProof/>
                <w:webHidden/>
              </w:rPr>
              <w:instrText xml:space="preserve"> PAGEREF _Toc181980508 \h </w:instrText>
            </w:r>
            <w:r>
              <w:rPr>
                <w:noProof/>
                <w:webHidden/>
              </w:rPr>
            </w:r>
            <w:r>
              <w:rPr>
                <w:noProof/>
                <w:webHidden/>
              </w:rPr>
              <w:fldChar w:fldCharType="separate"/>
            </w:r>
            <w:r>
              <w:rPr>
                <w:noProof/>
                <w:webHidden/>
              </w:rPr>
              <w:t>2</w:t>
            </w:r>
            <w:r>
              <w:rPr>
                <w:noProof/>
                <w:webHidden/>
              </w:rPr>
              <w:fldChar w:fldCharType="end"/>
            </w:r>
          </w:hyperlink>
        </w:p>
        <w:p w14:paraId="6801A12B" w14:textId="00D02432" w:rsidR="00797989" w:rsidRDefault="00797989">
          <w:pPr>
            <w:pStyle w:val="TOC1"/>
            <w:tabs>
              <w:tab w:val="right" w:leader="dot" w:pos="9016"/>
            </w:tabs>
            <w:rPr>
              <w:noProof/>
            </w:rPr>
          </w:pPr>
          <w:hyperlink w:anchor="_Toc181980509" w:history="1">
            <w:r w:rsidRPr="007304D4">
              <w:rPr>
                <w:rStyle w:val="Hyperlink"/>
                <w:noProof/>
              </w:rPr>
              <w:t>Main body</w:t>
            </w:r>
            <w:r>
              <w:rPr>
                <w:noProof/>
                <w:webHidden/>
              </w:rPr>
              <w:tab/>
            </w:r>
            <w:r>
              <w:rPr>
                <w:noProof/>
                <w:webHidden/>
              </w:rPr>
              <w:fldChar w:fldCharType="begin"/>
            </w:r>
            <w:r>
              <w:rPr>
                <w:noProof/>
                <w:webHidden/>
              </w:rPr>
              <w:instrText xml:space="preserve"> PAGEREF _Toc181980509 \h </w:instrText>
            </w:r>
            <w:r>
              <w:rPr>
                <w:noProof/>
                <w:webHidden/>
              </w:rPr>
            </w:r>
            <w:r>
              <w:rPr>
                <w:noProof/>
                <w:webHidden/>
              </w:rPr>
              <w:fldChar w:fldCharType="separate"/>
            </w:r>
            <w:r>
              <w:rPr>
                <w:noProof/>
                <w:webHidden/>
              </w:rPr>
              <w:t>2</w:t>
            </w:r>
            <w:r>
              <w:rPr>
                <w:noProof/>
                <w:webHidden/>
              </w:rPr>
              <w:fldChar w:fldCharType="end"/>
            </w:r>
          </w:hyperlink>
        </w:p>
        <w:p w14:paraId="2190EF93" w14:textId="61F8BBE8" w:rsidR="00797989" w:rsidRDefault="00797989">
          <w:pPr>
            <w:pStyle w:val="TOC2"/>
            <w:tabs>
              <w:tab w:val="right" w:leader="dot" w:pos="9016"/>
            </w:tabs>
            <w:rPr>
              <w:noProof/>
            </w:rPr>
          </w:pPr>
          <w:hyperlink w:anchor="_Toc181980510" w:history="1">
            <w:r w:rsidRPr="007304D4">
              <w:rPr>
                <w:rStyle w:val="Hyperlink"/>
                <w:noProof/>
              </w:rPr>
              <w:t>Key Areas of CSR Impact</w:t>
            </w:r>
            <w:r>
              <w:rPr>
                <w:noProof/>
                <w:webHidden/>
              </w:rPr>
              <w:tab/>
            </w:r>
            <w:r>
              <w:rPr>
                <w:noProof/>
                <w:webHidden/>
              </w:rPr>
              <w:fldChar w:fldCharType="begin"/>
            </w:r>
            <w:r>
              <w:rPr>
                <w:noProof/>
                <w:webHidden/>
              </w:rPr>
              <w:instrText xml:space="preserve"> PAGEREF _Toc181980510 \h </w:instrText>
            </w:r>
            <w:r>
              <w:rPr>
                <w:noProof/>
                <w:webHidden/>
              </w:rPr>
            </w:r>
            <w:r>
              <w:rPr>
                <w:noProof/>
                <w:webHidden/>
              </w:rPr>
              <w:fldChar w:fldCharType="separate"/>
            </w:r>
            <w:r>
              <w:rPr>
                <w:noProof/>
                <w:webHidden/>
              </w:rPr>
              <w:t>2</w:t>
            </w:r>
            <w:r>
              <w:rPr>
                <w:noProof/>
                <w:webHidden/>
              </w:rPr>
              <w:fldChar w:fldCharType="end"/>
            </w:r>
          </w:hyperlink>
        </w:p>
        <w:p w14:paraId="5043A508" w14:textId="44E41EF0" w:rsidR="00797989" w:rsidRDefault="00797989">
          <w:pPr>
            <w:pStyle w:val="TOC2"/>
            <w:tabs>
              <w:tab w:val="right" w:leader="dot" w:pos="9016"/>
            </w:tabs>
            <w:rPr>
              <w:noProof/>
            </w:rPr>
          </w:pPr>
          <w:hyperlink w:anchor="_Toc181980511" w:history="1">
            <w:r w:rsidRPr="007304D4">
              <w:rPr>
                <w:rStyle w:val="Hyperlink"/>
                <w:noProof/>
              </w:rPr>
              <w:t>Operational Efficiency through Circular Economy Practices:</w:t>
            </w:r>
            <w:r>
              <w:rPr>
                <w:noProof/>
                <w:webHidden/>
              </w:rPr>
              <w:tab/>
            </w:r>
            <w:r>
              <w:rPr>
                <w:noProof/>
                <w:webHidden/>
              </w:rPr>
              <w:fldChar w:fldCharType="begin"/>
            </w:r>
            <w:r>
              <w:rPr>
                <w:noProof/>
                <w:webHidden/>
              </w:rPr>
              <w:instrText xml:space="preserve"> PAGEREF _Toc181980511 \h </w:instrText>
            </w:r>
            <w:r>
              <w:rPr>
                <w:noProof/>
                <w:webHidden/>
              </w:rPr>
            </w:r>
            <w:r>
              <w:rPr>
                <w:noProof/>
                <w:webHidden/>
              </w:rPr>
              <w:fldChar w:fldCharType="separate"/>
            </w:r>
            <w:r>
              <w:rPr>
                <w:noProof/>
                <w:webHidden/>
              </w:rPr>
              <w:t>6</w:t>
            </w:r>
            <w:r>
              <w:rPr>
                <w:noProof/>
                <w:webHidden/>
              </w:rPr>
              <w:fldChar w:fldCharType="end"/>
            </w:r>
          </w:hyperlink>
        </w:p>
        <w:p w14:paraId="4E1EFA73" w14:textId="3E68EFFC" w:rsidR="00797989" w:rsidRDefault="00797989">
          <w:pPr>
            <w:pStyle w:val="TOC2"/>
            <w:tabs>
              <w:tab w:val="right" w:leader="dot" w:pos="9016"/>
            </w:tabs>
            <w:rPr>
              <w:noProof/>
            </w:rPr>
          </w:pPr>
          <w:hyperlink w:anchor="_Toc181980512" w:history="1">
            <w:r w:rsidRPr="007304D4">
              <w:rPr>
                <w:rStyle w:val="Hyperlink"/>
                <w:noProof/>
              </w:rPr>
              <w:t>Food Waste Reduction:</w:t>
            </w:r>
            <w:r>
              <w:rPr>
                <w:noProof/>
                <w:webHidden/>
              </w:rPr>
              <w:tab/>
            </w:r>
            <w:r>
              <w:rPr>
                <w:noProof/>
                <w:webHidden/>
              </w:rPr>
              <w:fldChar w:fldCharType="begin"/>
            </w:r>
            <w:r>
              <w:rPr>
                <w:noProof/>
                <w:webHidden/>
              </w:rPr>
              <w:instrText xml:space="preserve"> PAGEREF _Toc181980512 \h </w:instrText>
            </w:r>
            <w:r>
              <w:rPr>
                <w:noProof/>
                <w:webHidden/>
              </w:rPr>
            </w:r>
            <w:r>
              <w:rPr>
                <w:noProof/>
                <w:webHidden/>
              </w:rPr>
              <w:fldChar w:fldCharType="separate"/>
            </w:r>
            <w:r>
              <w:rPr>
                <w:noProof/>
                <w:webHidden/>
              </w:rPr>
              <w:t>6</w:t>
            </w:r>
            <w:r>
              <w:rPr>
                <w:noProof/>
                <w:webHidden/>
              </w:rPr>
              <w:fldChar w:fldCharType="end"/>
            </w:r>
          </w:hyperlink>
        </w:p>
        <w:p w14:paraId="157ADFC0" w14:textId="32125E1F" w:rsidR="00797989" w:rsidRDefault="00797989">
          <w:pPr>
            <w:pStyle w:val="TOC2"/>
            <w:tabs>
              <w:tab w:val="right" w:leader="dot" w:pos="9016"/>
            </w:tabs>
            <w:rPr>
              <w:noProof/>
            </w:rPr>
          </w:pPr>
          <w:hyperlink w:anchor="_Toc181980513" w:history="1">
            <w:r w:rsidRPr="007304D4">
              <w:rPr>
                <w:rStyle w:val="Hyperlink"/>
                <w:noProof/>
              </w:rPr>
              <w:t>Challenges in Implementing CSR Policies</w:t>
            </w:r>
            <w:r>
              <w:rPr>
                <w:noProof/>
                <w:webHidden/>
              </w:rPr>
              <w:tab/>
            </w:r>
            <w:r>
              <w:rPr>
                <w:noProof/>
                <w:webHidden/>
              </w:rPr>
              <w:fldChar w:fldCharType="begin"/>
            </w:r>
            <w:r>
              <w:rPr>
                <w:noProof/>
                <w:webHidden/>
              </w:rPr>
              <w:instrText xml:space="preserve"> PAGEREF _Toc181980513 \h </w:instrText>
            </w:r>
            <w:r>
              <w:rPr>
                <w:noProof/>
                <w:webHidden/>
              </w:rPr>
            </w:r>
            <w:r>
              <w:rPr>
                <w:noProof/>
                <w:webHidden/>
              </w:rPr>
              <w:fldChar w:fldCharType="separate"/>
            </w:r>
            <w:r>
              <w:rPr>
                <w:noProof/>
                <w:webHidden/>
              </w:rPr>
              <w:t>7</w:t>
            </w:r>
            <w:r>
              <w:rPr>
                <w:noProof/>
                <w:webHidden/>
              </w:rPr>
              <w:fldChar w:fldCharType="end"/>
            </w:r>
          </w:hyperlink>
        </w:p>
        <w:p w14:paraId="25E697A7" w14:textId="5755B1CF" w:rsidR="00797989" w:rsidRDefault="00797989">
          <w:pPr>
            <w:pStyle w:val="TOC2"/>
            <w:tabs>
              <w:tab w:val="right" w:leader="dot" w:pos="9016"/>
            </w:tabs>
            <w:rPr>
              <w:noProof/>
            </w:rPr>
          </w:pPr>
          <w:hyperlink w:anchor="_Toc181980514" w:history="1">
            <w:r w:rsidRPr="007304D4">
              <w:rPr>
                <w:rStyle w:val="Hyperlink"/>
                <w:noProof/>
              </w:rPr>
              <w:t>Opportunities for Enhancing CSR Impact</w:t>
            </w:r>
            <w:r>
              <w:rPr>
                <w:noProof/>
                <w:webHidden/>
              </w:rPr>
              <w:tab/>
            </w:r>
            <w:r>
              <w:rPr>
                <w:noProof/>
                <w:webHidden/>
              </w:rPr>
              <w:fldChar w:fldCharType="begin"/>
            </w:r>
            <w:r>
              <w:rPr>
                <w:noProof/>
                <w:webHidden/>
              </w:rPr>
              <w:instrText xml:space="preserve"> PAGEREF _Toc181980514 \h </w:instrText>
            </w:r>
            <w:r>
              <w:rPr>
                <w:noProof/>
                <w:webHidden/>
              </w:rPr>
            </w:r>
            <w:r>
              <w:rPr>
                <w:noProof/>
                <w:webHidden/>
              </w:rPr>
              <w:fldChar w:fldCharType="separate"/>
            </w:r>
            <w:r>
              <w:rPr>
                <w:noProof/>
                <w:webHidden/>
              </w:rPr>
              <w:t>7</w:t>
            </w:r>
            <w:r>
              <w:rPr>
                <w:noProof/>
                <w:webHidden/>
              </w:rPr>
              <w:fldChar w:fldCharType="end"/>
            </w:r>
          </w:hyperlink>
        </w:p>
        <w:p w14:paraId="1A549F69" w14:textId="0DE25557" w:rsidR="00797989" w:rsidRDefault="00797989">
          <w:pPr>
            <w:pStyle w:val="TOC1"/>
            <w:tabs>
              <w:tab w:val="right" w:leader="dot" w:pos="9016"/>
            </w:tabs>
            <w:rPr>
              <w:noProof/>
            </w:rPr>
          </w:pPr>
          <w:hyperlink w:anchor="_Toc181980515" w:history="1">
            <w:r w:rsidRPr="007304D4">
              <w:rPr>
                <w:rStyle w:val="Hyperlink"/>
                <w:noProof/>
              </w:rPr>
              <w:t>Conclusion</w:t>
            </w:r>
            <w:r>
              <w:rPr>
                <w:noProof/>
                <w:webHidden/>
              </w:rPr>
              <w:tab/>
            </w:r>
            <w:r>
              <w:rPr>
                <w:noProof/>
                <w:webHidden/>
              </w:rPr>
              <w:fldChar w:fldCharType="begin"/>
            </w:r>
            <w:r>
              <w:rPr>
                <w:noProof/>
                <w:webHidden/>
              </w:rPr>
              <w:instrText xml:space="preserve"> PAGEREF _Toc181980515 \h </w:instrText>
            </w:r>
            <w:r>
              <w:rPr>
                <w:noProof/>
                <w:webHidden/>
              </w:rPr>
            </w:r>
            <w:r>
              <w:rPr>
                <w:noProof/>
                <w:webHidden/>
              </w:rPr>
              <w:fldChar w:fldCharType="separate"/>
            </w:r>
            <w:r>
              <w:rPr>
                <w:noProof/>
                <w:webHidden/>
              </w:rPr>
              <w:t>8</w:t>
            </w:r>
            <w:r>
              <w:rPr>
                <w:noProof/>
                <w:webHidden/>
              </w:rPr>
              <w:fldChar w:fldCharType="end"/>
            </w:r>
          </w:hyperlink>
        </w:p>
        <w:p w14:paraId="3B744C65" w14:textId="40212C5D" w:rsidR="00797989" w:rsidRDefault="00797989">
          <w:pPr>
            <w:pStyle w:val="TOC1"/>
            <w:tabs>
              <w:tab w:val="right" w:leader="dot" w:pos="9016"/>
            </w:tabs>
            <w:rPr>
              <w:noProof/>
            </w:rPr>
          </w:pPr>
          <w:hyperlink w:anchor="_Toc181980516" w:history="1">
            <w:r w:rsidRPr="007304D4">
              <w:rPr>
                <w:rStyle w:val="Hyperlink"/>
                <w:noProof/>
              </w:rPr>
              <w:t>References:</w:t>
            </w:r>
            <w:r>
              <w:rPr>
                <w:noProof/>
                <w:webHidden/>
              </w:rPr>
              <w:tab/>
            </w:r>
            <w:r>
              <w:rPr>
                <w:noProof/>
                <w:webHidden/>
              </w:rPr>
              <w:fldChar w:fldCharType="begin"/>
            </w:r>
            <w:r>
              <w:rPr>
                <w:noProof/>
                <w:webHidden/>
              </w:rPr>
              <w:instrText xml:space="preserve"> PAGEREF _Toc181980516 \h </w:instrText>
            </w:r>
            <w:r>
              <w:rPr>
                <w:noProof/>
                <w:webHidden/>
              </w:rPr>
            </w:r>
            <w:r>
              <w:rPr>
                <w:noProof/>
                <w:webHidden/>
              </w:rPr>
              <w:fldChar w:fldCharType="separate"/>
            </w:r>
            <w:r>
              <w:rPr>
                <w:noProof/>
                <w:webHidden/>
              </w:rPr>
              <w:t>10</w:t>
            </w:r>
            <w:r>
              <w:rPr>
                <w:noProof/>
                <w:webHidden/>
              </w:rPr>
              <w:fldChar w:fldCharType="end"/>
            </w:r>
          </w:hyperlink>
        </w:p>
        <w:p w14:paraId="72CBB782" w14:textId="53AFBA02" w:rsidR="00797989" w:rsidRDefault="00797989">
          <w:r>
            <w:rPr>
              <w:b/>
              <w:bCs/>
              <w:noProof/>
            </w:rPr>
            <w:fldChar w:fldCharType="end"/>
          </w:r>
        </w:p>
      </w:sdtContent>
    </w:sdt>
    <w:p w14:paraId="3B187D75" w14:textId="77777777" w:rsidR="00797989" w:rsidRDefault="00797989" w:rsidP="00797989">
      <w:pPr>
        <w:spacing w:line="360" w:lineRule="auto"/>
        <w:jc w:val="center"/>
        <w:rPr>
          <w:rFonts w:ascii="Arial" w:hAnsi="Arial" w:cs="Arial"/>
        </w:rPr>
      </w:pPr>
    </w:p>
    <w:p w14:paraId="1050CBD2" w14:textId="77777777" w:rsidR="00797989" w:rsidRDefault="00797989" w:rsidP="00797989">
      <w:pPr>
        <w:jc w:val="center"/>
        <w:rPr>
          <w:rFonts w:ascii="Arial" w:hAnsi="Arial" w:cs="Arial"/>
        </w:rPr>
      </w:pPr>
      <w:r>
        <w:rPr>
          <w:rFonts w:ascii="Arial" w:hAnsi="Arial" w:cs="Arial"/>
        </w:rPr>
        <w:br w:type="page"/>
      </w:r>
    </w:p>
    <w:p w14:paraId="52D8F517" w14:textId="73E0C0C9" w:rsidR="003F2541" w:rsidRPr="00797989" w:rsidRDefault="003F2541" w:rsidP="00797989">
      <w:pPr>
        <w:spacing w:line="360" w:lineRule="auto"/>
        <w:jc w:val="both"/>
        <w:rPr>
          <w:rFonts w:ascii="Arial" w:hAnsi="Arial" w:cs="Arial"/>
        </w:rPr>
      </w:pPr>
      <w:r w:rsidRPr="00797989">
        <w:rPr>
          <w:rFonts w:ascii="Arial" w:hAnsi="Arial" w:cs="Arial"/>
        </w:rPr>
        <w:lastRenderedPageBreak/>
        <w:t>Corporate Social Responsibility (CSR) in Promoting Sustainability in the Hospitality Industry: A Case Study of Hilton Hotels</w:t>
      </w:r>
    </w:p>
    <w:p w14:paraId="683F524A" w14:textId="77777777" w:rsidR="003F2541" w:rsidRPr="00797989" w:rsidRDefault="003F2541" w:rsidP="00797989">
      <w:pPr>
        <w:pStyle w:val="Heading1"/>
        <w:jc w:val="both"/>
      </w:pPr>
      <w:bookmarkStart w:id="0" w:name="_Toc181980508"/>
      <w:r w:rsidRPr="00797989">
        <w:t>Introduction</w:t>
      </w:r>
      <w:bookmarkEnd w:id="0"/>
    </w:p>
    <w:p w14:paraId="41CCE9EF" w14:textId="0BED246B" w:rsidR="003F2541" w:rsidRDefault="003F2541" w:rsidP="00797989">
      <w:pPr>
        <w:spacing w:line="360" w:lineRule="auto"/>
        <w:jc w:val="both"/>
        <w:rPr>
          <w:rFonts w:ascii="Arial" w:hAnsi="Arial" w:cs="Arial"/>
        </w:rPr>
      </w:pPr>
      <w:r w:rsidRPr="00797989">
        <w:rPr>
          <w:rFonts w:ascii="Arial" w:hAnsi="Arial" w:cs="Arial"/>
        </w:rPr>
        <w:t xml:space="preserve">Corporate Social Responsibility (CSR) refers to a company’s commitment to managing its social, environmental, and economic impacts responsibly, aligning its business practices with societal goals. In the hospitality industry, CSR is a crucial strategy for addressing significant environmental challenges, such as energy consumption, water use, and waste generation, while fostering positive social and economic outcomes. By integrating CSR into their operations, hospitality organizations like Hilton Hotels not only address stakeholder expectations but also create long-term </w:t>
      </w:r>
      <w:proofErr w:type="spellStart"/>
      <w:proofErr w:type="gramStart"/>
      <w:r w:rsidRPr="00797989">
        <w:rPr>
          <w:rFonts w:ascii="Arial" w:hAnsi="Arial" w:cs="Arial"/>
        </w:rPr>
        <w:t>value.Sustainability</w:t>
      </w:r>
      <w:proofErr w:type="spellEnd"/>
      <w:proofErr w:type="gramEnd"/>
      <w:r w:rsidRPr="00797989">
        <w:rPr>
          <w:rFonts w:ascii="Arial" w:hAnsi="Arial" w:cs="Arial"/>
        </w:rPr>
        <w:t>, defined as meeting current needs without compromising future generations’ ability to meet their own, revolves around three pillars: environmental preservation, social equity, and economic development (Elkington, 1997). Hilton Hotels, a global leader in the hospitality sector, has embedded CSR into its business model through its “Travel with Purpose” program, which aims to halve its environmental footprint and double its social impact investments by 2030 (Hilton, 2023</w:t>
      </w:r>
      <w:proofErr w:type="gramStart"/>
      <w:r w:rsidRPr="00797989">
        <w:rPr>
          <w:rFonts w:ascii="Arial" w:hAnsi="Arial" w:cs="Arial"/>
        </w:rPr>
        <w:t>).This</w:t>
      </w:r>
      <w:proofErr w:type="gramEnd"/>
      <w:r w:rsidRPr="00797989">
        <w:rPr>
          <w:rFonts w:ascii="Arial" w:hAnsi="Arial" w:cs="Arial"/>
        </w:rPr>
        <w:t xml:space="preserve"> essay critically examines Hilton’s CSR initiatives from 2021 onward, focusing on their impact on environmental, social, and economic sustainability. It also evaluates the challenges and opportunities associated with implementing CSR policies, particularly Hilton’s integration of circular economy principles, and compares its approach with other industry players.</w:t>
      </w:r>
    </w:p>
    <w:p w14:paraId="74FCE618" w14:textId="6EF88E1F" w:rsidR="00797989" w:rsidRPr="00797989" w:rsidRDefault="00797989" w:rsidP="00797989">
      <w:pPr>
        <w:pStyle w:val="Heading1"/>
        <w:jc w:val="both"/>
        <w:rPr>
          <w:sz w:val="24"/>
          <w:szCs w:val="24"/>
        </w:rPr>
      </w:pPr>
      <w:bookmarkStart w:id="1" w:name="_Toc181980509"/>
      <w:r>
        <w:t>Main body</w:t>
      </w:r>
      <w:bookmarkEnd w:id="1"/>
    </w:p>
    <w:p w14:paraId="4976048F" w14:textId="77777777" w:rsidR="003F2541" w:rsidRPr="00797989" w:rsidRDefault="003F2541" w:rsidP="00797989">
      <w:pPr>
        <w:pStyle w:val="Heading2"/>
        <w:jc w:val="both"/>
      </w:pPr>
      <w:bookmarkStart w:id="2" w:name="_Toc181980510"/>
      <w:r w:rsidRPr="00797989">
        <w:t>Key Areas of CSR Impact</w:t>
      </w:r>
      <w:bookmarkEnd w:id="2"/>
    </w:p>
    <w:p w14:paraId="4F99C3E1" w14:textId="77777777" w:rsidR="003F2541" w:rsidRPr="00797989" w:rsidRDefault="003F2541" w:rsidP="00797989">
      <w:pPr>
        <w:spacing w:line="360" w:lineRule="auto"/>
        <w:jc w:val="both"/>
        <w:rPr>
          <w:rFonts w:ascii="Arial" w:hAnsi="Arial" w:cs="Arial"/>
        </w:rPr>
      </w:pPr>
      <w:r w:rsidRPr="00797989">
        <w:rPr>
          <w:rFonts w:ascii="Arial" w:hAnsi="Arial" w:cs="Arial"/>
        </w:rPr>
        <w:t>1. Environmental Sustainability: Hilton’s Leadership</w:t>
      </w:r>
    </w:p>
    <w:p w14:paraId="04C3A526" w14:textId="0050FE37" w:rsidR="00797989" w:rsidRPr="00797989" w:rsidRDefault="00797989" w:rsidP="00797989">
      <w:pPr>
        <w:spacing w:line="360" w:lineRule="auto"/>
        <w:jc w:val="both"/>
        <w:rPr>
          <w:rFonts w:ascii="Arial" w:hAnsi="Arial" w:cs="Arial"/>
        </w:rPr>
      </w:pPr>
      <w:r w:rsidRPr="00797989">
        <w:rPr>
          <w:rFonts w:ascii="Arial" w:hAnsi="Arial" w:cs="Arial"/>
        </w:rPr>
        <w:t xml:space="preserve">Hilton Hotels has established itself as a leader in environmental sustainability through its comprehensive "Travel with Purpose" program, aiming to halve its environmental footprint by 2030. Central to this initiative is the </w:t>
      </w:r>
      <w:proofErr w:type="spellStart"/>
      <w:r w:rsidRPr="00797989">
        <w:rPr>
          <w:rFonts w:ascii="Arial" w:hAnsi="Arial" w:cs="Arial"/>
        </w:rPr>
        <w:t>LightStay</w:t>
      </w:r>
      <w:proofErr w:type="spellEnd"/>
      <w:r w:rsidRPr="00797989">
        <w:rPr>
          <w:rFonts w:ascii="Arial" w:hAnsi="Arial" w:cs="Arial"/>
        </w:rPr>
        <w:t xml:space="preserve"> platform, which monitors energy consumption, water usage, and waste management across all properties, enabling data-driven sustainability strategies. The company has achieved a 45% reduction in carbon intensity since 2008 by implementing energy-efficient technologies such as LED lighting and smart thermostats, and investing in renewable energy </w:t>
      </w:r>
      <w:r w:rsidRPr="00797989">
        <w:rPr>
          <w:rFonts w:ascii="Arial" w:hAnsi="Arial" w:cs="Arial"/>
        </w:rPr>
        <w:lastRenderedPageBreak/>
        <w:t>projects, including solar panel installations in various regions. Water conservation efforts have led to a 22% reduction in water intensity, utilizing low-flow fixtures and greywater recycling systems. Hilton's waste management practices emphasize recycling and repurposing, notably through a partnership with Clean the World, which recycles used soap into hygiene kits for communities in need. Additionally, Hilton has committed to eliminating single-use plastics across its properties by 2030, demonstrating a proactive approach to environmental stewardship. These initiatives not only mitigate environmental impact but also align with global sustainability goals, reinforcing Hilton's position as a responsible leader in the hospitality industry.</w:t>
      </w:r>
    </w:p>
    <w:p w14:paraId="22938C72" w14:textId="3926136A" w:rsidR="003F2541" w:rsidRPr="00797989" w:rsidRDefault="003F2541" w:rsidP="00797989">
      <w:pPr>
        <w:spacing w:line="360" w:lineRule="auto"/>
        <w:jc w:val="both"/>
        <w:rPr>
          <w:rFonts w:ascii="Arial" w:hAnsi="Arial" w:cs="Arial"/>
        </w:rPr>
      </w:pPr>
      <w:r w:rsidRPr="00797989">
        <w:rPr>
          <w:rFonts w:ascii="Arial" w:hAnsi="Arial" w:cs="Arial"/>
        </w:rPr>
        <w:t>Energy Efficiency and Carbon Reduction:</w:t>
      </w:r>
    </w:p>
    <w:p w14:paraId="117FC077" w14:textId="77777777" w:rsidR="003F2541" w:rsidRPr="00797989" w:rsidRDefault="003F2541" w:rsidP="00797989">
      <w:pPr>
        <w:spacing w:line="360" w:lineRule="auto"/>
        <w:jc w:val="both"/>
        <w:rPr>
          <w:rFonts w:ascii="Arial" w:hAnsi="Arial" w:cs="Arial"/>
        </w:rPr>
      </w:pPr>
      <w:r w:rsidRPr="00797989">
        <w:rPr>
          <w:rFonts w:ascii="Arial" w:hAnsi="Arial" w:cs="Arial"/>
        </w:rPr>
        <w:t>Hilton has made substantial strides in reducing energy consumption and carbon emissions across its properties. Through initiatives like smart HVAC systems, LED lighting, and energy automation controls, the company has achieved a 45% reduction in carbon intensity since 2008 (Science Based Targets initiative, 2022). This achievement aligns with the Paris Agreement’s climate goals, as Hilton has set science-based targets to achieve net-zero carbon emissions by 2050. Moreover, renewable energy projects, including solar and wind installations, have been introduced in regions like the Middle East, further reducing reliance on non-renewable energy sources (Jones et al., 2020).</w:t>
      </w:r>
    </w:p>
    <w:p w14:paraId="4F1D8FA7" w14:textId="77777777" w:rsidR="003F2541" w:rsidRPr="00797989" w:rsidRDefault="003F2541" w:rsidP="00797989">
      <w:pPr>
        <w:spacing w:line="360" w:lineRule="auto"/>
        <w:jc w:val="both"/>
        <w:rPr>
          <w:rFonts w:ascii="Arial" w:hAnsi="Arial" w:cs="Arial"/>
        </w:rPr>
      </w:pPr>
      <w:r w:rsidRPr="00797989">
        <w:rPr>
          <w:rFonts w:ascii="Arial" w:hAnsi="Arial" w:cs="Arial"/>
        </w:rPr>
        <w:t>Water Conservation:</w:t>
      </w:r>
    </w:p>
    <w:p w14:paraId="3C1CDEBF" w14:textId="77777777" w:rsidR="003F2541" w:rsidRPr="00797989" w:rsidRDefault="003F2541" w:rsidP="00797989">
      <w:pPr>
        <w:spacing w:line="360" w:lineRule="auto"/>
        <w:jc w:val="both"/>
        <w:rPr>
          <w:rFonts w:ascii="Arial" w:hAnsi="Arial" w:cs="Arial"/>
        </w:rPr>
      </w:pPr>
      <w:r w:rsidRPr="00797989">
        <w:rPr>
          <w:rFonts w:ascii="Arial" w:hAnsi="Arial" w:cs="Arial"/>
        </w:rPr>
        <w:t>Water scarcity is a pressing global issue, especially in arid regions where Hilton operates, such as the Middle East and Africa. The company addresses this challenge by implementing low-flow fixtures, greywater recycling systems, and efficient irrigation technologies. Since 2008, Hilton has reduced its water intensity by 22%, showcasing its ability to balance operational needs with environmental responsibility (WWF, 2022). These measures not only contribute to sustainability but also help mitigate operational risks associated with water shortages.</w:t>
      </w:r>
    </w:p>
    <w:p w14:paraId="45DDA38B" w14:textId="77777777" w:rsidR="003F2541" w:rsidRPr="00797989" w:rsidRDefault="003F2541" w:rsidP="00797989">
      <w:pPr>
        <w:spacing w:line="360" w:lineRule="auto"/>
        <w:jc w:val="both"/>
        <w:rPr>
          <w:rFonts w:ascii="Arial" w:hAnsi="Arial" w:cs="Arial"/>
        </w:rPr>
      </w:pPr>
      <w:r w:rsidRPr="00797989">
        <w:rPr>
          <w:rFonts w:ascii="Arial" w:hAnsi="Arial" w:cs="Arial"/>
        </w:rPr>
        <w:t>Waste Reduction and Circular Economy Practices:</w:t>
      </w:r>
    </w:p>
    <w:p w14:paraId="62D7EB8D" w14:textId="77777777" w:rsidR="003F2541" w:rsidRPr="00797989" w:rsidRDefault="003F2541" w:rsidP="00797989">
      <w:pPr>
        <w:spacing w:line="360" w:lineRule="auto"/>
        <w:jc w:val="both"/>
        <w:rPr>
          <w:rFonts w:ascii="Arial" w:hAnsi="Arial" w:cs="Arial"/>
        </w:rPr>
      </w:pPr>
      <w:r w:rsidRPr="00797989">
        <w:rPr>
          <w:rFonts w:ascii="Arial" w:hAnsi="Arial" w:cs="Arial"/>
        </w:rPr>
        <w:t xml:space="preserve">Waste management is a priority for Hilton, as the hospitality industry generates significant amounts of waste annually. Hilton’s partnership with Clean the World highlights the company’s innovative approach to waste repurposing, where used soap </w:t>
      </w:r>
      <w:r w:rsidRPr="00797989">
        <w:rPr>
          <w:rFonts w:ascii="Arial" w:hAnsi="Arial" w:cs="Arial"/>
        </w:rPr>
        <w:lastRenderedPageBreak/>
        <w:t>is recycled into hygiene kits for underserved communities (Clean the World, 2023). Additionally, Hilton is committed to eliminating single-use plastics across all properties by 2030. By adopting circular economy principles, Hilton transforms waste into valuable resources, demonstrating its leadership in sustainable hospitality.</w:t>
      </w:r>
    </w:p>
    <w:p w14:paraId="5FA67052" w14:textId="77777777" w:rsidR="003F2541" w:rsidRPr="00797989" w:rsidRDefault="003F2541" w:rsidP="00797989">
      <w:pPr>
        <w:spacing w:line="360" w:lineRule="auto"/>
        <w:jc w:val="both"/>
        <w:rPr>
          <w:rFonts w:ascii="Arial" w:hAnsi="Arial" w:cs="Arial"/>
        </w:rPr>
      </w:pPr>
      <w:r w:rsidRPr="00797989">
        <w:rPr>
          <w:rFonts w:ascii="Arial" w:hAnsi="Arial" w:cs="Arial"/>
        </w:rPr>
        <w:t>2. Social Sustainability: Community Engagement and Inclusion</w:t>
      </w:r>
    </w:p>
    <w:p w14:paraId="385B8FF2" w14:textId="77777777" w:rsidR="003F2541" w:rsidRPr="00797989" w:rsidRDefault="003F2541" w:rsidP="00797989">
      <w:pPr>
        <w:spacing w:line="360" w:lineRule="auto"/>
        <w:jc w:val="both"/>
        <w:rPr>
          <w:rFonts w:ascii="Arial" w:hAnsi="Arial" w:cs="Arial"/>
        </w:rPr>
      </w:pPr>
      <w:r w:rsidRPr="00797989">
        <w:rPr>
          <w:rFonts w:ascii="Arial" w:hAnsi="Arial" w:cs="Arial"/>
        </w:rPr>
        <w:t>Social sustainability is a cornerstone of Hilton Hotels' Corporate Social Responsibility (CSR) strategy, focusing on fostering equity, safeguarding human rights, and supporting local communities. Hilton’s initiatives emphasize diversity and inclusion, human rights advocacy, and community development, reflecting its commitment to creating positive social impacts.</w:t>
      </w:r>
    </w:p>
    <w:p w14:paraId="510A5F2C" w14:textId="77777777" w:rsidR="003F2541" w:rsidRPr="00797989" w:rsidRDefault="003F2541" w:rsidP="00797989">
      <w:pPr>
        <w:spacing w:line="360" w:lineRule="auto"/>
        <w:jc w:val="both"/>
        <w:rPr>
          <w:rFonts w:ascii="Arial" w:hAnsi="Arial" w:cs="Arial"/>
        </w:rPr>
      </w:pPr>
      <w:r w:rsidRPr="00797989">
        <w:rPr>
          <w:rFonts w:ascii="Arial" w:hAnsi="Arial" w:cs="Arial"/>
        </w:rPr>
        <w:t>Diversity and Inclusion</w:t>
      </w:r>
    </w:p>
    <w:p w14:paraId="15F1EF0F" w14:textId="77777777" w:rsidR="003F2541" w:rsidRPr="00797989" w:rsidRDefault="003F2541" w:rsidP="00797989">
      <w:pPr>
        <w:spacing w:line="360" w:lineRule="auto"/>
        <w:jc w:val="both"/>
        <w:rPr>
          <w:rFonts w:ascii="Arial" w:hAnsi="Arial" w:cs="Arial"/>
        </w:rPr>
      </w:pPr>
      <w:r w:rsidRPr="00797989">
        <w:rPr>
          <w:rFonts w:ascii="Arial" w:hAnsi="Arial" w:cs="Arial"/>
        </w:rPr>
        <w:t>Hilton is recognized as a leader in diversity and inclusion, ensuring that its workforce reflects the global communities it serves. As of 2023, women represented 42% of Hilton’s leadership positions, while ethnic diversity among U.S. leaders reached 20% (Hilton, 2023). Programs such as “Open Doors” provide opportunities for underrepresented groups, including refugees, veterans, and people from disadvantaged backgrounds, to gain employment and build careers in the hospitality industry (Smith, 2022). These efforts underscore Hilton’s belief that fostering a diverse workforce drives innovation and organizational success.</w:t>
      </w:r>
    </w:p>
    <w:p w14:paraId="4FCCB3F6" w14:textId="77777777" w:rsidR="003F2541" w:rsidRPr="00797989" w:rsidRDefault="003F2541" w:rsidP="00797989">
      <w:pPr>
        <w:spacing w:line="360" w:lineRule="auto"/>
        <w:jc w:val="both"/>
        <w:rPr>
          <w:rFonts w:ascii="Arial" w:hAnsi="Arial" w:cs="Arial"/>
        </w:rPr>
      </w:pPr>
      <w:r w:rsidRPr="00797989">
        <w:rPr>
          <w:rFonts w:ascii="Arial" w:hAnsi="Arial" w:cs="Arial"/>
        </w:rPr>
        <w:t>Human Rights Advocacy</w:t>
      </w:r>
    </w:p>
    <w:p w14:paraId="7B20BC1B" w14:textId="77777777" w:rsidR="003F2541" w:rsidRPr="00797989" w:rsidRDefault="003F2541" w:rsidP="00797989">
      <w:pPr>
        <w:spacing w:line="360" w:lineRule="auto"/>
        <w:jc w:val="both"/>
        <w:rPr>
          <w:rFonts w:ascii="Arial" w:hAnsi="Arial" w:cs="Arial"/>
        </w:rPr>
      </w:pPr>
      <w:r w:rsidRPr="00797989">
        <w:rPr>
          <w:rFonts w:ascii="Arial" w:hAnsi="Arial" w:cs="Arial"/>
        </w:rPr>
        <w:t>The hospitality industry is uniquely vulnerable to human trafficking, making human rights advocacy a critical component of Hilton’s CSR approach. Hilton has implemented comprehensive training programs to educate employees on identifying and reporting signs of human trafficking. By 2023, 92% of Hilton’s employees in franchise properties worldwide had completed this training, reinforcing the company’s commitment to combating exploitation (WWF, 2022). Hilton’s efforts not only protect vulnerable populations but also enhance its reputation as a socially responsible organization, fostering trust among guests and stakeholders.</w:t>
      </w:r>
    </w:p>
    <w:p w14:paraId="11CE70B4" w14:textId="77777777" w:rsidR="003F2541" w:rsidRPr="00797989" w:rsidRDefault="003F2541" w:rsidP="00797989">
      <w:pPr>
        <w:spacing w:line="360" w:lineRule="auto"/>
        <w:jc w:val="both"/>
        <w:rPr>
          <w:rFonts w:ascii="Arial" w:hAnsi="Arial" w:cs="Arial"/>
        </w:rPr>
      </w:pPr>
      <w:r w:rsidRPr="00797989">
        <w:rPr>
          <w:rFonts w:ascii="Arial" w:hAnsi="Arial" w:cs="Arial"/>
        </w:rPr>
        <w:t>Community Development</w:t>
      </w:r>
    </w:p>
    <w:p w14:paraId="37C654B3" w14:textId="77777777" w:rsidR="003F2541" w:rsidRPr="00797989" w:rsidRDefault="003F2541" w:rsidP="00797989">
      <w:pPr>
        <w:spacing w:line="360" w:lineRule="auto"/>
        <w:jc w:val="both"/>
        <w:rPr>
          <w:rFonts w:ascii="Arial" w:hAnsi="Arial" w:cs="Arial"/>
        </w:rPr>
      </w:pPr>
      <w:r w:rsidRPr="00797989">
        <w:rPr>
          <w:rFonts w:ascii="Arial" w:hAnsi="Arial" w:cs="Arial"/>
        </w:rPr>
        <w:lastRenderedPageBreak/>
        <w:t>Through its Hilton Global Foundation, the company invests in projects that address critical social challenges, including education, disaster relief, and healthcare. In 2023 alone, Hilton provided $4.4 million in grants to community organizations, positively impacting more than 5 million individuals worldwide (Clean the World, 2023). These projects are tailored to address local needs, ensuring that Hilton’s global footprint contributes to sustainable community growth. Furthermore, Hilton properties often collaborate with local suppliers, artisans, and businesses, boosting regional economies and preserving cultural heritage.</w:t>
      </w:r>
    </w:p>
    <w:p w14:paraId="21998238" w14:textId="3ECA4719" w:rsidR="003F2541" w:rsidRPr="00797989" w:rsidRDefault="003F2541" w:rsidP="00797989">
      <w:pPr>
        <w:spacing w:line="360" w:lineRule="auto"/>
        <w:jc w:val="both"/>
        <w:rPr>
          <w:rFonts w:ascii="Arial" w:hAnsi="Arial" w:cs="Arial"/>
        </w:rPr>
      </w:pPr>
      <w:r w:rsidRPr="00797989">
        <w:rPr>
          <w:rFonts w:ascii="Arial" w:hAnsi="Arial" w:cs="Arial"/>
        </w:rPr>
        <w:t>By embedding social sustainability into its operations, Hilton not only strengthens its communities but also fosters employee engagement and customer loyalty. Its commitment to equity, advocacy, and development sets a benchmark for social responsibility in the hospitality industry, ensuring its long-term success and societal impact.</w:t>
      </w:r>
    </w:p>
    <w:p w14:paraId="5DD8E31C" w14:textId="77777777" w:rsidR="003F2541" w:rsidRPr="00797989" w:rsidRDefault="003F2541" w:rsidP="00797989">
      <w:pPr>
        <w:spacing w:line="360" w:lineRule="auto"/>
        <w:jc w:val="both"/>
        <w:rPr>
          <w:rFonts w:ascii="Arial" w:hAnsi="Arial" w:cs="Arial"/>
        </w:rPr>
      </w:pPr>
      <w:r w:rsidRPr="00797989">
        <w:rPr>
          <w:rFonts w:ascii="Arial" w:hAnsi="Arial" w:cs="Arial"/>
        </w:rPr>
        <w:t>3. Economic Sustainability: Long-Term Resilience</w:t>
      </w:r>
    </w:p>
    <w:p w14:paraId="648D8901" w14:textId="77777777" w:rsidR="003F2541" w:rsidRPr="00797989" w:rsidRDefault="003F2541" w:rsidP="00797989">
      <w:pPr>
        <w:spacing w:line="360" w:lineRule="auto"/>
        <w:jc w:val="both"/>
        <w:rPr>
          <w:rFonts w:ascii="Arial" w:hAnsi="Arial" w:cs="Arial"/>
        </w:rPr>
      </w:pPr>
      <w:r w:rsidRPr="00797989">
        <w:rPr>
          <w:rFonts w:ascii="Arial" w:hAnsi="Arial" w:cs="Arial"/>
        </w:rPr>
        <w:t>Economic sustainability involves balancing profitability with value creation for stakeholders, ensuring the long-term viability of the business. Hilton’s efforts in this area focus on sustainable supply chains, local economic empowerment, and operational efficiency.</w:t>
      </w:r>
    </w:p>
    <w:p w14:paraId="06E7B87C" w14:textId="77777777" w:rsidR="003F2541" w:rsidRPr="00797989" w:rsidRDefault="003F2541" w:rsidP="00797989">
      <w:pPr>
        <w:spacing w:line="360" w:lineRule="auto"/>
        <w:jc w:val="both"/>
        <w:rPr>
          <w:rFonts w:ascii="Arial" w:hAnsi="Arial" w:cs="Arial"/>
        </w:rPr>
      </w:pPr>
      <w:r w:rsidRPr="00797989">
        <w:rPr>
          <w:rFonts w:ascii="Arial" w:hAnsi="Arial" w:cs="Arial"/>
        </w:rPr>
        <w:t>Sustainable Supply Chains:</w:t>
      </w:r>
    </w:p>
    <w:p w14:paraId="029D32E2" w14:textId="77777777" w:rsidR="003F2541" w:rsidRPr="00797989" w:rsidRDefault="003F2541" w:rsidP="00797989">
      <w:pPr>
        <w:spacing w:line="360" w:lineRule="auto"/>
        <w:jc w:val="both"/>
        <w:rPr>
          <w:rFonts w:ascii="Arial" w:hAnsi="Arial" w:cs="Arial"/>
        </w:rPr>
      </w:pPr>
      <w:r w:rsidRPr="00797989">
        <w:rPr>
          <w:rFonts w:ascii="Arial" w:hAnsi="Arial" w:cs="Arial"/>
        </w:rPr>
        <w:t>Hilton promotes ethical and environmentally responsible sourcing practices. For instance, the company’s sustainable seafood initiative prioritizes sourcing from suppliers that adhere to biodiversity conservation practices. By collaborating with local fisheries, Hilton supports both environmental sustainability and local economies (WWF, 2022).</w:t>
      </w:r>
    </w:p>
    <w:p w14:paraId="4F935B4D" w14:textId="77777777" w:rsidR="003F2541" w:rsidRPr="00797989" w:rsidRDefault="003F2541" w:rsidP="00797989">
      <w:pPr>
        <w:spacing w:line="360" w:lineRule="auto"/>
        <w:jc w:val="both"/>
        <w:rPr>
          <w:rFonts w:ascii="Arial" w:hAnsi="Arial" w:cs="Arial"/>
        </w:rPr>
      </w:pPr>
      <w:r w:rsidRPr="00797989">
        <w:rPr>
          <w:rFonts w:ascii="Arial" w:hAnsi="Arial" w:cs="Arial"/>
        </w:rPr>
        <w:t>Job Creation and Employee Development:</w:t>
      </w:r>
    </w:p>
    <w:p w14:paraId="632266E5" w14:textId="77777777" w:rsidR="003F2541" w:rsidRPr="00797989" w:rsidRDefault="003F2541" w:rsidP="00797989">
      <w:pPr>
        <w:spacing w:line="360" w:lineRule="auto"/>
        <w:jc w:val="both"/>
        <w:rPr>
          <w:rFonts w:ascii="Arial" w:hAnsi="Arial" w:cs="Arial"/>
        </w:rPr>
      </w:pPr>
      <w:r w:rsidRPr="00797989">
        <w:rPr>
          <w:rFonts w:ascii="Arial" w:hAnsi="Arial" w:cs="Arial"/>
        </w:rPr>
        <w:t xml:space="preserve">Hilton’s global operations generate significant employment opportunities, particularly in underserved regions. The company’s training </w:t>
      </w:r>
      <w:proofErr w:type="gramStart"/>
      <w:r w:rsidRPr="00797989">
        <w:rPr>
          <w:rFonts w:ascii="Arial" w:hAnsi="Arial" w:cs="Arial"/>
        </w:rPr>
        <w:t>programs</w:t>
      </w:r>
      <w:proofErr w:type="gramEnd"/>
      <w:r w:rsidRPr="00797989">
        <w:rPr>
          <w:rFonts w:ascii="Arial" w:hAnsi="Arial" w:cs="Arial"/>
        </w:rPr>
        <w:t xml:space="preserve"> and fair wage policies ensure that economic benefits are equitably distributed among its employees. Hilton’s investment in employee development programs fosters a skilled workforce that aligns with the company’s sustainability goals (Jones et al., 2020).</w:t>
      </w:r>
    </w:p>
    <w:p w14:paraId="56187D92" w14:textId="77777777" w:rsidR="003F2541" w:rsidRPr="00797989" w:rsidRDefault="003F2541" w:rsidP="00797989">
      <w:pPr>
        <w:pStyle w:val="Heading2"/>
        <w:jc w:val="both"/>
      </w:pPr>
      <w:bookmarkStart w:id="3" w:name="_Toc181980511"/>
      <w:r w:rsidRPr="00797989">
        <w:lastRenderedPageBreak/>
        <w:t>Operational Efficiency through Circular Economy Practices:</w:t>
      </w:r>
      <w:bookmarkEnd w:id="3"/>
    </w:p>
    <w:p w14:paraId="0496296D" w14:textId="77777777" w:rsidR="003F2541" w:rsidRPr="00797989" w:rsidRDefault="003F2541" w:rsidP="00797989">
      <w:pPr>
        <w:spacing w:line="360" w:lineRule="auto"/>
        <w:jc w:val="both"/>
        <w:rPr>
          <w:rFonts w:ascii="Arial" w:hAnsi="Arial" w:cs="Arial"/>
        </w:rPr>
      </w:pPr>
      <w:r w:rsidRPr="00797989">
        <w:rPr>
          <w:rFonts w:ascii="Arial" w:hAnsi="Arial" w:cs="Arial"/>
        </w:rPr>
        <w:t>Hilton’s integration of circular economy principles has resulted in significant cost savings and reduced environmental impact. By repurposing furniture and redistributing surplus food to local charities, the company minimizes waste while contributing to community well-being (Hilton, 2023). These practices also enhance operational efficiency, providing a financial incentive to adopt sustainable measures.</w:t>
      </w:r>
    </w:p>
    <w:p w14:paraId="526D7171" w14:textId="77777777" w:rsidR="003F2541" w:rsidRPr="00797989" w:rsidRDefault="003F2541" w:rsidP="00797989">
      <w:pPr>
        <w:spacing w:line="360" w:lineRule="auto"/>
        <w:jc w:val="both"/>
        <w:rPr>
          <w:rFonts w:ascii="Arial" w:hAnsi="Arial" w:cs="Arial"/>
        </w:rPr>
      </w:pPr>
      <w:r w:rsidRPr="00797989">
        <w:rPr>
          <w:rFonts w:ascii="Arial" w:hAnsi="Arial" w:cs="Arial"/>
        </w:rPr>
        <w:t>Circular Economy Integration: A Holistic Approach</w:t>
      </w:r>
    </w:p>
    <w:p w14:paraId="4BA5E600" w14:textId="77777777" w:rsidR="003F2541" w:rsidRPr="00797989" w:rsidRDefault="003F2541" w:rsidP="00797989">
      <w:pPr>
        <w:spacing w:line="360" w:lineRule="auto"/>
        <w:jc w:val="both"/>
        <w:rPr>
          <w:rFonts w:ascii="Arial" w:hAnsi="Arial" w:cs="Arial"/>
        </w:rPr>
      </w:pPr>
      <w:r w:rsidRPr="00797989">
        <w:rPr>
          <w:rFonts w:ascii="Arial" w:hAnsi="Arial" w:cs="Arial"/>
        </w:rPr>
        <w:t>The circular economy focuses on minimizing waste by reusing resources, extending product life cycles, and prioritizing regeneration over disposal. Hilton’s approach to integrating circularity into its operations sets it apart as a leader in sustainable hospitality.</w:t>
      </w:r>
    </w:p>
    <w:p w14:paraId="5031BF62" w14:textId="239AE075" w:rsidR="003F2541" w:rsidRPr="00797989" w:rsidRDefault="003F2541" w:rsidP="00797989">
      <w:pPr>
        <w:pStyle w:val="Heading2"/>
        <w:jc w:val="both"/>
      </w:pPr>
      <w:bookmarkStart w:id="4" w:name="_Toc181980512"/>
      <w:r w:rsidRPr="00797989">
        <w:t>Food Waste Reduction:</w:t>
      </w:r>
      <w:bookmarkEnd w:id="4"/>
    </w:p>
    <w:p w14:paraId="1F87E4A6" w14:textId="77777777" w:rsidR="003F2541" w:rsidRPr="00797989" w:rsidRDefault="003F2541" w:rsidP="00797989">
      <w:pPr>
        <w:spacing w:line="360" w:lineRule="auto"/>
        <w:jc w:val="both"/>
        <w:rPr>
          <w:rFonts w:ascii="Arial" w:hAnsi="Arial" w:cs="Arial"/>
        </w:rPr>
      </w:pPr>
      <w:r w:rsidRPr="00797989">
        <w:rPr>
          <w:rFonts w:ascii="Arial" w:hAnsi="Arial" w:cs="Arial"/>
        </w:rPr>
        <w:t xml:space="preserve">Hilton uses its </w:t>
      </w:r>
      <w:proofErr w:type="spellStart"/>
      <w:r w:rsidRPr="00797989">
        <w:rPr>
          <w:rFonts w:ascii="Arial" w:hAnsi="Arial" w:cs="Arial"/>
        </w:rPr>
        <w:t>LightStay</w:t>
      </w:r>
      <w:proofErr w:type="spellEnd"/>
      <w:r w:rsidRPr="00797989">
        <w:rPr>
          <w:rFonts w:ascii="Arial" w:hAnsi="Arial" w:cs="Arial"/>
        </w:rPr>
        <w:t xml:space="preserve"> platform to track food waste and identify inefficiencies in its operations. For example, the Green Breakfast initiative, piloted in the UAE, achieved a 62% reduction in food waste within four months (WWF, 2022). These efforts not only contribute to environmental sustainability but also address food insecurity by redistributing surplus food to local charities.</w:t>
      </w:r>
    </w:p>
    <w:p w14:paraId="41D099F8" w14:textId="77777777" w:rsidR="003F2541" w:rsidRPr="00797989" w:rsidRDefault="003F2541" w:rsidP="00797989">
      <w:pPr>
        <w:spacing w:line="360" w:lineRule="auto"/>
        <w:jc w:val="both"/>
        <w:rPr>
          <w:rFonts w:ascii="Arial" w:hAnsi="Arial" w:cs="Arial"/>
        </w:rPr>
      </w:pPr>
      <w:r w:rsidRPr="00797989">
        <w:rPr>
          <w:rFonts w:ascii="Arial" w:hAnsi="Arial" w:cs="Arial"/>
        </w:rPr>
        <w:t>Recycling and Repurposing:</w:t>
      </w:r>
    </w:p>
    <w:p w14:paraId="7AAF8CB7" w14:textId="77777777" w:rsidR="003F2541" w:rsidRPr="00797989" w:rsidRDefault="003F2541" w:rsidP="00797989">
      <w:pPr>
        <w:spacing w:line="360" w:lineRule="auto"/>
        <w:jc w:val="both"/>
        <w:rPr>
          <w:rFonts w:ascii="Arial" w:hAnsi="Arial" w:cs="Arial"/>
        </w:rPr>
      </w:pPr>
      <w:r w:rsidRPr="00797989">
        <w:rPr>
          <w:rFonts w:ascii="Arial" w:hAnsi="Arial" w:cs="Arial"/>
        </w:rPr>
        <w:t>Hilton’s collaboration with Clean the World is a prime example of circularity in action. Used soap from Hilton properties is collected, processed, and repurposed into new hygiene products, which are distributed to communities in need (Clean the World, 2023). Similarly, Hilton repurposes furniture and fixtures during renovations, extending the life cycle of materials and reducing landfill contributions.</w:t>
      </w:r>
    </w:p>
    <w:p w14:paraId="5C17A76C" w14:textId="77777777" w:rsidR="003F2541" w:rsidRPr="00797989" w:rsidRDefault="003F2541" w:rsidP="00797989">
      <w:pPr>
        <w:spacing w:line="360" w:lineRule="auto"/>
        <w:jc w:val="both"/>
        <w:rPr>
          <w:rFonts w:ascii="Arial" w:hAnsi="Arial" w:cs="Arial"/>
        </w:rPr>
      </w:pPr>
      <w:r w:rsidRPr="00797989">
        <w:rPr>
          <w:rFonts w:ascii="Arial" w:hAnsi="Arial" w:cs="Arial"/>
        </w:rPr>
        <w:t>Sustainable Design and Construction:</w:t>
      </w:r>
    </w:p>
    <w:p w14:paraId="127EBF17" w14:textId="77777777" w:rsidR="003F2541" w:rsidRPr="00797989" w:rsidRDefault="003F2541" w:rsidP="00797989">
      <w:pPr>
        <w:spacing w:line="360" w:lineRule="auto"/>
        <w:jc w:val="both"/>
        <w:rPr>
          <w:rFonts w:ascii="Arial" w:hAnsi="Arial" w:cs="Arial"/>
        </w:rPr>
      </w:pPr>
      <w:r w:rsidRPr="00797989">
        <w:rPr>
          <w:rFonts w:ascii="Arial" w:hAnsi="Arial" w:cs="Arial"/>
        </w:rPr>
        <w:t>New Hilton properties incorporate recycled materials and energy-efficient designs to minimize their environmental impact. Sustainable construction practices not only align with global sustainability trends but also enhance the long-term profitability of Hilton’s real estate portfolio (Science Based Targets initiative, 2022).</w:t>
      </w:r>
    </w:p>
    <w:p w14:paraId="705C7F11" w14:textId="77777777" w:rsidR="00797989" w:rsidRDefault="00797989" w:rsidP="00797989">
      <w:pPr>
        <w:spacing w:line="360" w:lineRule="auto"/>
        <w:jc w:val="both"/>
        <w:rPr>
          <w:rFonts w:ascii="Arial" w:hAnsi="Arial" w:cs="Arial"/>
        </w:rPr>
      </w:pPr>
    </w:p>
    <w:p w14:paraId="7E2059B2" w14:textId="77777777" w:rsidR="00797989" w:rsidRDefault="00797989" w:rsidP="00797989">
      <w:pPr>
        <w:spacing w:line="360" w:lineRule="auto"/>
        <w:jc w:val="both"/>
        <w:rPr>
          <w:rFonts w:ascii="Arial" w:hAnsi="Arial" w:cs="Arial"/>
        </w:rPr>
      </w:pPr>
    </w:p>
    <w:p w14:paraId="71DDC4B7" w14:textId="2783960E" w:rsidR="003F2541" w:rsidRPr="00797989" w:rsidRDefault="003F2541" w:rsidP="00797989">
      <w:pPr>
        <w:pStyle w:val="Heading2"/>
        <w:jc w:val="both"/>
      </w:pPr>
      <w:bookmarkStart w:id="5" w:name="_Toc181980513"/>
      <w:r w:rsidRPr="00797989">
        <w:lastRenderedPageBreak/>
        <w:t>Challenges in Implementing CSR Policies</w:t>
      </w:r>
      <w:bookmarkEnd w:id="5"/>
    </w:p>
    <w:p w14:paraId="387E31A4" w14:textId="3A1DEDDC" w:rsidR="00797989" w:rsidRDefault="003F2541" w:rsidP="00797989">
      <w:pPr>
        <w:spacing w:line="360" w:lineRule="auto"/>
        <w:jc w:val="both"/>
        <w:rPr>
          <w:rFonts w:ascii="Arial" w:hAnsi="Arial" w:cs="Arial"/>
        </w:rPr>
      </w:pPr>
      <w:r w:rsidRPr="00797989">
        <w:rPr>
          <w:rFonts w:ascii="Arial" w:hAnsi="Arial" w:cs="Arial"/>
        </w:rPr>
        <w:t>While Hilton has made significant progress, it faces several challenges in implementing CSR initiatives effectively:</w:t>
      </w:r>
    </w:p>
    <w:p w14:paraId="538BE9B6" w14:textId="6D24D14C" w:rsidR="003F2541" w:rsidRPr="00797989" w:rsidRDefault="003F2541" w:rsidP="00797989">
      <w:pPr>
        <w:spacing w:line="360" w:lineRule="auto"/>
        <w:jc w:val="both"/>
        <w:rPr>
          <w:rFonts w:ascii="Arial" w:hAnsi="Arial" w:cs="Arial"/>
        </w:rPr>
      </w:pPr>
      <w:r w:rsidRPr="00797989">
        <w:rPr>
          <w:rFonts w:ascii="Arial" w:hAnsi="Arial" w:cs="Arial"/>
        </w:rPr>
        <w:t>High Costs:</w:t>
      </w:r>
    </w:p>
    <w:p w14:paraId="3991CEB3" w14:textId="77777777" w:rsidR="003F2541" w:rsidRPr="00797989" w:rsidRDefault="003F2541" w:rsidP="00797989">
      <w:pPr>
        <w:spacing w:line="360" w:lineRule="auto"/>
        <w:jc w:val="both"/>
        <w:rPr>
          <w:rFonts w:ascii="Arial" w:hAnsi="Arial" w:cs="Arial"/>
        </w:rPr>
      </w:pPr>
      <w:r w:rsidRPr="00797989">
        <w:rPr>
          <w:rFonts w:ascii="Arial" w:hAnsi="Arial" w:cs="Arial"/>
        </w:rPr>
        <w:t>Sustainable technologies and infrastructure upgrades often require significant investment, which can strain budgets, especially for franchise owners. For example, renewable energy installations and water recycling systems involve substantial upfront costs (Jones et al., 2020).</w:t>
      </w:r>
    </w:p>
    <w:p w14:paraId="633DD806" w14:textId="77777777" w:rsidR="003F2541" w:rsidRPr="00797989" w:rsidRDefault="003F2541" w:rsidP="00797989">
      <w:pPr>
        <w:spacing w:line="360" w:lineRule="auto"/>
        <w:jc w:val="both"/>
        <w:rPr>
          <w:rFonts w:ascii="Arial" w:hAnsi="Arial" w:cs="Arial"/>
        </w:rPr>
      </w:pPr>
      <w:r w:rsidRPr="00797989">
        <w:rPr>
          <w:rFonts w:ascii="Arial" w:hAnsi="Arial" w:cs="Arial"/>
        </w:rPr>
        <w:t>Stakeholder Resistance:</w:t>
      </w:r>
    </w:p>
    <w:p w14:paraId="569536BE" w14:textId="77777777" w:rsidR="003F2541" w:rsidRPr="00797989" w:rsidRDefault="003F2541" w:rsidP="00797989">
      <w:pPr>
        <w:spacing w:line="360" w:lineRule="auto"/>
        <w:jc w:val="both"/>
        <w:rPr>
          <w:rFonts w:ascii="Arial" w:hAnsi="Arial" w:cs="Arial"/>
        </w:rPr>
      </w:pPr>
      <w:r w:rsidRPr="00797989">
        <w:rPr>
          <w:rFonts w:ascii="Arial" w:hAnsi="Arial" w:cs="Arial"/>
        </w:rPr>
        <w:t>Aligning global stakeholders, including franchisees, suppliers, and employees, with Hilton’s sustainability goals can be challenging. Resistance to change is often rooted in concerns about financial and operational feasibility (Smith, 2022).</w:t>
      </w:r>
    </w:p>
    <w:p w14:paraId="0D6731A9" w14:textId="77777777" w:rsidR="003F2541" w:rsidRPr="00797989" w:rsidRDefault="003F2541" w:rsidP="00797989">
      <w:pPr>
        <w:spacing w:line="360" w:lineRule="auto"/>
        <w:jc w:val="both"/>
        <w:rPr>
          <w:rFonts w:ascii="Arial" w:hAnsi="Arial" w:cs="Arial"/>
        </w:rPr>
      </w:pPr>
      <w:r w:rsidRPr="00797989">
        <w:rPr>
          <w:rFonts w:ascii="Arial" w:hAnsi="Arial" w:cs="Arial"/>
        </w:rPr>
        <w:t>Regulatory Complexity:</w:t>
      </w:r>
    </w:p>
    <w:p w14:paraId="4AE8E840" w14:textId="77777777" w:rsidR="003F2541" w:rsidRPr="00797989" w:rsidRDefault="003F2541" w:rsidP="00797989">
      <w:pPr>
        <w:spacing w:line="360" w:lineRule="auto"/>
        <w:jc w:val="both"/>
        <w:rPr>
          <w:rFonts w:ascii="Arial" w:hAnsi="Arial" w:cs="Arial"/>
        </w:rPr>
      </w:pPr>
      <w:r w:rsidRPr="00797989">
        <w:rPr>
          <w:rFonts w:ascii="Arial" w:hAnsi="Arial" w:cs="Arial"/>
        </w:rPr>
        <w:t xml:space="preserve">Operating in over 100 countries, Hilton must navigate varying environmental and </w:t>
      </w:r>
      <w:proofErr w:type="spellStart"/>
      <w:r w:rsidRPr="00797989">
        <w:rPr>
          <w:rFonts w:ascii="Arial" w:hAnsi="Arial" w:cs="Arial"/>
        </w:rPr>
        <w:t>labor</w:t>
      </w:r>
      <w:proofErr w:type="spellEnd"/>
      <w:r w:rsidRPr="00797989">
        <w:rPr>
          <w:rFonts w:ascii="Arial" w:hAnsi="Arial" w:cs="Arial"/>
        </w:rPr>
        <w:t xml:space="preserve"> regulations. This complexity complicates the standardization of CSR practices across its global operations (WWF, 2022).</w:t>
      </w:r>
    </w:p>
    <w:p w14:paraId="24400C3A" w14:textId="0D7B6535" w:rsidR="003F2541" w:rsidRPr="00797989" w:rsidRDefault="003F2541" w:rsidP="00797989">
      <w:pPr>
        <w:spacing w:line="360" w:lineRule="auto"/>
        <w:jc w:val="both"/>
        <w:rPr>
          <w:rFonts w:ascii="Arial" w:hAnsi="Arial" w:cs="Arial"/>
        </w:rPr>
      </w:pPr>
      <w:r w:rsidRPr="00797989">
        <w:rPr>
          <w:rFonts w:ascii="Arial" w:hAnsi="Arial" w:cs="Arial"/>
        </w:rPr>
        <w:t xml:space="preserve">Consumer </w:t>
      </w:r>
      <w:r w:rsidR="00797989" w:rsidRPr="00797989">
        <w:rPr>
          <w:rFonts w:ascii="Arial" w:hAnsi="Arial" w:cs="Arial"/>
        </w:rPr>
        <w:t>Behaviour</w:t>
      </w:r>
      <w:r w:rsidRPr="00797989">
        <w:rPr>
          <w:rFonts w:ascii="Arial" w:hAnsi="Arial" w:cs="Arial"/>
        </w:rPr>
        <w:t>:</w:t>
      </w:r>
    </w:p>
    <w:p w14:paraId="4821CE1C" w14:textId="77777777" w:rsidR="003F2541" w:rsidRPr="00797989" w:rsidRDefault="003F2541" w:rsidP="00797989">
      <w:pPr>
        <w:spacing w:line="360" w:lineRule="auto"/>
        <w:jc w:val="both"/>
        <w:rPr>
          <w:rFonts w:ascii="Arial" w:hAnsi="Arial" w:cs="Arial"/>
        </w:rPr>
      </w:pPr>
      <w:r w:rsidRPr="00797989">
        <w:rPr>
          <w:rFonts w:ascii="Arial" w:hAnsi="Arial" w:cs="Arial"/>
        </w:rPr>
        <w:t>While there is growing demand for sustainable travel, many consumers still prioritize affordability over eco-friendly practices. Hilton must balance sustainability goals with the need to remain competitive in price-sensitive markets (Jones et al., 2020).</w:t>
      </w:r>
    </w:p>
    <w:p w14:paraId="3FB8F502" w14:textId="77777777" w:rsidR="003F2541" w:rsidRPr="00797989" w:rsidRDefault="003F2541" w:rsidP="00797989">
      <w:pPr>
        <w:spacing w:line="360" w:lineRule="auto"/>
        <w:jc w:val="both"/>
        <w:rPr>
          <w:rFonts w:ascii="Arial" w:hAnsi="Arial" w:cs="Arial"/>
        </w:rPr>
      </w:pPr>
      <w:r w:rsidRPr="00797989">
        <w:rPr>
          <w:rFonts w:ascii="Arial" w:hAnsi="Arial" w:cs="Arial"/>
        </w:rPr>
        <w:t>Data Collection and Reporting:</w:t>
      </w:r>
    </w:p>
    <w:p w14:paraId="359C1309" w14:textId="77777777" w:rsidR="003F2541" w:rsidRPr="00797989" w:rsidRDefault="003F2541" w:rsidP="00797989">
      <w:pPr>
        <w:spacing w:line="360" w:lineRule="auto"/>
        <w:jc w:val="both"/>
        <w:rPr>
          <w:rFonts w:ascii="Arial" w:hAnsi="Arial" w:cs="Arial"/>
        </w:rPr>
      </w:pPr>
      <w:r w:rsidRPr="00797989">
        <w:rPr>
          <w:rFonts w:ascii="Arial" w:hAnsi="Arial" w:cs="Arial"/>
        </w:rPr>
        <w:t xml:space="preserve">Accurately measuring CSR outcomes is a persistent challenge due to inconsistencies in data collection. Although the </w:t>
      </w:r>
      <w:proofErr w:type="spellStart"/>
      <w:r w:rsidRPr="00797989">
        <w:rPr>
          <w:rFonts w:ascii="Arial" w:hAnsi="Arial" w:cs="Arial"/>
        </w:rPr>
        <w:t>LightStay</w:t>
      </w:r>
      <w:proofErr w:type="spellEnd"/>
      <w:r w:rsidRPr="00797989">
        <w:rPr>
          <w:rFonts w:ascii="Arial" w:hAnsi="Arial" w:cs="Arial"/>
        </w:rPr>
        <w:t xml:space="preserve"> platform addresses some of these issues, further improvements are needed to enhance transparency and accountability (Hilton, 2023).</w:t>
      </w:r>
    </w:p>
    <w:p w14:paraId="097754AF" w14:textId="77777777" w:rsidR="003F2541" w:rsidRPr="00797989" w:rsidRDefault="003F2541" w:rsidP="00797989">
      <w:pPr>
        <w:pStyle w:val="Heading2"/>
        <w:jc w:val="both"/>
      </w:pPr>
      <w:bookmarkStart w:id="6" w:name="_Toc181980514"/>
      <w:r w:rsidRPr="00797989">
        <w:t>Opportunities for Enhancing CSR Impact</w:t>
      </w:r>
      <w:bookmarkEnd w:id="6"/>
    </w:p>
    <w:p w14:paraId="41F871E0" w14:textId="77777777" w:rsidR="003F2541" w:rsidRPr="00797989" w:rsidRDefault="003F2541" w:rsidP="00797989">
      <w:pPr>
        <w:spacing w:line="360" w:lineRule="auto"/>
        <w:jc w:val="both"/>
        <w:rPr>
          <w:rFonts w:ascii="Arial" w:hAnsi="Arial" w:cs="Arial"/>
        </w:rPr>
      </w:pPr>
      <w:r w:rsidRPr="00797989">
        <w:rPr>
          <w:rFonts w:ascii="Arial" w:hAnsi="Arial" w:cs="Arial"/>
        </w:rPr>
        <w:t>Despite these challenges, CSR offers numerous opportunities for Hilton:</w:t>
      </w:r>
    </w:p>
    <w:p w14:paraId="641575E0" w14:textId="77777777" w:rsidR="003F2541" w:rsidRPr="00797989" w:rsidRDefault="003F2541" w:rsidP="00797989">
      <w:pPr>
        <w:spacing w:line="360" w:lineRule="auto"/>
        <w:jc w:val="both"/>
        <w:rPr>
          <w:rFonts w:ascii="Arial" w:hAnsi="Arial" w:cs="Arial"/>
        </w:rPr>
      </w:pPr>
      <w:r w:rsidRPr="00797989">
        <w:rPr>
          <w:rFonts w:ascii="Arial" w:hAnsi="Arial" w:cs="Arial"/>
        </w:rPr>
        <w:t>Brand Differentiation:</w:t>
      </w:r>
    </w:p>
    <w:p w14:paraId="26580B16" w14:textId="77777777" w:rsidR="003F2541" w:rsidRPr="00797989" w:rsidRDefault="003F2541" w:rsidP="00797989">
      <w:pPr>
        <w:spacing w:line="360" w:lineRule="auto"/>
        <w:jc w:val="both"/>
        <w:rPr>
          <w:rFonts w:ascii="Arial" w:hAnsi="Arial" w:cs="Arial"/>
        </w:rPr>
      </w:pPr>
      <w:r w:rsidRPr="00797989">
        <w:rPr>
          <w:rFonts w:ascii="Arial" w:hAnsi="Arial" w:cs="Arial"/>
        </w:rPr>
        <w:lastRenderedPageBreak/>
        <w:t>Proactive CSR initiatives position Hilton as a leader in sustainable hospitality, differentiating the company from competitors and attracting environmentally conscious consumers (Smith, 2022).</w:t>
      </w:r>
    </w:p>
    <w:p w14:paraId="239D0A03" w14:textId="77777777" w:rsidR="003F2541" w:rsidRPr="00797989" w:rsidRDefault="003F2541" w:rsidP="00797989">
      <w:pPr>
        <w:spacing w:line="360" w:lineRule="auto"/>
        <w:jc w:val="both"/>
        <w:rPr>
          <w:rFonts w:ascii="Arial" w:hAnsi="Arial" w:cs="Arial"/>
        </w:rPr>
      </w:pPr>
      <w:r w:rsidRPr="00797989">
        <w:rPr>
          <w:rFonts w:ascii="Arial" w:hAnsi="Arial" w:cs="Arial"/>
        </w:rPr>
        <w:t>Cost Savings through Efficiency:</w:t>
      </w:r>
    </w:p>
    <w:p w14:paraId="5A95E436" w14:textId="77777777" w:rsidR="003F2541" w:rsidRPr="00797989" w:rsidRDefault="003F2541" w:rsidP="00797989">
      <w:pPr>
        <w:spacing w:line="360" w:lineRule="auto"/>
        <w:jc w:val="both"/>
        <w:rPr>
          <w:rFonts w:ascii="Arial" w:hAnsi="Arial" w:cs="Arial"/>
        </w:rPr>
      </w:pPr>
      <w:r w:rsidRPr="00797989">
        <w:rPr>
          <w:rFonts w:ascii="Arial" w:hAnsi="Arial" w:cs="Arial"/>
        </w:rPr>
        <w:t>Investments in energy-saving technologies and waste reduction practices result in long-term cost savings. For example, Hilton’s energy-efficient properties consistently report lower utility expenses (Science Based Targets initiative, 2022).</w:t>
      </w:r>
    </w:p>
    <w:p w14:paraId="772FB560" w14:textId="77777777" w:rsidR="003F2541" w:rsidRPr="00797989" w:rsidRDefault="003F2541" w:rsidP="00797989">
      <w:pPr>
        <w:spacing w:line="360" w:lineRule="auto"/>
        <w:jc w:val="both"/>
        <w:rPr>
          <w:rFonts w:ascii="Arial" w:hAnsi="Arial" w:cs="Arial"/>
        </w:rPr>
      </w:pPr>
      <w:r w:rsidRPr="00797989">
        <w:rPr>
          <w:rFonts w:ascii="Arial" w:hAnsi="Arial" w:cs="Arial"/>
        </w:rPr>
        <w:t>Collaborative Partnerships:</w:t>
      </w:r>
    </w:p>
    <w:p w14:paraId="7C4E0940" w14:textId="77777777" w:rsidR="003F2541" w:rsidRPr="00797989" w:rsidRDefault="003F2541" w:rsidP="00797989">
      <w:pPr>
        <w:spacing w:line="360" w:lineRule="auto"/>
        <w:jc w:val="both"/>
        <w:rPr>
          <w:rFonts w:ascii="Arial" w:hAnsi="Arial" w:cs="Arial"/>
        </w:rPr>
      </w:pPr>
      <w:r w:rsidRPr="00797989">
        <w:rPr>
          <w:rFonts w:ascii="Arial" w:hAnsi="Arial" w:cs="Arial"/>
        </w:rPr>
        <w:t>Hilton’s partnerships with organizations like Clean the World and WWF amplify the impact of its CSR initiatives while fostering innovation. Collaborative efforts allow Hilton to scale its sustainability programs and extend their reach (WWF, 2022).</w:t>
      </w:r>
    </w:p>
    <w:p w14:paraId="38486FAA" w14:textId="77777777" w:rsidR="003F2541" w:rsidRPr="00797989" w:rsidRDefault="003F2541" w:rsidP="00797989">
      <w:pPr>
        <w:spacing w:line="360" w:lineRule="auto"/>
        <w:jc w:val="both"/>
        <w:rPr>
          <w:rFonts w:ascii="Arial" w:hAnsi="Arial" w:cs="Arial"/>
        </w:rPr>
      </w:pPr>
      <w:r w:rsidRPr="00797989">
        <w:rPr>
          <w:rFonts w:ascii="Arial" w:hAnsi="Arial" w:cs="Arial"/>
        </w:rPr>
        <w:t>Regulatory Preparedness:</w:t>
      </w:r>
    </w:p>
    <w:p w14:paraId="4DF0B129" w14:textId="77777777" w:rsidR="003F2541" w:rsidRPr="00797989" w:rsidRDefault="003F2541" w:rsidP="00797989">
      <w:pPr>
        <w:spacing w:line="360" w:lineRule="auto"/>
        <w:jc w:val="both"/>
        <w:rPr>
          <w:rFonts w:ascii="Arial" w:hAnsi="Arial" w:cs="Arial"/>
        </w:rPr>
      </w:pPr>
      <w:r w:rsidRPr="00797989">
        <w:rPr>
          <w:rFonts w:ascii="Arial" w:hAnsi="Arial" w:cs="Arial"/>
        </w:rPr>
        <w:t>Exceeding regulatory requirements enhances Hilton’s compliance and reduces the risk of fines or operational disruptions. Proactively adopting sustainable practices positions Hilton as a forward-thinking industry leader (Jones et al., 2020).</w:t>
      </w:r>
    </w:p>
    <w:p w14:paraId="38B5A296" w14:textId="77777777" w:rsidR="003F2541" w:rsidRPr="00797989" w:rsidRDefault="003F2541" w:rsidP="00797989">
      <w:pPr>
        <w:spacing w:line="360" w:lineRule="auto"/>
        <w:jc w:val="both"/>
        <w:rPr>
          <w:rFonts w:ascii="Arial" w:hAnsi="Arial" w:cs="Arial"/>
        </w:rPr>
      </w:pPr>
      <w:r w:rsidRPr="00797989">
        <w:rPr>
          <w:rFonts w:ascii="Arial" w:hAnsi="Arial" w:cs="Arial"/>
        </w:rPr>
        <w:t>Expansion into Emerging Markets:</w:t>
      </w:r>
    </w:p>
    <w:p w14:paraId="0810644A" w14:textId="51E64F36" w:rsidR="003F2541" w:rsidRPr="00797989" w:rsidRDefault="003F2541" w:rsidP="00797989">
      <w:pPr>
        <w:spacing w:line="360" w:lineRule="auto"/>
        <w:jc w:val="both"/>
        <w:rPr>
          <w:rFonts w:ascii="Arial" w:hAnsi="Arial" w:cs="Arial"/>
        </w:rPr>
      </w:pPr>
      <w:r w:rsidRPr="00797989">
        <w:rPr>
          <w:rFonts w:ascii="Arial" w:hAnsi="Arial" w:cs="Arial"/>
        </w:rPr>
        <w:t>CSR initiatives focused on local community engagement and job creation create opportunities for Hilton to expand into emerging markets. By aligning its business goals with community needs, Hilton builds trust and fosters long-term growth (Hilton, 2023).</w:t>
      </w:r>
    </w:p>
    <w:p w14:paraId="4BDDD688" w14:textId="1C4116B2" w:rsidR="003F2541" w:rsidRPr="00797989" w:rsidRDefault="003F2541" w:rsidP="00797989">
      <w:pPr>
        <w:pStyle w:val="Heading1"/>
        <w:jc w:val="both"/>
      </w:pPr>
      <w:bookmarkStart w:id="7" w:name="_Toc181980515"/>
      <w:r w:rsidRPr="00797989">
        <w:t>Conclusion</w:t>
      </w:r>
      <w:bookmarkEnd w:id="7"/>
    </w:p>
    <w:p w14:paraId="125D6474" w14:textId="2B0ABB7C" w:rsidR="003F2541" w:rsidRPr="00797989" w:rsidRDefault="003F2541" w:rsidP="00797989">
      <w:pPr>
        <w:spacing w:line="360" w:lineRule="auto"/>
        <w:jc w:val="both"/>
        <w:rPr>
          <w:rFonts w:ascii="Arial" w:hAnsi="Arial" w:cs="Arial"/>
        </w:rPr>
      </w:pPr>
      <w:r w:rsidRPr="00797989">
        <w:rPr>
          <w:rFonts w:ascii="Arial" w:hAnsi="Arial" w:cs="Arial"/>
        </w:rPr>
        <w:t xml:space="preserve">Hilton Hotels exemplifies the transformative potential of Corporate Social Responsibility (CSR) in the hospitality industry, showcasing how sustainability can be effectively integrated into global operations. Through its “Travel with Purpose” program, Hilton addresses critical environmental, social, and economic challenges, creating a blueprint for responsible business practices (Hilton, 2023). By incorporating innovative technologies like </w:t>
      </w:r>
      <w:proofErr w:type="spellStart"/>
      <w:r w:rsidRPr="00797989">
        <w:rPr>
          <w:rFonts w:ascii="Arial" w:hAnsi="Arial" w:cs="Arial"/>
        </w:rPr>
        <w:t>LightStay</w:t>
      </w:r>
      <w:proofErr w:type="spellEnd"/>
      <w:r w:rsidRPr="00797989">
        <w:rPr>
          <w:rFonts w:ascii="Arial" w:hAnsi="Arial" w:cs="Arial"/>
        </w:rPr>
        <w:t xml:space="preserve">, adopting circular economy principles, and championing social equity, Hilton demonstrates a commitment to the three pillars of sustainability: environmental preservation, social equity, and economic </w:t>
      </w:r>
      <w:proofErr w:type="spellStart"/>
      <w:proofErr w:type="gramStart"/>
      <w:r w:rsidRPr="00797989">
        <w:rPr>
          <w:rFonts w:ascii="Arial" w:hAnsi="Arial" w:cs="Arial"/>
        </w:rPr>
        <w:lastRenderedPageBreak/>
        <w:t>development.The</w:t>
      </w:r>
      <w:proofErr w:type="spellEnd"/>
      <w:proofErr w:type="gramEnd"/>
      <w:r w:rsidRPr="00797989">
        <w:rPr>
          <w:rFonts w:ascii="Arial" w:hAnsi="Arial" w:cs="Arial"/>
        </w:rPr>
        <w:t xml:space="preserve"> company’s environmental efforts, such as achieving a significant reduction in carbon emissions and adopting renewable energy sources, reflect its proactive stance on combating climate change. On the social front, Hilton’s diversity initiatives, community engagement programs, and human rights advocacy highlight its dedication to fostering inclusivity and ethical practices. Economically, the company’s sustainable supply chains and support for local economies underscore the broader benefits of CSR for </w:t>
      </w:r>
      <w:proofErr w:type="spellStart"/>
      <w:proofErr w:type="gramStart"/>
      <w:r w:rsidRPr="00797989">
        <w:rPr>
          <w:rFonts w:ascii="Arial" w:hAnsi="Arial" w:cs="Arial"/>
        </w:rPr>
        <w:t>stakeholders.Despite</w:t>
      </w:r>
      <w:proofErr w:type="spellEnd"/>
      <w:proofErr w:type="gramEnd"/>
      <w:r w:rsidRPr="00797989">
        <w:rPr>
          <w:rFonts w:ascii="Arial" w:hAnsi="Arial" w:cs="Arial"/>
        </w:rPr>
        <w:t xml:space="preserve"> challenges such as high implementation costs and stakeholder resistance, Hilton has successfully leveraged CSR to enhance brand reputation, attract environmentally conscious consumers, and achieve operational efficiencies. Looking forward, Hilton’s commitment to innovation and collaboration will be critical in overcoming emerging challenges and maintaining its leadership in sustainability. By aligning profitability with ethical practices, Hilton not only secures its future but also contributes positively to global sustainability goals.</w:t>
      </w:r>
    </w:p>
    <w:p w14:paraId="14621D9B" w14:textId="631F7934" w:rsidR="00797989" w:rsidRPr="00797989" w:rsidRDefault="00797989" w:rsidP="00797989">
      <w:pPr>
        <w:spacing w:line="360" w:lineRule="auto"/>
        <w:jc w:val="both"/>
        <w:rPr>
          <w:rFonts w:ascii="Arial" w:hAnsi="Arial" w:cs="Arial"/>
        </w:rPr>
      </w:pPr>
    </w:p>
    <w:p w14:paraId="4979AA37" w14:textId="77777777" w:rsidR="00797989" w:rsidRPr="00797989" w:rsidRDefault="00797989" w:rsidP="00797989">
      <w:pPr>
        <w:spacing w:line="360" w:lineRule="auto"/>
        <w:jc w:val="both"/>
        <w:rPr>
          <w:rFonts w:ascii="Arial" w:hAnsi="Arial" w:cs="Arial"/>
        </w:rPr>
      </w:pPr>
      <w:r w:rsidRPr="00797989">
        <w:rPr>
          <w:rFonts w:ascii="Arial" w:hAnsi="Arial" w:cs="Arial"/>
        </w:rPr>
        <w:br w:type="page"/>
      </w:r>
    </w:p>
    <w:p w14:paraId="76097020" w14:textId="26FCB362" w:rsidR="002B7F4C" w:rsidRDefault="00797989" w:rsidP="00797989">
      <w:pPr>
        <w:pStyle w:val="Heading1"/>
        <w:jc w:val="both"/>
      </w:pPr>
      <w:bookmarkStart w:id="8" w:name="_Toc181980516"/>
      <w:r w:rsidRPr="00797989">
        <w:lastRenderedPageBreak/>
        <w:t>References:</w:t>
      </w:r>
      <w:bookmarkEnd w:id="8"/>
    </w:p>
    <w:p w14:paraId="36B9314C" w14:textId="3F96C8B3"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Carroll, A.B. and Shabana, K.M.</w:t>
      </w:r>
      <w:r w:rsidRPr="00E758FC">
        <w:rPr>
          <w:rFonts w:ascii="Arial" w:hAnsi="Arial" w:cs="Arial"/>
        </w:rPr>
        <w:t xml:space="preserve"> (2010) 'The Business Case for Corporate Social Responsibility: A Review of Concepts, Research and Practice', </w:t>
      </w:r>
      <w:r w:rsidRPr="00E758FC">
        <w:rPr>
          <w:rStyle w:val="Emphasis"/>
          <w:rFonts w:ascii="Arial" w:eastAsiaTheme="majorEastAsia" w:hAnsi="Arial" w:cs="Arial"/>
        </w:rPr>
        <w:t>International Journal of Management Reviews</w:t>
      </w:r>
      <w:r w:rsidRPr="00E758FC">
        <w:rPr>
          <w:rFonts w:ascii="Arial" w:hAnsi="Arial" w:cs="Arial"/>
        </w:rPr>
        <w:t>, 12(1), pp. 85–105.</w:t>
      </w:r>
    </w:p>
    <w:p w14:paraId="79A51430" w14:textId="36FD6CE7"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Clean the World</w:t>
      </w:r>
      <w:r w:rsidRPr="00E758FC">
        <w:rPr>
          <w:rFonts w:ascii="Arial" w:hAnsi="Arial" w:cs="Arial"/>
        </w:rPr>
        <w:t xml:space="preserve"> (2023) </w:t>
      </w:r>
      <w:r w:rsidRPr="00E758FC">
        <w:rPr>
          <w:rStyle w:val="Emphasis"/>
          <w:rFonts w:ascii="Arial" w:eastAsiaTheme="majorEastAsia" w:hAnsi="Arial" w:cs="Arial"/>
        </w:rPr>
        <w:t>Impact Report: Soap Recycling and Community Initiatives</w:t>
      </w:r>
      <w:r w:rsidRPr="00E758FC">
        <w:rPr>
          <w:rFonts w:ascii="Arial" w:hAnsi="Arial" w:cs="Arial"/>
        </w:rPr>
        <w:t>. Available at: https://cleantheworld.org/impact-report-2023 (Accessed: 3 October 2025).</w:t>
      </w:r>
    </w:p>
    <w:p w14:paraId="4D045EA3" w14:textId="3347BA21"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Elkington, J.</w:t>
      </w:r>
      <w:r w:rsidRPr="00E758FC">
        <w:rPr>
          <w:rFonts w:ascii="Arial" w:hAnsi="Arial" w:cs="Arial"/>
        </w:rPr>
        <w:t xml:space="preserve"> (1997) </w:t>
      </w:r>
      <w:r w:rsidRPr="00E758FC">
        <w:rPr>
          <w:rStyle w:val="Emphasis"/>
          <w:rFonts w:ascii="Arial" w:eastAsiaTheme="majorEastAsia" w:hAnsi="Arial" w:cs="Arial"/>
        </w:rPr>
        <w:t>Cannibals with Forks: The Triple Bottom Line of 21st Century Business</w:t>
      </w:r>
      <w:r w:rsidRPr="00E758FC">
        <w:rPr>
          <w:rFonts w:ascii="Arial" w:hAnsi="Arial" w:cs="Arial"/>
        </w:rPr>
        <w:t>. Oxford: Capstone Publishing.</w:t>
      </w:r>
    </w:p>
    <w:p w14:paraId="3BAF6DF4" w14:textId="61BC5728"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(2020) </w:t>
      </w:r>
      <w:r w:rsidRPr="00E758FC">
        <w:rPr>
          <w:rStyle w:val="Emphasis"/>
          <w:rFonts w:ascii="Arial" w:eastAsiaTheme="majorEastAsia" w:hAnsi="Arial" w:cs="Arial"/>
        </w:rPr>
        <w:t>Environmental, Social and Governance Report</w:t>
      </w:r>
      <w:r w:rsidRPr="00E758FC">
        <w:rPr>
          <w:rFonts w:ascii="Arial" w:hAnsi="Arial" w:cs="Arial"/>
        </w:rPr>
        <w:t xml:space="preserve">. Available at: </w:t>
      </w:r>
      <w:hyperlink r:id="rId5" w:tgtFrame="_new" w:history="1">
        <w:r w:rsidRPr="00E758FC">
          <w:rPr>
            <w:rStyle w:val="Hyperlink"/>
            <w:rFonts w:ascii="Arial" w:eastAsiaTheme="majorEastAsia" w:hAnsi="Arial" w:cs="Arial"/>
          </w:rPr>
          <w:t>https://cr.hilton.com/wp-content/uploads/2021/04/Hilton-2020-ESG-Report.pdf</w:t>
        </w:r>
      </w:hyperlink>
      <w:r w:rsidRPr="00E758FC">
        <w:rPr>
          <w:rFonts w:ascii="Arial" w:hAnsi="Arial" w:cs="Arial"/>
        </w:rPr>
        <w:t xml:space="preserve"> (Accessed: 10 October 2025).</w:t>
      </w:r>
    </w:p>
    <w:p w14:paraId="541A0234" w14:textId="11688B33"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(2021) </w:t>
      </w:r>
      <w:r w:rsidRPr="00E758FC">
        <w:rPr>
          <w:rStyle w:val="Emphasis"/>
          <w:rFonts w:ascii="Arial" w:eastAsiaTheme="majorEastAsia" w:hAnsi="Arial" w:cs="Arial"/>
        </w:rPr>
        <w:t>ESG Highlights Report</w:t>
      </w:r>
      <w:r w:rsidRPr="00E758FC">
        <w:rPr>
          <w:rFonts w:ascii="Arial" w:hAnsi="Arial" w:cs="Arial"/>
        </w:rPr>
        <w:t xml:space="preserve">. Available at: </w:t>
      </w:r>
      <w:hyperlink r:id="rId6" w:tgtFrame="_new" w:history="1">
        <w:r w:rsidRPr="00E758FC">
          <w:rPr>
            <w:rStyle w:val="Hyperlink"/>
            <w:rFonts w:ascii="Arial" w:eastAsiaTheme="majorEastAsia" w:hAnsi="Arial" w:cs="Arial"/>
          </w:rPr>
          <w:t>https://esg.hilton.com/wp-content/uploads/sites/3/2022/04/2021-ESG-Highlights-Report-Final.pdf</w:t>
        </w:r>
      </w:hyperlink>
      <w:r w:rsidRPr="00E758FC">
        <w:rPr>
          <w:rFonts w:ascii="Arial" w:hAnsi="Arial" w:cs="Arial"/>
        </w:rPr>
        <w:t xml:space="preserve"> (Accessed: 18 October 2025).</w:t>
      </w:r>
    </w:p>
    <w:p w14:paraId="04D3798F" w14:textId="72B0EC0E"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(2022) </w:t>
      </w:r>
      <w:r w:rsidRPr="00E758FC">
        <w:rPr>
          <w:rStyle w:val="Emphasis"/>
          <w:rFonts w:ascii="Arial" w:eastAsiaTheme="majorEastAsia" w:hAnsi="Arial" w:cs="Arial"/>
        </w:rPr>
        <w:t>Environmental, Social and Governance Report</w:t>
      </w:r>
      <w:r w:rsidRPr="00E758FC">
        <w:rPr>
          <w:rFonts w:ascii="Arial" w:hAnsi="Arial" w:cs="Arial"/>
        </w:rPr>
        <w:t xml:space="preserve">. Available at: </w:t>
      </w:r>
      <w:hyperlink r:id="rId7" w:tgtFrame="_new" w:history="1">
        <w:r w:rsidRPr="00E758FC">
          <w:rPr>
            <w:rStyle w:val="Hyperlink"/>
            <w:rFonts w:ascii="Arial" w:eastAsiaTheme="majorEastAsia" w:hAnsi="Arial" w:cs="Arial"/>
          </w:rPr>
          <w:t>https://esg.hilton.com/wp-content/uploads/sites/4/2023/04/Hilton-2022-Environmental-Social-and-Governance-Report.pdf</w:t>
        </w:r>
      </w:hyperlink>
      <w:r w:rsidRPr="00E758FC">
        <w:rPr>
          <w:rFonts w:ascii="Arial" w:hAnsi="Arial" w:cs="Arial"/>
        </w:rPr>
        <w:t xml:space="preserve"> (Accessed: 29 October 2025).</w:t>
      </w:r>
    </w:p>
    <w:p w14:paraId="3FEB0F4F" w14:textId="27AC1F81"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2023 ESG Report Performance Tables</w:t>
      </w:r>
      <w:r w:rsidRPr="00E758FC">
        <w:rPr>
          <w:rFonts w:ascii="Arial" w:hAnsi="Arial" w:cs="Arial"/>
        </w:rPr>
        <w:t xml:space="preserve">. Available at: </w:t>
      </w:r>
      <w:hyperlink r:id="rId8" w:history="1">
        <w:r w:rsidRPr="009643C0">
          <w:rPr>
            <w:rStyle w:val="Hyperlink"/>
            <w:rFonts w:ascii="Arial" w:hAnsi="Arial" w:cs="Arial"/>
          </w:rPr>
          <w:t>https://esg.hilton.com/wp-content/uploads/sites/4/2023/04/2023-Performance-Tables.pdf</w:t>
        </w:r>
      </w:hyperlink>
      <w:r w:rsidRPr="00E758FC">
        <w:rPr>
          <w:rFonts w:ascii="Arial" w:hAnsi="Arial" w:cs="Arial"/>
        </w:rPr>
        <w:t xml:space="preserve"> (Accessed: 27 October 2025).</w:t>
      </w:r>
    </w:p>
    <w:p w14:paraId="37B7118E" w14:textId="505D2BF9"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2030 Goal Tracker</w:t>
      </w:r>
      <w:r w:rsidRPr="00E758FC">
        <w:rPr>
          <w:rFonts w:ascii="Arial" w:hAnsi="Arial" w:cs="Arial"/>
        </w:rPr>
        <w:t xml:space="preserve">. Available at: </w:t>
      </w:r>
      <w:hyperlink r:id="rId9" w:history="1">
        <w:r w:rsidRPr="00E758FC">
          <w:rPr>
            <w:rStyle w:val="Hyperlink"/>
            <w:rFonts w:ascii="Arial" w:hAnsi="Arial" w:cs="Arial"/>
          </w:rPr>
          <w:t>https://esg.hilton.com/wp-content/uploads/sites/4/2024/05/2023-Goal-Tracking.pdf</w:t>
        </w:r>
      </w:hyperlink>
      <w:r w:rsidRPr="00E758FC">
        <w:rPr>
          <w:rFonts w:ascii="Arial" w:hAnsi="Arial" w:cs="Arial"/>
        </w:rPr>
        <w:t xml:space="preserve"> (Accessed: 20 October 2025).</w:t>
      </w:r>
    </w:p>
    <w:p w14:paraId="052955D9" w14:textId="1C341F78"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Governance: Travel with Purpose</w:t>
      </w:r>
      <w:r w:rsidRPr="00E758FC">
        <w:rPr>
          <w:rFonts w:ascii="Arial" w:hAnsi="Arial" w:cs="Arial"/>
        </w:rPr>
        <w:t>. Available at: https://esg.hilton.com/governance/ (Accessed: 5 November 2025).</w:t>
      </w:r>
    </w:p>
    <w:p w14:paraId="1DCF1078" w14:textId="16A80E3F"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Our Progress: Travel with Purpose</w:t>
      </w:r>
      <w:r w:rsidRPr="00E758FC">
        <w:rPr>
          <w:rFonts w:ascii="Arial" w:hAnsi="Arial" w:cs="Arial"/>
        </w:rPr>
        <w:t xml:space="preserve">. Available at: </w:t>
      </w:r>
      <w:hyperlink r:id="rId10" w:tgtFrame="_new" w:history="1">
        <w:r w:rsidRPr="00E758FC">
          <w:rPr>
            <w:rStyle w:val="Hyperlink"/>
            <w:rFonts w:ascii="Arial" w:eastAsiaTheme="majorEastAsia" w:hAnsi="Arial" w:cs="Arial"/>
          </w:rPr>
          <w:t>https://esg.hilton.com/our-progress/</w:t>
        </w:r>
      </w:hyperlink>
      <w:r w:rsidRPr="00E758FC">
        <w:rPr>
          <w:rFonts w:ascii="Arial" w:hAnsi="Arial" w:cs="Arial"/>
        </w:rPr>
        <w:t xml:space="preserve"> (Accessed: 8 October 2025).</w:t>
      </w:r>
    </w:p>
    <w:p w14:paraId="2BB78CA2" w14:textId="48373D96"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Our Reporting: Travel with Purpose</w:t>
      </w:r>
      <w:r w:rsidRPr="00E758FC">
        <w:rPr>
          <w:rFonts w:ascii="Arial" w:hAnsi="Arial" w:cs="Arial"/>
        </w:rPr>
        <w:t xml:space="preserve">. Available at: </w:t>
      </w:r>
      <w:hyperlink r:id="rId11" w:tgtFrame="_new" w:history="1">
        <w:r w:rsidRPr="00E758FC">
          <w:rPr>
            <w:rStyle w:val="Hyperlink"/>
            <w:rFonts w:ascii="Arial" w:eastAsiaTheme="majorEastAsia" w:hAnsi="Arial" w:cs="Arial"/>
          </w:rPr>
          <w:t>https://esg.hilton.com/our-reporting/</w:t>
        </w:r>
      </w:hyperlink>
      <w:r w:rsidRPr="00E758FC">
        <w:rPr>
          <w:rFonts w:ascii="Arial" w:hAnsi="Arial" w:cs="Arial"/>
        </w:rPr>
        <w:t xml:space="preserve"> (Accessed: 22 October 2025).</w:t>
      </w:r>
    </w:p>
    <w:p w14:paraId="3B9AEFCE" w14:textId="2FD891CC"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lastRenderedPageBreak/>
        <w:t>Hilton</w:t>
      </w:r>
      <w:r w:rsidRPr="00E758FC">
        <w:rPr>
          <w:rFonts w:ascii="Arial" w:hAnsi="Arial" w:cs="Arial"/>
        </w:rPr>
        <w:t xml:space="preserve"> (2023) </w:t>
      </w:r>
      <w:r w:rsidRPr="00E758FC">
        <w:rPr>
          <w:rStyle w:val="Emphasis"/>
          <w:rFonts w:ascii="Arial" w:eastAsiaTheme="majorEastAsia" w:hAnsi="Arial" w:cs="Arial"/>
        </w:rPr>
        <w:t>Responsible Sourcing Goals</w:t>
      </w:r>
      <w:r w:rsidRPr="00E758FC">
        <w:rPr>
          <w:rFonts w:ascii="Arial" w:hAnsi="Arial" w:cs="Arial"/>
        </w:rPr>
        <w:t xml:space="preserve">. Available at: </w:t>
      </w:r>
      <w:hyperlink r:id="rId12" w:history="1">
        <w:r w:rsidRPr="00E758FC">
          <w:rPr>
            <w:rStyle w:val="Hyperlink"/>
            <w:rFonts w:ascii="Arial" w:hAnsi="Arial" w:cs="Arial"/>
          </w:rPr>
          <w:t>https://esg.hilton.com/wp-content/uploads/sites/4/2023/04/Responsible-Sourcing-Goals.pdf</w:t>
        </w:r>
      </w:hyperlink>
      <w:r w:rsidRPr="00E758FC">
        <w:rPr>
          <w:rFonts w:ascii="Arial" w:hAnsi="Arial" w:cs="Arial"/>
        </w:rPr>
        <w:t xml:space="preserve"> (Accessed: 12 October 2025).</w:t>
      </w:r>
    </w:p>
    <w:p w14:paraId="41EE7A38" w14:textId="5C1C7022"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Social Impact: Travel with Purpose</w:t>
      </w:r>
      <w:r w:rsidRPr="00E758FC">
        <w:rPr>
          <w:rFonts w:ascii="Arial" w:hAnsi="Arial" w:cs="Arial"/>
        </w:rPr>
        <w:t xml:space="preserve">. Available at: </w:t>
      </w:r>
      <w:hyperlink r:id="rId13" w:history="1">
        <w:r w:rsidRPr="00E758FC">
          <w:rPr>
            <w:rStyle w:val="Hyperlink"/>
            <w:rFonts w:ascii="Arial" w:hAnsi="Arial" w:cs="Arial"/>
          </w:rPr>
          <w:t>https://esg.hilton.com/social/</w:t>
        </w:r>
      </w:hyperlink>
      <w:r w:rsidRPr="00E758FC">
        <w:rPr>
          <w:rFonts w:ascii="Arial" w:hAnsi="Arial" w:cs="Arial"/>
        </w:rPr>
        <w:t xml:space="preserve"> (Accessed: 30 October 2025).</w:t>
      </w:r>
    </w:p>
    <w:p w14:paraId="74D37BA6" w14:textId="1949B71E"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Supplier Diversity Report</w:t>
      </w:r>
      <w:r w:rsidRPr="00E758FC">
        <w:rPr>
          <w:rFonts w:ascii="Arial" w:hAnsi="Arial" w:cs="Arial"/>
        </w:rPr>
        <w:t xml:space="preserve">. Available at: </w:t>
      </w:r>
      <w:hyperlink r:id="rId14" w:history="1">
        <w:r w:rsidRPr="00E758FC">
          <w:rPr>
            <w:rStyle w:val="Hyperlink"/>
            <w:rFonts w:ascii="Arial" w:hAnsi="Arial" w:cs="Arial"/>
          </w:rPr>
          <w:t>https://esg.hilton.com/wp-content/uploads/sites/4/2024/05/Responsible-Sourcing.pdf</w:t>
        </w:r>
      </w:hyperlink>
      <w:r w:rsidRPr="00E758FC">
        <w:rPr>
          <w:rFonts w:ascii="Arial" w:hAnsi="Arial" w:cs="Arial"/>
        </w:rPr>
        <w:t xml:space="preserve"> (Accessed: 16 October 2025).</w:t>
      </w:r>
    </w:p>
    <w:p w14:paraId="703B902E" w14:textId="1D0A8C7E"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Travel with Purpose: 2023 ESG Report</w:t>
      </w:r>
      <w:r w:rsidRPr="00E758FC">
        <w:rPr>
          <w:rFonts w:ascii="Arial" w:hAnsi="Arial" w:cs="Arial"/>
        </w:rPr>
        <w:t xml:space="preserve">. Available at: </w:t>
      </w:r>
      <w:hyperlink r:id="rId15" w:tgtFrame="_new" w:history="1">
        <w:r w:rsidRPr="00E758FC">
          <w:rPr>
            <w:rStyle w:val="Hyperlink"/>
            <w:rFonts w:ascii="Arial" w:eastAsiaTheme="majorEastAsia" w:hAnsi="Arial" w:cs="Arial"/>
          </w:rPr>
          <w:t>https://esg.hilton.com/2023-twp-report/</w:t>
        </w:r>
      </w:hyperlink>
      <w:r w:rsidRPr="00E758FC">
        <w:rPr>
          <w:rFonts w:ascii="Arial" w:hAnsi="Arial" w:cs="Arial"/>
        </w:rPr>
        <w:t xml:space="preserve"> (Accessed: 28 October 2025).</w:t>
      </w:r>
    </w:p>
    <w:p w14:paraId="38171EBC" w14:textId="38BC8614"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Hilton</w:t>
      </w:r>
      <w:r w:rsidRPr="00E758FC">
        <w:rPr>
          <w:rFonts w:ascii="Arial" w:hAnsi="Arial" w:cs="Arial"/>
        </w:rPr>
        <w:t xml:space="preserve"> (2023) </w:t>
      </w:r>
      <w:r w:rsidRPr="00E758FC">
        <w:rPr>
          <w:rStyle w:val="Emphasis"/>
          <w:rFonts w:ascii="Arial" w:eastAsiaTheme="majorEastAsia" w:hAnsi="Arial" w:cs="Arial"/>
        </w:rPr>
        <w:t>Travel with Purpose: 2023 ESG Report Highlights</w:t>
      </w:r>
      <w:r w:rsidRPr="00E758FC">
        <w:rPr>
          <w:rFonts w:ascii="Arial" w:hAnsi="Arial" w:cs="Arial"/>
        </w:rPr>
        <w:t xml:space="preserve">. Available at: </w:t>
      </w:r>
      <w:hyperlink r:id="rId16" w:tgtFrame="_new" w:history="1">
        <w:r w:rsidRPr="00E758FC">
          <w:rPr>
            <w:rStyle w:val="Hyperlink"/>
            <w:rFonts w:ascii="Arial" w:eastAsiaTheme="majorEastAsia" w:hAnsi="Arial" w:cs="Arial"/>
          </w:rPr>
          <w:t>https://esg.hilton.com/wp-content/uploads/sites/4/2024/05/2023-Travel-with-Purpose-Highlights-Report.pdf</w:t>
        </w:r>
      </w:hyperlink>
      <w:r w:rsidRPr="00E758FC">
        <w:rPr>
          <w:rFonts w:ascii="Arial" w:hAnsi="Arial" w:cs="Arial"/>
        </w:rPr>
        <w:t xml:space="preserve"> (Accessed: 4 November 2025).</w:t>
      </w:r>
    </w:p>
    <w:p w14:paraId="6A02ED08" w14:textId="337091F8"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Jones, P., Hillier, D. and Comfort, D.</w:t>
      </w:r>
      <w:r w:rsidRPr="00E758FC">
        <w:rPr>
          <w:rFonts w:ascii="Arial" w:hAnsi="Arial" w:cs="Arial"/>
        </w:rPr>
        <w:t xml:space="preserve"> (2020) 'Sustainability in the Hospitality Industry', </w:t>
      </w:r>
      <w:r w:rsidRPr="00E758FC">
        <w:rPr>
          <w:rStyle w:val="Emphasis"/>
          <w:rFonts w:ascii="Arial" w:eastAsiaTheme="majorEastAsia" w:hAnsi="Arial" w:cs="Arial"/>
        </w:rPr>
        <w:t>International Journal of Contemporary Hospitality Management</w:t>
      </w:r>
      <w:r w:rsidRPr="00E758FC">
        <w:rPr>
          <w:rFonts w:ascii="Arial" w:hAnsi="Arial" w:cs="Arial"/>
        </w:rPr>
        <w:t>, 32(1), pp. 22–39.</w:t>
      </w:r>
    </w:p>
    <w:p w14:paraId="0D4C4AD7" w14:textId="009CB5BB"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Science Based Targets initiative</w:t>
      </w:r>
      <w:r w:rsidRPr="00E758FC">
        <w:rPr>
          <w:rFonts w:ascii="Arial" w:hAnsi="Arial" w:cs="Arial"/>
        </w:rPr>
        <w:t xml:space="preserve"> (2022) </w:t>
      </w:r>
      <w:r w:rsidRPr="00E758FC">
        <w:rPr>
          <w:rStyle w:val="Emphasis"/>
          <w:rFonts w:ascii="Arial" w:eastAsiaTheme="majorEastAsia" w:hAnsi="Arial" w:cs="Arial"/>
        </w:rPr>
        <w:t>Net-Zero Standard for the Hospitality Sector</w:t>
      </w:r>
      <w:r w:rsidRPr="00E758FC">
        <w:rPr>
          <w:rFonts w:ascii="Arial" w:hAnsi="Arial" w:cs="Arial"/>
        </w:rPr>
        <w:t>. Available at: https://sciencebasedtargets.org/sectors/hospitality (Accessed: 26 October 2025).</w:t>
      </w:r>
    </w:p>
    <w:p w14:paraId="42DFC20B" w14:textId="16F48A39" w:rsidR="00E758FC" w:rsidRP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Smith, J.</w:t>
      </w:r>
      <w:r w:rsidRPr="00E758FC">
        <w:rPr>
          <w:rFonts w:ascii="Arial" w:hAnsi="Arial" w:cs="Arial"/>
        </w:rPr>
        <w:t xml:space="preserve"> (2022) 'The Role of Diversity and Inclusion in Sustainable Hospitality', </w:t>
      </w:r>
      <w:r w:rsidRPr="00E758FC">
        <w:rPr>
          <w:rStyle w:val="Emphasis"/>
          <w:rFonts w:ascii="Arial" w:eastAsiaTheme="majorEastAsia" w:hAnsi="Arial" w:cs="Arial"/>
        </w:rPr>
        <w:t>Journal of Hospitality and Tourism Research</w:t>
      </w:r>
      <w:r w:rsidRPr="00E758FC">
        <w:rPr>
          <w:rFonts w:ascii="Arial" w:hAnsi="Arial" w:cs="Arial"/>
        </w:rPr>
        <w:t>, 46(3), pp. 45–59.</w:t>
      </w:r>
    </w:p>
    <w:p w14:paraId="1D23F2B8" w14:textId="3E676488" w:rsidR="00E758FC" w:rsidRDefault="00E758FC" w:rsidP="00E758FC">
      <w:pPr>
        <w:pStyle w:val="NormalWeb"/>
        <w:numPr>
          <w:ilvl w:val="0"/>
          <w:numId w:val="10"/>
        </w:numPr>
        <w:spacing w:line="360" w:lineRule="auto"/>
        <w:rPr>
          <w:rFonts w:ascii="Arial" w:hAnsi="Arial" w:cs="Arial"/>
        </w:rPr>
      </w:pPr>
      <w:r w:rsidRPr="00E758FC">
        <w:rPr>
          <w:rStyle w:val="Strong"/>
          <w:rFonts w:ascii="Arial" w:eastAsiaTheme="majorEastAsia" w:hAnsi="Arial" w:cs="Arial"/>
          <w:b w:val="0"/>
          <w:bCs w:val="0"/>
        </w:rPr>
        <w:t>UNEP</w:t>
      </w:r>
      <w:r w:rsidRPr="00E758FC">
        <w:rPr>
          <w:rFonts w:ascii="Arial" w:hAnsi="Arial" w:cs="Arial"/>
        </w:rPr>
        <w:t xml:space="preserve"> (2023) </w:t>
      </w:r>
      <w:r w:rsidRPr="00E758FC">
        <w:rPr>
          <w:rStyle w:val="Emphasis"/>
          <w:rFonts w:ascii="Arial" w:eastAsiaTheme="majorEastAsia" w:hAnsi="Arial" w:cs="Arial"/>
        </w:rPr>
        <w:t>Environmental Impacts of the Tourism Sector</w:t>
      </w:r>
      <w:r w:rsidRPr="00E758FC">
        <w:rPr>
          <w:rFonts w:ascii="Arial" w:hAnsi="Arial" w:cs="Arial"/>
        </w:rPr>
        <w:t>. Available at: https://www.unep.org/tourism-and-environment/ (Accessed: 9 October 2025).</w:t>
      </w:r>
    </w:p>
    <w:p w14:paraId="5E5B576D" w14:textId="073E2A47" w:rsidR="00C046A9" w:rsidRPr="00C046A9" w:rsidRDefault="00C046A9" w:rsidP="00C046A9">
      <w:pPr>
        <w:pStyle w:val="NormalWeb"/>
        <w:numPr>
          <w:ilvl w:val="0"/>
          <w:numId w:val="10"/>
        </w:numPr>
        <w:spacing w:line="360" w:lineRule="auto"/>
        <w:jc w:val="both"/>
        <w:rPr>
          <w:rFonts w:ascii="Arial" w:hAnsi="Arial" w:cs="Arial"/>
        </w:rPr>
      </w:pPr>
      <w:r w:rsidRPr="00C046A9">
        <w:rPr>
          <w:rStyle w:val="Strong"/>
          <w:rFonts w:ascii="Arial" w:eastAsiaTheme="majorEastAsia" w:hAnsi="Arial" w:cs="Arial"/>
        </w:rPr>
        <w:t>WWF</w:t>
      </w:r>
      <w:r w:rsidRPr="00C046A9">
        <w:rPr>
          <w:rFonts w:ascii="Arial" w:hAnsi="Arial" w:cs="Arial"/>
        </w:rPr>
        <w:t xml:space="preserve"> (2022) </w:t>
      </w:r>
      <w:r w:rsidRPr="00C046A9">
        <w:rPr>
          <w:rStyle w:val="Emphasis"/>
          <w:rFonts w:ascii="Arial" w:eastAsiaTheme="majorEastAsia" w:hAnsi="Arial" w:cs="Arial"/>
        </w:rPr>
        <w:t>Fighting Food Waste in Hospitality and Food Service</w:t>
      </w:r>
      <w:r w:rsidRPr="00C046A9">
        <w:rPr>
          <w:rFonts w:ascii="Arial" w:hAnsi="Arial" w:cs="Arial"/>
        </w:rPr>
        <w:t xml:space="preserve">. Available at: </w:t>
      </w:r>
      <w:hyperlink r:id="rId17" w:tgtFrame="_new" w:history="1">
        <w:r w:rsidRPr="00C046A9">
          <w:rPr>
            <w:rStyle w:val="Hyperlink"/>
            <w:rFonts w:ascii="Arial" w:eastAsiaTheme="majorEastAsia" w:hAnsi="Arial" w:cs="Arial"/>
          </w:rPr>
          <w:t>https://www.worldwildlife.org/pages/fighting-food-waste-in-hospitality-and-food-service</w:t>
        </w:r>
      </w:hyperlink>
      <w:r w:rsidRPr="00C046A9">
        <w:rPr>
          <w:rFonts w:ascii="Arial" w:hAnsi="Arial" w:cs="Arial"/>
        </w:rPr>
        <w:t xml:space="preserve"> (Accessed: 14 October 2025).</w:t>
      </w:r>
    </w:p>
    <w:p w14:paraId="7135CA22" w14:textId="247EA025" w:rsidR="00C046A9" w:rsidRPr="00C046A9" w:rsidRDefault="00C046A9" w:rsidP="00C046A9">
      <w:pPr>
        <w:pStyle w:val="NormalWeb"/>
        <w:numPr>
          <w:ilvl w:val="0"/>
          <w:numId w:val="10"/>
        </w:numPr>
        <w:spacing w:line="360" w:lineRule="auto"/>
        <w:jc w:val="both"/>
        <w:rPr>
          <w:rFonts w:ascii="Arial" w:hAnsi="Arial" w:cs="Arial"/>
        </w:rPr>
      </w:pPr>
      <w:r w:rsidRPr="00C046A9">
        <w:rPr>
          <w:rStyle w:val="Strong"/>
          <w:rFonts w:ascii="Arial" w:eastAsiaTheme="majorEastAsia" w:hAnsi="Arial" w:cs="Arial"/>
        </w:rPr>
        <w:t>WWF</w:t>
      </w:r>
      <w:r w:rsidRPr="00C046A9">
        <w:rPr>
          <w:rFonts w:ascii="Arial" w:hAnsi="Arial" w:cs="Arial"/>
        </w:rPr>
        <w:t xml:space="preserve"> (2023) </w:t>
      </w:r>
      <w:r w:rsidRPr="00C046A9">
        <w:rPr>
          <w:rStyle w:val="Emphasis"/>
          <w:rFonts w:ascii="Arial" w:eastAsiaTheme="majorEastAsia" w:hAnsi="Arial" w:cs="Arial"/>
        </w:rPr>
        <w:t>Hotel Kitchen: Fighting Food Waste in Hotels</w:t>
      </w:r>
      <w:r w:rsidRPr="00C046A9">
        <w:rPr>
          <w:rFonts w:ascii="Arial" w:hAnsi="Arial" w:cs="Arial"/>
        </w:rPr>
        <w:t xml:space="preserve">. Available at: </w:t>
      </w:r>
      <w:hyperlink r:id="rId18" w:tgtFrame="_new" w:history="1">
        <w:r w:rsidRPr="00C046A9">
          <w:rPr>
            <w:rStyle w:val="Hyperlink"/>
            <w:rFonts w:ascii="Arial" w:eastAsiaTheme="majorEastAsia" w:hAnsi="Arial" w:cs="Arial"/>
          </w:rPr>
          <w:t>https://www.worldwildlife.org/publications/hotel-kitchen-fighting-food-waste-in-hotels</w:t>
        </w:r>
      </w:hyperlink>
      <w:r w:rsidRPr="00C046A9">
        <w:rPr>
          <w:rFonts w:ascii="Arial" w:hAnsi="Arial" w:cs="Arial"/>
        </w:rPr>
        <w:t xml:space="preserve"> (Accessed: 1 November 2025).</w:t>
      </w:r>
    </w:p>
    <w:p w14:paraId="37987CE1" w14:textId="28D27A1E" w:rsidR="00C046A9" w:rsidRPr="00C046A9" w:rsidRDefault="00C046A9" w:rsidP="00C046A9">
      <w:pPr>
        <w:pStyle w:val="NormalWeb"/>
        <w:numPr>
          <w:ilvl w:val="0"/>
          <w:numId w:val="10"/>
        </w:numPr>
        <w:spacing w:line="360" w:lineRule="auto"/>
        <w:jc w:val="both"/>
        <w:rPr>
          <w:rFonts w:ascii="Arial" w:hAnsi="Arial" w:cs="Arial"/>
        </w:rPr>
      </w:pPr>
      <w:r w:rsidRPr="00C046A9">
        <w:rPr>
          <w:rStyle w:val="Strong"/>
          <w:rFonts w:ascii="Arial" w:eastAsiaTheme="majorEastAsia" w:hAnsi="Arial" w:cs="Arial"/>
        </w:rPr>
        <w:t>WWF and Hilton</w:t>
      </w:r>
      <w:r w:rsidRPr="00C046A9">
        <w:rPr>
          <w:rFonts w:ascii="Arial" w:hAnsi="Arial" w:cs="Arial"/>
        </w:rPr>
        <w:t xml:space="preserve"> (2023) </w:t>
      </w:r>
      <w:r w:rsidRPr="00C046A9">
        <w:rPr>
          <w:rStyle w:val="Emphasis"/>
          <w:rFonts w:ascii="Arial" w:eastAsiaTheme="majorEastAsia" w:hAnsi="Arial" w:cs="Arial"/>
        </w:rPr>
        <w:t>Hilton Report Highlights Positive Global Impact</w:t>
      </w:r>
      <w:r w:rsidRPr="00C046A9">
        <w:rPr>
          <w:rFonts w:ascii="Arial" w:hAnsi="Arial" w:cs="Arial"/>
        </w:rPr>
        <w:t xml:space="preserve">. Available at: </w:t>
      </w:r>
      <w:hyperlink r:id="rId19" w:tgtFrame="_new" w:history="1">
        <w:r w:rsidRPr="00C046A9">
          <w:rPr>
            <w:rStyle w:val="Hyperlink"/>
            <w:rFonts w:ascii="Arial" w:eastAsiaTheme="majorEastAsia" w:hAnsi="Arial" w:cs="Arial"/>
          </w:rPr>
          <w:t>https://stories.hilton.com/releases/hilton-report-highlights-positive-global-impact</w:t>
        </w:r>
      </w:hyperlink>
      <w:r w:rsidRPr="00C046A9">
        <w:rPr>
          <w:rFonts w:ascii="Arial" w:hAnsi="Arial" w:cs="Arial"/>
        </w:rPr>
        <w:t xml:space="preserve"> (Accessed: 24 October 2025).</w:t>
      </w:r>
    </w:p>
    <w:p w14:paraId="6FFB8765" w14:textId="2DA3A019" w:rsidR="00C046A9" w:rsidRPr="00C046A9" w:rsidRDefault="00C046A9" w:rsidP="00C046A9">
      <w:pPr>
        <w:pStyle w:val="NormalWeb"/>
        <w:numPr>
          <w:ilvl w:val="0"/>
          <w:numId w:val="10"/>
        </w:numPr>
        <w:spacing w:line="360" w:lineRule="auto"/>
        <w:jc w:val="both"/>
        <w:rPr>
          <w:rFonts w:ascii="Arial" w:hAnsi="Arial" w:cs="Arial"/>
        </w:rPr>
      </w:pPr>
      <w:r w:rsidRPr="00C046A9">
        <w:rPr>
          <w:rStyle w:val="Strong"/>
          <w:rFonts w:ascii="Arial" w:eastAsiaTheme="majorEastAsia" w:hAnsi="Arial" w:cs="Arial"/>
        </w:rPr>
        <w:lastRenderedPageBreak/>
        <w:t>WWF, UNEP, and Hilton</w:t>
      </w:r>
      <w:r w:rsidRPr="00C046A9">
        <w:rPr>
          <w:rFonts w:ascii="Arial" w:hAnsi="Arial" w:cs="Arial"/>
        </w:rPr>
        <w:t xml:space="preserve"> (2022) </w:t>
      </w:r>
      <w:r w:rsidRPr="00C046A9">
        <w:rPr>
          <w:rStyle w:val="Emphasis"/>
          <w:rFonts w:ascii="Arial" w:eastAsiaTheme="majorEastAsia" w:hAnsi="Arial" w:cs="Arial"/>
        </w:rPr>
        <w:t>Hotel Waste Measurement Methodology</w:t>
      </w:r>
      <w:r w:rsidRPr="00C046A9">
        <w:rPr>
          <w:rFonts w:ascii="Arial" w:hAnsi="Arial" w:cs="Arial"/>
        </w:rPr>
        <w:t xml:space="preserve">. Available at: </w:t>
      </w:r>
      <w:hyperlink r:id="rId20" w:tgtFrame="_new" w:history="1">
        <w:r w:rsidRPr="00C046A9">
          <w:rPr>
            <w:rStyle w:val="Hyperlink"/>
            <w:rFonts w:ascii="Arial" w:eastAsiaTheme="majorEastAsia" w:hAnsi="Arial" w:cs="Arial"/>
          </w:rPr>
          <w:t>https://sustainablehospitalityalliance.org/resource/hwmm/</w:t>
        </w:r>
      </w:hyperlink>
      <w:r w:rsidRPr="00C046A9">
        <w:rPr>
          <w:rFonts w:ascii="Arial" w:hAnsi="Arial" w:cs="Arial"/>
        </w:rPr>
        <w:t xml:space="preserve"> (Accessed: 25 October 2025).</w:t>
      </w:r>
    </w:p>
    <w:p w14:paraId="3A50565C" w14:textId="77777777" w:rsidR="00C046A9" w:rsidRPr="00E758FC" w:rsidRDefault="00C046A9" w:rsidP="00C046A9">
      <w:pPr>
        <w:pStyle w:val="NormalWeb"/>
        <w:spacing w:line="360" w:lineRule="auto"/>
        <w:ind w:left="720"/>
        <w:rPr>
          <w:rFonts w:ascii="Arial" w:hAnsi="Arial" w:cs="Arial"/>
        </w:rPr>
      </w:pPr>
    </w:p>
    <w:p w14:paraId="0A993EDB" w14:textId="77777777" w:rsidR="00E758FC" w:rsidRPr="00E758FC" w:rsidRDefault="00E758FC" w:rsidP="00E758FC">
      <w:pPr>
        <w:spacing w:line="360" w:lineRule="auto"/>
        <w:rPr>
          <w:rFonts w:ascii="Arial" w:hAnsi="Arial" w:cs="Arial"/>
        </w:rPr>
      </w:pPr>
    </w:p>
    <w:p w14:paraId="43ADD49A" w14:textId="77777777" w:rsidR="00797989" w:rsidRPr="00797989" w:rsidRDefault="00797989" w:rsidP="00797989">
      <w:pPr>
        <w:spacing w:line="360" w:lineRule="auto"/>
        <w:jc w:val="both"/>
        <w:rPr>
          <w:rFonts w:ascii="Arial" w:hAnsi="Arial" w:cs="Arial"/>
        </w:rPr>
      </w:pPr>
    </w:p>
    <w:sectPr w:rsidR="00797989" w:rsidRPr="00797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17257"/>
    <w:multiLevelType w:val="multilevel"/>
    <w:tmpl w:val="85A8DE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31F6F"/>
    <w:multiLevelType w:val="hybridMultilevel"/>
    <w:tmpl w:val="53C4061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C52B5"/>
    <w:multiLevelType w:val="multilevel"/>
    <w:tmpl w:val="7F4AB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C6AA1"/>
    <w:multiLevelType w:val="multilevel"/>
    <w:tmpl w:val="D41CC7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087D27"/>
    <w:multiLevelType w:val="multilevel"/>
    <w:tmpl w:val="3566E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D64A1B"/>
    <w:multiLevelType w:val="hybridMultilevel"/>
    <w:tmpl w:val="5288A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0624AB"/>
    <w:multiLevelType w:val="multilevel"/>
    <w:tmpl w:val="B622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D17146"/>
    <w:multiLevelType w:val="multilevel"/>
    <w:tmpl w:val="D20A5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EA4188"/>
    <w:multiLevelType w:val="multilevel"/>
    <w:tmpl w:val="5B509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BA3BFE"/>
    <w:multiLevelType w:val="multilevel"/>
    <w:tmpl w:val="78001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D02E21"/>
    <w:multiLevelType w:val="hybridMultilevel"/>
    <w:tmpl w:val="FEA6B026"/>
    <w:lvl w:ilvl="0" w:tplc="83E8EE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1D5D25"/>
    <w:multiLevelType w:val="multilevel"/>
    <w:tmpl w:val="575CE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200476">
    <w:abstractNumId w:val="4"/>
  </w:num>
  <w:num w:numId="2" w16cid:durableId="280575487">
    <w:abstractNumId w:val="6"/>
  </w:num>
  <w:num w:numId="3" w16cid:durableId="683752347">
    <w:abstractNumId w:val="3"/>
  </w:num>
  <w:num w:numId="4" w16cid:durableId="357389487">
    <w:abstractNumId w:val="8"/>
  </w:num>
  <w:num w:numId="5" w16cid:durableId="1532255825">
    <w:abstractNumId w:val="0"/>
  </w:num>
  <w:num w:numId="6" w16cid:durableId="646516385">
    <w:abstractNumId w:val="2"/>
  </w:num>
  <w:num w:numId="7" w16cid:durableId="380833742">
    <w:abstractNumId w:val="9"/>
  </w:num>
  <w:num w:numId="8" w16cid:durableId="1749421202">
    <w:abstractNumId w:val="11"/>
  </w:num>
  <w:num w:numId="9" w16cid:durableId="1668753564">
    <w:abstractNumId w:val="7"/>
  </w:num>
  <w:num w:numId="10" w16cid:durableId="1153449045">
    <w:abstractNumId w:val="5"/>
  </w:num>
  <w:num w:numId="11" w16cid:durableId="1460758515">
    <w:abstractNumId w:val="1"/>
  </w:num>
  <w:num w:numId="12" w16cid:durableId="158237065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687"/>
    <w:rsid w:val="002B7F4C"/>
    <w:rsid w:val="003F2541"/>
    <w:rsid w:val="00797989"/>
    <w:rsid w:val="00872687"/>
    <w:rsid w:val="009643C0"/>
    <w:rsid w:val="00C046A9"/>
    <w:rsid w:val="00D07E8D"/>
    <w:rsid w:val="00E75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A05D5"/>
  <w15:chartTrackingRefBased/>
  <w15:docId w15:val="{35C0C998-BF4A-4067-B735-C84FAFF7B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2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2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687"/>
    <w:rPr>
      <w:rFonts w:eastAsiaTheme="majorEastAsia" w:cstheme="majorBidi"/>
      <w:color w:val="272727" w:themeColor="text1" w:themeTint="D8"/>
    </w:rPr>
  </w:style>
  <w:style w:type="paragraph" w:styleId="Title">
    <w:name w:val="Title"/>
    <w:basedOn w:val="Normal"/>
    <w:next w:val="Normal"/>
    <w:link w:val="TitleChar"/>
    <w:uiPriority w:val="10"/>
    <w:qFormat/>
    <w:rsid w:val="00872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687"/>
    <w:pPr>
      <w:spacing w:before="160"/>
      <w:jc w:val="center"/>
    </w:pPr>
    <w:rPr>
      <w:i/>
      <w:iCs/>
      <w:color w:val="404040" w:themeColor="text1" w:themeTint="BF"/>
    </w:rPr>
  </w:style>
  <w:style w:type="character" w:customStyle="1" w:styleId="QuoteChar">
    <w:name w:val="Quote Char"/>
    <w:basedOn w:val="DefaultParagraphFont"/>
    <w:link w:val="Quote"/>
    <w:uiPriority w:val="29"/>
    <w:rsid w:val="00872687"/>
    <w:rPr>
      <w:i/>
      <w:iCs/>
      <w:color w:val="404040" w:themeColor="text1" w:themeTint="BF"/>
    </w:rPr>
  </w:style>
  <w:style w:type="paragraph" w:styleId="ListParagraph">
    <w:name w:val="List Paragraph"/>
    <w:basedOn w:val="Normal"/>
    <w:uiPriority w:val="34"/>
    <w:qFormat/>
    <w:rsid w:val="00872687"/>
    <w:pPr>
      <w:ind w:left="720"/>
      <w:contextualSpacing/>
    </w:pPr>
  </w:style>
  <w:style w:type="character" w:styleId="IntenseEmphasis">
    <w:name w:val="Intense Emphasis"/>
    <w:basedOn w:val="DefaultParagraphFont"/>
    <w:uiPriority w:val="21"/>
    <w:qFormat/>
    <w:rsid w:val="00872687"/>
    <w:rPr>
      <w:i/>
      <w:iCs/>
      <w:color w:val="0F4761" w:themeColor="accent1" w:themeShade="BF"/>
    </w:rPr>
  </w:style>
  <w:style w:type="paragraph" w:styleId="IntenseQuote">
    <w:name w:val="Intense Quote"/>
    <w:basedOn w:val="Normal"/>
    <w:next w:val="Normal"/>
    <w:link w:val="IntenseQuoteChar"/>
    <w:uiPriority w:val="30"/>
    <w:qFormat/>
    <w:rsid w:val="00872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687"/>
    <w:rPr>
      <w:i/>
      <w:iCs/>
      <w:color w:val="0F4761" w:themeColor="accent1" w:themeShade="BF"/>
    </w:rPr>
  </w:style>
  <w:style w:type="character" w:styleId="IntenseReference">
    <w:name w:val="Intense Reference"/>
    <w:basedOn w:val="DefaultParagraphFont"/>
    <w:uiPriority w:val="32"/>
    <w:qFormat/>
    <w:rsid w:val="00872687"/>
    <w:rPr>
      <w:b/>
      <w:bCs/>
      <w:smallCaps/>
      <w:color w:val="0F4761" w:themeColor="accent1" w:themeShade="BF"/>
      <w:spacing w:val="5"/>
    </w:rPr>
  </w:style>
  <w:style w:type="paragraph" w:styleId="TOCHeading">
    <w:name w:val="TOC Heading"/>
    <w:basedOn w:val="Heading1"/>
    <w:next w:val="Normal"/>
    <w:uiPriority w:val="39"/>
    <w:unhideWhenUsed/>
    <w:qFormat/>
    <w:rsid w:val="0079798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7989"/>
    <w:pPr>
      <w:spacing w:after="100"/>
    </w:pPr>
  </w:style>
  <w:style w:type="paragraph" w:styleId="TOC2">
    <w:name w:val="toc 2"/>
    <w:basedOn w:val="Normal"/>
    <w:next w:val="Normal"/>
    <w:autoRedefine/>
    <w:uiPriority w:val="39"/>
    <w:unhideWhenUsed/>
    <w:rsid w:val="00797989"/>
    <w:pPr>
      <w:spacing w:after="100"/>
      <w:ind w:left="240"/>
    </w:pPr>
  </w:style>
  <w:style w:type="character" w:styleId="Hyperlink">
    <w:name w:val="Hyperlink"/>
    <w:basedOn w:val="DefaultParagraphFont"/>
    <w:uiPriority w:val="99"/>
    <w:unhideWhenUsed/>
    <w:rsid w:val="00797989"/>
    <w:rPr>
      <w:color w:val="467886" w:themeColor="hyperlink"/>
      <w:u w:val="single"/>
    </w:rPr>
  </w:style>
  <w:style w:type="character" w:styleId="UnresolvedMention">
    <w:name w:val="Unresolved Mention"/>
    <w:basedOn w:val="DefaultParagraphFont"/>
    <w:uiPriority w:val="99"/>
    <w:semiHidden/>
    <w:unhideWhenUsed/>
    <w:rsid w:val="00E758FC"/>
    <w:rPr>
      <w:color w:val="605E5C"/>
      <w:shd w:val="clear" w:color="auto" w:fill="E1DFDD"/>
    </w:rPr>
  </w:style>
  <w:style w:type="paragraph" w:styleId="NormalWeb">
    <w:name w:val="Normal (Web)"/>
    <w:basedOn w:val="Normal"/>
    <w:uiPriority w:val="99"/>
    <w:semiHidden/>
    <w:unhideWhenUsed/>
    <w:rsid w:val="00E758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758FC"/>
    <w:rPr>
      <w:b/>
      <w:bCs/>
    </w:rPr>
  </w:style>
  <w:style w:type="character" w:styleId="Emphasis">
    <w:name w:val="Emphasis"/>
    <w:basedOn w:val="DefaultParagraphFont"/>
    <w:uiPriority w:val="20"/>
    <w:qFormat/>
    <w:rsid w:val="00E758FC"/>
    <w:rPr>
      <w:i/>
      <w:iCs/>
    </w:rPr>
  </w:style>
  <w:style w:type="character" w:styleId="FollowedHyperlink">
    <w:name w:val="FollowedHyperlink"/>
    <w:basedOn w:val="DefaultParagraphFont"/>
    <w:uiPriority w:val="99"/>
    <w:semiHidden/>
    <w:unhideWhenUsed/>
    <w:rsid w:val="00E758F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062307">
      <w:bodyDiv w:val="1"/>
      <w:marLeft w:val="0"/>
      <w:marRight w:val="0"/>
      <w:marTop w:val="0"/>
      <w:marBottom w:val="0"/>
      <w:divBdr>
        <w:top w:val="none" w:sz="0" w:space="0" w:color="auto"/>
        <w:left w:val="none" w:sz="0" w:space="0" w:color="auto"/>
        <w:bottom w:val="none" w:sz="0" w:space="0" w:color="auto"/>
        <w:right w:val="none" w:sz="0" w:space="0" w:color="auto"/>
      </w:divBdr>
    </w:div>
    <w:div w:id="215941532">
      <w:bodyDiv w:val="1"/>
      <w:marLeft w:val="0"/>
      <w:marRight w:val="0"/>
      <w:marTop w:val="0"/>
      <w:marBottom w:val="0"/>
      <w:divBdr>
        <w:top w:val="none" w:sz="0" w:space="0" w:color="auto"/>
        <w:left w:val="none" w:sz="0" w:space="0" w:color="auto"/>
        <w:bottom w:val="none" w:sz="0" w:space="0" w:color="auto"/>
        <w:right w:val="none" w:sz="0" w:space="0" w:color="auto"/>
      </w:divBdr>
    </w:div>
    <w:div w:id="326910453">
      <w:bodyDiv w:val="1"/>
      <w:marLeft w:val="0"/>
      <w:marRight w:val="0"/>
      <w:marTop w:val="0"/>
      <w:marBottom w:val="0"/>
      <w:divBdr>
        <w:top w:val="none" w:sz="0" w:space="0" w:color="auto"/>
        <w:left w:val="none" w:sz="0" w:space="0" w:color="auto"/>
        <w:bottom w:val="none" w:sz="0" w:space="0" w:color="auto"/>
        <w:right w:val="none" w:sz="0" w:space="0" w:color="auto"/>
      </w:divBdr>
    </w:div>
    <w:div w:id="414861712">
      <w:bodyDiv w:val="1"/>
      <w:marLeft w:val="0"/>
      <w:marRight w:val="0"/>
      <w:marTop w:val="0"/>
      <w:marBottom w:val="0"/>
      <w:divBdr>
        <w:top w:val="none" w:sz="0" w:space="0" w:color="auto"/>
        <w:left w:val="none" w:sz="0" w:space="0" w:color="auto"/>
        <w:bottom w:val="none" w:sz="0" w:space="0" w:color="auto"/>
        <w:right w:val="none" w:sz="0" w:space="0" w:color="auto"/>
      </w:divBdr>
    </w:div>
    <w:div w:id="461118412">
      <w:bodyDiv w:val="1"/>
      <w:marLeft w:val="0"/>
      <w:marRight w:val="0"/>
      <w:marTop w:val="0"/>
      <w:marBottom w:val="0"/>
      <w:divBdr>
        <w:top w:val="none" w:sz="0" w:space="0" w:color="auto"/>
        <w:left w:val="none" w:sz="0" w:space="0" w:color="auto"/>
        <w:bottom w:val="none" w:sz="0" w:space="0" w:color="auto"/>
        <w:right w:val="none" w:sz="0" w:space="0" w:color="auto"/>
      </w:divBdr>
    </w:div>
    <w:div w:id="559905794">
      <w:bodyDiv w:val="1"/>
      <w:marLeft w:val="0"/>
      <w:marRight w:val="0"/>
      <w:marTop w:val="0"/>
      <w:marBottom w:val="0"/>
      <w:divBdr>
        <w:top w:val="none" w:sz="0" w:space="0" w:color="auto"/>
        <w:left w:val="none" w:sz="0" w:space="0" w:color="auto"/>
        <w:bottom w:val="none" w:sz="0" w:space="0" w:color="auto"/>
        <w:right w:val="none" w:sz="0" w:space="0" w:color="auto"/>
      </w:divBdr>
    </w:div>
    <w:div w:id="730999866">
      <w:bodyDiv w:val="1"/>
      <w:marLeft w:val="0"/>
      <w:marRight w:val="0"/>
      <w:marTop w:val="0"/>
      <w:marBottom w:val="0"/>
      <w:divBdr>
        <w:top w:val="none" w:sz="0" w:space="0" w:color="auto"/>
        <w:left w:val="none" w:sz="0" w:space="0" w:color="auto"/>
        <w:bottom w:val="none" w:sz="0" w:space="0" w:color="auto"/>
        <w:right w:val="none" w:sz="0" w:space="0" w:color="auto"/>
      </w:divBdr>
    </w:div>
    <w:div w:id="1126267936">
      <w:bodyDiv w:val="1"/>
      <w:marLeft w:val="0"/>
      <w:marRight w:val="0"/>
      <w:marTop w:val="0"/>
      <w:marBottom w:val="0"/>
      <w:divBdr>
        <w:top w:val="none" w:sz="0" w:space="0" w:color="auto"/>
        <w:left w:val="none" w:sz="0" w:space="0" w:color="auto"/>
        <w:bottom w:val="none" w:sz="0" w:space="0" w:color="auto"/>
        <w:right w:val="none" w:sz="0" w:space="0" w:color="auto"/>
      </w:divBdr>
    </w:div>
    <w:div w:id="1139418381">
      <w:bodyDiv w:val="1"/>
      <w:marLeft w:val="0"/>
      <w:marRight w:val="0"/>
      <w:marTop w:val="0"/>
      <w:marBottom w:val="0"/>
      <w:divBdr>
        <w:top w:val="none" w:sz="0" w:space="0" w:color="auto"/>
        <w:left w:val="none" w:sz="0" w:space="0" w:color="auto"/>
        <w:bottom w:val="none" w:sz="0" w:space="0" w:color="auto"/>
        <w:right w:val="none" w:sz="0" w:space="0" w:color="auto"/>
      </w:divBdr>
    </w:div>
    <w:div w:id="1378119308">
      <w:bodyDiv w:val="1"/>
      <w:marLeft w:val="0"/>
      <w:marRight w:val="0"/>
      <w:marTop w:val="0"/>
      <w:marBottom w:val="0"/>
      <w:divBdr>
        <w:top w:val="none" w:sz="0" w:space="0" w:color="auto"/>
        <w:left w:val="none" w:sz="0" w:space="0" w:color="auto"/>
        <w:bottom w:val="none" w:sz="0" w:space="0" w:color="auto"/>
        <w:right w:val="none" w:sz="0" w:space="0" w:color="auto"/>
      </w:divBdr>
    </w:div>
    <w:div w:id="1441610118">
      <w:bodyDiv w:val="1"/>
      <w:marLeft w:val="0"/>
      <w:marRight w:val="0"/>
      <w:marTop w:val="0"/>
      <w:marBottom w:val="0"/>
      <w:divBdr>
        <w:top w:val="none" w:sz="0" w:space="0" w:color="auto"/>
        <w:left w:val="none" w:sz="0" w:space="0" w:color="auto"/>
        <w:bottom w:val="none" w:sz="0" w:space="0" w:color="auto"/>
        <w:right w:val="none" w:sz="0" w:space="0" w:color="auto"/>
      </w:divBdr>
    </w:div>
    <w:div w:id="1584988868">
      <w:bodyDiv w:val="1"/>
      <w:marLeft w:val="0"/>
      <w:marRight w:val="0"/>
      <w:marTop w:val="0"/>
      <w:marBottom w:val="0"/>
      <w:divBdr>
        <w:top w:val="none" w:sz="0" w:space="0" w:color="auto"/>
        <w:left w:val="none" w:sz="0" w:space="0" w:color="auto"/>
        <w:bottom w:val="none" w:sz="0" w:space="0" w:color="auto"/>
        <w:right w:val="none" w:sz="0" w:space="0" w:color="auto"/>
      </w:divBdr>
    </w:div>
    <w:div w:id="1605920100">
      <w:bodyDiv w:val="1"/>
      <w:marLeft w:val="0"/>
      <w:marRight w:val="0"/>
      <w:marTop w:val="0"/>
      <w:marBottom w:val="0"/>
      <w:divBdr>
        <w:top w:val="none" w:sz="0" w:space="0" w:color="auto"/>
        <w:left w:val="none" w:sz="0" w:space="0" w:color="auto"/>
        <w:bottom w:val="none" w:sz="0" w:space="0" w:color="auto"/>
        <w:right w:val="none" w:sz="0" w:space="0" w:color="auto"/>
      </w:divBdr>
    </w:div>
    <w:div w:id="1606496801">
      <w:bodyDiv w:val="1"/>
      <w:marLeft w:val="0"/>
      <w:marRight w:val="0"/>
      <w:marTop w:val="0"/>
      <w:marBottom w:val="0"/>
      <w:divBdr>
        <w:top w:val="none" w:sz="0" w:space="0" w:color="auto"/>
        <w:left w:val="none" w:sz="0" w:space="0" w:color="auto"/>
        <w:bottom w:val="none" w:sz="0" w:space="0" w:color="auto"/>
        <w:right w:val="none" w:sz="0" w:space="0" w:color="auto"/>
      </w:divBdr>
    </w:div>
    <w:div w:id="2012904560">
      <w:bodyDiv w:val="1"/>
      <w:marLeft w:val="0"/>
      <w:marRight w:val="0"/>
      <w:marTop w:val="0"/>
      <w:marBottom w:val="0"/>
      <w:divBdr>
        <w:top w:val="none" w:sz="0" w:space="0" w:color="auto"/>
        <w:left w:val="none" w:sz="0" w:space="0" w:color="auto"/>
        <w:bottom w:val="none" w:sz="0" w:space="0" w:color="auto"/>
        <w:right w:val="none" w:sz="0" w:space="0" w:color="auto"/>
      </w:divBdr>
    </w:div>
    <w:div w:id="2089813217">
      <w:bodyDiv w:val="1"/>
      <w:marLeft w:val="0"/>
      <w:marRight w:val="0"/>
      <w:marTop w:val="0"/>
      <w:marBottom w:val="0"/>
      <w:divBdr>
        <w:top w:val="none" w:sz="0" w:space="0" w:color="auto"/>
        <w:left w:val="none" w:sz="0" w:space="0" w:color="auto"/>
        <w:bottom w:val="none" w:sz="0" w:space="0" w:color="auto"/>
        <w:right w:val="none" w:sz="0" w:space="0" w:color="auto"/>
      </w:divBdr>
    </w:div>
    <w:div w:id="2114126819">
      <w:bodyDiv w:val="1"/>
      <w:marLeft w:val="0"/>
      <w:marRight w:val="0"/>
      <w:marTop w:val="0"/>
      <w:marBottom w:val="0"/>
      <w:divBdr>
        <w:top w:val="none" w:sz="0" w:space="0" w:color="auto"/>
        <w:left w:val="none" w:sz="0" w:space="0" w:color="auto"/>
        <w:bottom w:val="none" w:sz="0" w:space="0" w:color="auto"/>
        <w:right w:val="none" w:sz="0" w:space="0" w:color="auto"/>
      </w:divBdr>
    </w:div>
    <w:div w:id="2119592756">
      <w:bodyDiv w:val="1"/>
      <w:marLeft w:val="0"/>
      <w:marRight w:val="0"/>
      <w:marTop w:val="0"/>
      <w:marBottom w:val="0"/>
      <w:divBdr>
        <w:top w:val="none" w:sz="0" w:space="0" w:color="auto"/>
        <w:left w:val="none" w:sz="0" w:space="0" w:color="auto"/>
        <w:bottom w:val="none" w:sz="0" w:space="0" w:color="auto"/>
        <w:right w:val="none" w:sz="0" w:space="0" w:color="auto"/>
      </w:divBdr>
    </w:div>
    <w:div w:id="212384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g.hilton.com/wp-content/uploads/sites/4/2023/04/2023-Performance-Tables.pdf" TargetMode="External"/><Relationship Id="rId13" Type="http://schemas.openxmlformats.org/officeDocument/2006/relationships/hyperlink" Target="https://esg.hilton.com/social/" TargetMode="External"/><Relationship Id="rId18" Type="http://schemas.openxmlformats.org/officeDocument/2006/relationships/hyperlink" Target="https://www.worldwildlife.org/publications/hotel-kitchen-fighting-food-waste-in-hotel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sg.hilton.com/wp-content/uploads/sites/4/2023/04/Hilton-2022-Environmental-Social-and-Governance-Report.pdf" TargetMode="External"/><Relationship Id="rId12" Type="http://schemas.openxmlformats.org/officeDocument/2006/relationships/hyperlink" Target="https://esg.hilton.com/wp-content/uploads/sites/4/2023/04/Responsible-Sourcing-Goals.pdf" TargetMode="External"/><Relationship Id="rId17" Type="http://schemas.openxmlformats.org/officeDocument/2006/relationships/hyperlink" Target="https://www.worldwildlife.org/pages/fighting-food-waste-in-hospitality-and-food-service" TargetMode="External"/><Relationship Id="rId2" Type="http://schemas.openxmlformats.org/officeDocument/2006/relationships/styles" Target="styles.xml"/><Relationship Id="rId16" Type="http://schemas.openxmlformats.org/officeDocument/2006/relationships/hyperlink" Target="https://esg.hilton.com/wp-content/uploads/sites/4/2024/05/2023-Travel-with-Purpose-Highlights-Report.pdf" TargetMode="External"/><Relationship Id="rId20" Type="http://schemas.openxmlformats.org/officeDocument/2006/relationships/hyperlink" Target="https://sustainablehospitalityalliance.org/resource/hwmm/" TargetMode="External"/><Relationship Id="rId1" Type="http://schemas.openxmlformats.org/officeDocument/2006/relationships/numbering" Target="numbering.xml"/><Relationship Id="rId6" Type="http://schemas.openxmlformats.org/officeDocument/2006/relationships/hyperlink" Target="https://esg.hilton.com/wp-content/uploads/sites/3/2022/04/2021-ESG-Highlights-Report-Final.pdf" TargetMode="External"/><Relationship Id="rId11" Type="http://schemas.openxmlformats.org/officeDocument/2006/relationships/hyperlink" Target="https://esg.hilton.com/our-reporting/" TargetMode="External"/><Relationship Id="rId5" Type="http://schemas.openxmlformats.org/officeDocument/2006/relationships/hyperlink" Target="https://cr.hilton.com/wp-content/uploads/2021/04/Hilton-2020-ESG-Report.pdf" TargetMode="External"/><Relationship Id="rId15" Type="http://schemas.openxmlformats.org/officeDocument/2006/relationships/hyperlink" Target="https://esg.hilton.com/2023-twp-report/" TargetMode="External"/><Relationship Id="rId10" Type="http://schemas.openxmlformats.org/officeDocument/2006/relationships/hyperlink" Target="https://esg.hilton.com/our-progress/" TargetMode="External"/><Relationship Id="rId19" Type="http://schemas.openxmlformats.org/officeDocument/2006/relationships/hyperlink" Target="https://stories.hilton.com/releases/hilton-report-highlights-positive-global-impact" TargetMode="External"/><Relationship Id="rId4" Type="http://schemas.openxmlformats.org/officeDocument/2006/relationships/webSettings" Target="webSettings.xml"/><Relationship Id="rId9" Type="http://schemas.openxmlformats.org/officeDocument/2006/relationships/hyperlink" Target="https://esg.hilton.com/wp-content/uploads/sites/4/2024/05/2023-Goal-Tracking.pdf" TargetMode="External"/><Relationship Id="rId14" Type="http://schemas.openxmlformats.org/officeDocument/2006/relationships/hyperlink" Target="https://esg.hilton.com/wp-content/uploads/sites/4/2024/05/Responsible-Sourcing.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12</Pages>
  <Words>3280</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3</cp:revision>
  <dcterms:created xsi:type="dcterms:W3CDTF">2024-11-08T17:19:00Z</dcterms:created>
  <dcterms:modified xsi:type="dcterms:W3CDTF">2024-11-08T18:10:00Z</dcterms:modified>
</cp:coreProperties>
</file>