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505F15" w:rsidP="00C82870">
      <w:pPr>
        <w:rPr>
          <w:b/>
          <w:sz w:val="32"/>
          <w:u w:val="single"/>
        </w:rPr>
      </w:pPr>
      <w:r>
        <w:rPr>
          <w:b/>
          <w:sz w:val="32"/>
          <w:u w:val="single"/>
        </w:rPr>
        <w:t>Creating a presentation</w:t>
      </w:r>
    </w:p>
    <w:p w:rsidR="00505F15" w:rsidRDefault="00505F15" w:rsidP="00505F15">
      <w:r w:rsidRPr="00505F15">
        <w:t>In</w:t>
      </w:r>
      <w:r>
        <w:t xml:space="preserve"> this tutorial you will extract the important parts of a piece of text and turn it into a set of slides. The subject is the Data Protection Act 1998, and the source text is the Wi</w:t>
      </w:r>
      <w:r w:rsidR="00DC2E99">
        <w:t>ki</w:t>
      </w:r>
      <w:r>
        <w:t>pedia article on the Act.</w:t>
      </w:r>
    </w:p>
    <w:p w:rsidR="00505F15" w:rsidRDefault="00505F15" w:rsidP="00505F15"/>
    <w:p w:rsidR="00505F15" w:rsidRPr="00505F15" w:rsidRDefault="00505F15" w:rsidP="00505F15">
      <w:pPr>
        <w:rPr>
          <w:b/>
        </w:rPr>
      </w:pPr>
      <w:r w:rsidRPr="00505F15">
        <w:rPr>
          <w:b/>
        </w:rPr>
        <w:t>Your task</w:t>
      </w:r>
    </w:p>
    <w:p w:rsidR="00505F15" w:rsidRDefault="00505F15" w:rsidP="00505F15">
      <w:r>
        <w:t>Read through the article and identify the main areas within the topic. Decide between you how you would organise</w:t>
      </w:r>
      <w:r w:rsidR="00DC2E99">
        <w:t xml:space="preserve"> this material on 12</w:t>
      </w:r>
      <w:r>
        <w:t xml:space="preserve"> slides, and how you would present it.</w:t>
      </w:r>
      <w:r w:rsidR="00DC2E99">
        <w:t xml:space="preserve"> Sketch your slides on the large sheet provided and feed back your ideas to the class at the end of the session.</w:t>
      </w:r>
    </w:p>
    <w:p w:rsidR="00505F15" w:rsidRDefault="00505F15" w:rsidP="00505F15"/>
    <w:p w:rsidR="00505F15" w:rsidRPr="00505F15" w:rsidRDefault="00505F15" w:rsidP="00505F15">
      <w:pPr>
        <w:rPr>
          <w:b/>
        </w:rPr>
      </w:pPr>
      <w:r w:rsidRPr="00505F15">
        <w:rPr>
          <w:b/>
        </w:rPr>
        <w:t>Hints</w:t>
      </w:r>
    </w:p>
    <w:p w:rsidR="00505F15" w:rsidRDefault="00505F15" w:rsidP="00505F15">
      <w:pPr>
        <w:pStyle w:val="ListParagraph"/>
        <w:numPr>
          <w:ilvl w:val="0"/>
          <w:numId w:val="2"/>
        </w:numPr>
      </w:pPr>
      <w:r>
        <w:t>Remember that two of your slides will be a title slide and a slide showing all of your references</w:t>
      </w:r>
    </w:p>
    <w:p w:rsidR="00DC2E99" w:rsidRDefault="00DC2E99" w:rsidP="00DC2E99">
      <w:pPr>
        <w:pStyle w:val="ListParagraph"/>
        <w:numPr>
          <w:ilvl w:val="0"/>
          <w:numId w:val="2"/>
        </w:numPr>
      </w:pPr>
      <w:r>
        <w:t>You will also need an introduction and a conclusion</w:t>
      </w:r>
    </w:p>
    <w:p w:rsidR="00505F15" w:rsidRDefault="00505F15" w:rsidP="00DC2E99">
      <w:pPr>
        <w:pStyle w:val="ListParagraph"/>
        <w:numPr>
          <w:ilvl w:val="0"/>
          <w:numId w:val="2"/>
        </w:numPr>
      </w:pPr>
      <w:r>
        <w:t>Slides work best if you have bullet points that you can then discuss</w:t>
      </w:r>
    </w:p>
    <w:p w:rsidR="00DC2E99" w:rsidRDefault="00DC2E99" w:rsidP="00DC2E99">
      <w:pPr>
        <w:pStyle w:val="ListParagraph"/>
        <w:numPr>
          <w:ilvl w:val="0"/>
          <w:numId w:val="2"/>
        </w:numPr>
      </w:pPr>
      <w:r>
        <w:t>Pictures are useful, but must be relevant (clip art is fine)</w:t>
      </w:r>
    </w:p>
    <w:p w:rsidR="00505F15" w:rsidRPr="00505F15" w:rsidRDefault="00505F15" w:rsidP="00505F15"/>
    <w:p w:rsidR="00C97A2E" w:rsidRDefault="00C97A2E">
      <w:pPr>
        <w:spacing w:after="200" w:line="276" w:lineRule="auto"/>
      </w:pPr>
      <w:r>
        <w:br w:type="page"/>
      </w:r>
    </w:p>
    <w:p w:rsidR="00C97A2E" w:rsidRPr="00AB72C8" w:rsidRDefault="00C97A2E" w:rsidP="00C97A2E">
      <w:pPr>
        <w:spacing w:before="100" w:beforeAutospacing="1" w:after="100" w:afterAutospacing="1"/>
        <w:outlineLvl w:val="0"/>
        <w:rPr>
          <w:b/>
          <w:bCs/>
          <w:kern w:val="36"/>
          <w:sz w:val="48"/>
          <w:szCs w:val="48"/>
          <w:lang w:eastAsia="en-GB"/>
        </w:rPr>
      </w:pPr>
      <w:r w:rsidRPr="00AB72C8">
        <w:rPr>
          <w:b/>
          <w:bCs/>
          <w:kern w:val="36"/>
          <w:sz w:val="48"/>
          <w:szCs w:val="48"/>
          <w:lang w:eastAsia="en-GB"/>
        </w:rPr>
        <w:lastRenderedPageBreak/>
        <w:t>Data Protection Act 1998</w:t>
      </w:r>
    </w:p>
    <w:p w:rsidR="00C97A2E" w:rsidRPr="00AB72C8" w:rsidRDefault="00C97A2E" w:rsidP="00C97A2E">
      <w:pPr>
        <w:rPr>
          <w:lang w:eastAsia="en-GB"/>
        </w:rPr>
      </w:pPr>
      <w:r w:rsidRPr="00AB72C8">
        <w:rPr>
          <w:lang w:eastAsia="en-GB"/>
        </w:rPr>
        <w:t>From Wikipedia, the free encyclopedia</w:t>
      </w:r>
    </w:p>
    <w:p w:rsidR="00C97A2E" w:rsidRPr="00AB72C8" w:rsidRDefault="00C97A2E" w:rsidP="00C97A2E">
      <w:pPr>
        <w:spacing w:before="100" w:beforeAutospacing="1" w:after="100" w:afterAutospacing="1"/>
        <w:rPr>
          <w:lang w:eastAsia="en-GB"/>
        </w:rPr>
      </w:pPr>
      <w:r w:rsidRPr="00AB72C8">
        <w:rPr>
          <w:lang w:eastAsia="en-GB"/>
        </w:rPr>
        <w:t xml:space="preserve">The </w:t>
      </w:r>
      <w:r w:rsidRPr="00AB72C8">
        <w:rPr>
          <w:b/>
          <w:bCs/>
          <w:lang w:eastAsia="en-GB"/>
        </w:rPr>
        <w:t>Data Protection Act 1998</w:t>
      </w:r>
      <w:r w:rsidRPr="00AB72C8">
        <w:rPr>
          <w:lang w:eastAsia="en-GB"/>
        </w:rPr>
        <w:t xml:space="preserve"> is a United Kingdom Act of Parliament which defines UK law on the processing of data on identifiable living people. It is the main piece of legislation that governs the </w:t>
      </w:r>
      <w:hyperlink r:id="rId7" w:tooltip="Data protection" w:history="1">
        <w:r w:rsidRPr="00AB72C8">
          <w:rPr>
            <w:lang w:eastAsia="en-GB"/>
          </w:rPr>
          <w:t>protection of personal data</w:t>
        </w:r>
      </w:hyperlink>
      <w:r w:rsidRPr="00AB72C8">
        <w:rPr>
          <w:lang w:eastAsia="en-GB"/>
        </w:rPr>
        <w:t xml:space="preserve"> in the UK. Although the Act itself does not mention </w:t>
      </w:r>
      <w:hyperlink r:id="rId8" w:tooltip="Privacy" w:history="1">
        <w:r w:rsidRPr="00AB72C8">
          <w:rPr>
            <w:lang w:eastAsia="en-GB"/>
          </w:rPr>
          <w:t>privacy</w:t>
        </w:r>
      </w:hyperlink>
      <w:r w:rsidRPr="00AB72C8">
        <w:rPr>
          <w:lang w:eastAsia="en-GB"/>
        </w:rPr>
        <w:t xml:space="preserve">, it was enacted to bring UK law into line with the </w:t>
      </w:r>
      <w:hyperlink r:id="rId9" w:tooltip="Data Protection Directive" w:history="1">
        <w:r w:rsidRPr="00AB72C8">
          <w:rPr>
            <w:lang w:eastAsia="en-GB"/>
          </w:rPr>
          <w:t>European Directive of 1995</w:t>
        </w:r>
      </w:hyperlink>
      <w:r w:rsidRPr="00AB72C8">
        <w:rPr>
          <w:lang w:eastAsia="en-GB"/>
        </w:rPr>
        <w:t xml:space="preserve"> which required Member States to protect people's fundamental rights and freedoms and in particular their right to privacy with respect to the processing of personal data. In practice it provides a way for individuals to control information about themselves. Most of the Act does not apply to domestic use,</w:t>
      </w:r>
      <w:hyperlink r:id="rId10" w:anchor="cite_note-exemptions-0" w:history="1">
        <w:r w:rsidRPr="00AB72C8">
          <w:rPr>
            <w:vertAlign w:val="superscript"/>
            <w:lang w:eastAsia="en-GB"/>
          </w:rPr>
          <w:t>[1]</w:t>
        </w:r>
      </w:hyperlink>
      <w:r w:rsidRPr="00AB72C8">
        <w:rPr>
          <w:lang w:eastAsia="en-GB"/>
        </w:rPr>
        <w:t xml:space="preserve"> for example keeping a personal address book. Anyone holding personal data for other purposes is legally obliged to comply with this Act, subject to some exemptions. The Act defines eight </w:t>
      </w:r>
      <w:r w:rsidRPr="00AB72C8">
        <w:rPr>
          <w:b/>
          <w:bCs/>
          <w:lang w:eastAsia="en-GB"/>
        </w:rPr>
        <w:t>data protection principles</w:t>
      </w:r>
      <w:r w:rsidRPr="00AB72C8">
        <w:rPr>
          <w:lang w:eastAsia="en-GB"/>
        </w:rPr>
        <w:t>. It also requires companies and individuals to keep personal information to themselves.</w:t>
      </w: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History</w:t>
      </w:r>
    </w:p>
    <w:p w:rsidR="00C97A2E" w:rsidRPr="00AB72C8" w:rsidRDefault="00C97A2E" w:rsidP="00C97A2E">
      <w:pPr>
        <w:spacing w:before="100" w:beforeAutospacing="1" w:after="100" w:afterAutospacing="1"/>
        <w:rPr>
          <w:lang w:eastAsia="en-GB"/>
        </w:rPr>
      </w:pPr>
      <w:r w:rsidRPr="00AB72C8">
        <w:rPr>
          <w:lang w:eastAsia="en-GB"/>
        </w:rPr>
        <w:t xml:space="preserve">The 1998 Act replaced and consolidated earlier legislation such as the </w:t>
      </w:r>
      <w:hyperlink r:id="rId11" w:tooltip="Data Protection Act 1984" w:history="1">
        <w:r w:rsidRPr="00AB72C8">
          <w:rPr>
            <w:lang w:eastAsia="en-GB"/>
          </w:rPr>
          <w:t>Data Protection Act 1984</w:t>
        </w:r>
      </w:hyperlink>
      <w:r w:rsidRPr="00AB72C8">
        <w:rPr>
          <w:lang w:eastAsia="en-GB"/>
        </w:rPr>
        <w:t xml:space="preserve"> and the Access to Personal Files Act 1987. At the same time it aimed to implement the European Data Protection Directive. In some aspects, notably electronic communication and marketing, it has been refined by subsequent legislation for legal reasons. The </w:t>
      </w:r>
      <w:hyperlink r:id="rId12" w:tooltip="Privacy and Electronic Communications (EC Directive) Regulations 2003" w:history="1">
        <w:r w:rsidRPr="00AB72C8">
          <w:rPr>
            <w:lang w:eastAsia="en-GB"/>
          </w:rPr>
          <w:t>Privacy and Electronic Communications (EC Directive) Regulations 2003</w:t>
        </w:r>
      </w:hyperlink>
      <w:r w:rsidRPr="00AB72C8">
        <w:rPr>
          <w:lang w:eastAsia="en-GB"/>
        </w:rPr>
        <w:t xml:space="preserve"> altered the consent requirement for most electronic marketing to "positive consent" such as an opt in box. Exemptions remain for the marketing of "similar products and services" to existing customers and enquirers, which can still be permissioned on an opt out basis.</w:t>
      </w:r>
    </w:p>
    <w:p w:rsidR="00C97A2E" w:rsidRPr="00AB72C8" w:rsidRDefault="00C97A2E" w:rsidP="00C97A2E">
      <w:pPr>
        <w:spacing w:before="100" w:beforeAutospacing="1" w:after="100" w:afterAutospacing="1"/>
        <w:rPr>
          <w:lang w:eastAsia="en-GB"/>
        </w:rPr>
      </w:pPr>
      <w:r w:rsidRPr="00AB72C8">
        <w:rPr>
          <w:lang w:eastAsia="en-GB"/>
        </w:rPr>
        <w:t xml:space="preserve">The </w:t>
      </w:r>
      <w:hyperlink r:id="rId13" w:tooltip="Data Protection (Jersey) Law 2005" w:history="1">
        <w:r w:rsidRPr="00AB72C8">
          <w:rPr>
            <w:lang w:eastAsia="en-GB"/>
          </w:rPr>
          <w:t>Jersey data protection law</w:t>
        </w:r>
      </w:hyperlink>
      <w:r w:rsidRPr="00AB72C8">
        <w:rPr>
          <w:lang w:eastAsia="en-GB"/>
        </w:rPr>
        <w:t xml:space="preserve"> was model</w:t>
      </w:r>
      <w:r>
        <w:rPr>
          <w:lang w:eastAsia="en-GB"/>
        </w:rPr>
        <w:t>l</w:t>
      </w:r>
      <w:r w:rsidRPr="00AB72C8">
        <w:rPr>
          <w:lang w:eastAsia="en-GB"/>
        </w:rPr>
        <w:t xml:space="preserve">ed on the UK law. </w:t>
      </w:r>
      <w:hyperlink r:id="rId14" w:anchor="cite_note-1" w:history="1">
        <w:r w:rsidRPr="00AB72C8">
          <w:rPr>
            <w:vertAlign w:val="superscript"/>
            <w:lang w:eastAsia="en-GB"/>
          </w:rPr>
          <w:t>[2]</w:t>
        </w:r>
      </w:hyperlink>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Plain-language summary of key principles</w:t>
      </w:r>
    </w:p>
    <w:p w:rsidR="00C97A2E" w:rsidRPr="00AB72C8" w:rsidRDefault="00C97A2E" w:rsidP="00C97A2E">
      <w:pPr>
        <w:spacing w:before="100" w:beforeAutospacing="1" w:after="100" w:afterAutospacing="1"/>
        <w:rPr>
          <w:lang w:eastAsia="en-GB"/>
        </w:rPr>
      </w:pPr>
      <w:r w:rsidRPr="00AB72C8">
        <w:rPr>
          <w:lang w:eastAsia="en-GB"/>
        </w:rPr>
        <w:t>This section provides a quick overview of what the Key Principles of information-handling practice mean. The Key Principles themselves are discussed below in the context of their definition in law.</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Data may only be used for the specific purposes for which it was collected.</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 xml:space="preserve">Data must not be disclosed to other parties without the </w:t>
      </w:r>
      <w:hyperlink r:id="rId15" w:tooltip="Consent" w:history="1">
        <w:r w:rsidRPr="00AB72C8">
          <w:rPr>
            <w:lang w:eastAsia="en-GB"/>
          </w:rPr>
          <w:t>consent</w:t>
        </w:r>
      </w:hyperlink>
      <w:r w:rsidRPr="00AB72C8">
        <w:rPr>
          <w:lang w:eastAsia="en-GB"/>
        </w:rPr>
        <w:t xml:space="preserve"> of the individual whom it is about, unless there is legislation or other overriding legitimate reason to share the information (for example, the prevention or detection of crime). It is an offence for Other Parties to obtain this personal data without authorisation.</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Individuals have a right of access to the information held about them, subject to certain exceptions (for example, information held for the prevention or detection of crime).</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Personal information may be kept for no longer than is necessary and must be kept up to date.</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 xml:space="preserve">Personal information may not be sent outside the </w:t>
      </w:r>
      <w:hyperlink r:id="rId16" w:tooltip="European Economic Area" w:history="1">
        <w:r w:rsidRPr="00AB72C8">
          <w:rPr>
            <w:lang w:eastAsia="en-GB"/>
          </w:rPr>
          <w:t>European Economic Area</w:t>
        </w:r>
      </w:hyperlink>
      <w:r w:rsidRPr="00AB72C8">
        <w:rPr>
          <w:lang w:eastAsia="en-GB"/>
        </w:rPr>
        <w:t xml:space="preserve"> unless the individual whom it is about has consented or adequate protection is in place, for example by the use of a prescribed form of contract to govern the transmission of the data.</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lastRenderedPageBreak/>
        <w:t xml:space="preserve">Subject to some exceptions for organisations that only do very simple processing, and for domestic use, all entities that process personal information must </w:t>
      </w:r>
      <w:hyperlink r:id="rId17" w:tooltip="Register of data controllers" w:history="1">
        <w:r w:rsidRPr="00AB72C8">
          <w:rPr>
            <w:lang w:eastAsia="en-GB"/>
          </w:rPr>
          <w:t>register</w:t>
        </w:r>
      </w:hyperlink>
      <w:r w:rsidRPr="00AB72C8">
        <w:rPr>
          <w:lang w:eastAsia="en-GB"/>
        </w:rPr>
        <w:t xml:space="preserve"> with the </w:t>
      </w:r>
      <w:hyperlink r:id="rId18" w:tooltip="Information Commissioner's Office" w:history="1">
        <w:r w:rsidRPr="00AB72C8">
          <w:rPr>
            <w:lang w:eastAsia="en-GB"/>
          </w:rPr>
          <w:t>Information Commissioner's Office</w:t>
        </w:r>
      </w:hyperlink>
      <w:r w:rsidRPr="00AB72C8">
        <w:rPr>
          <w:lang w:eastAsia="en-GB"/>
        </w:rPr>
        <w:t>.</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The departments of a company that are holding personal information are required to have adequate security measures in place. Those include technical measures (such as firewalls) and organisational measures (such as staff training).</w:t>
      </w:r>
    </w:p>
    <w:p w:rsidR="00C97A2E" w:rsidRPr="00AB72C8" w:rsidRDefault="00C97A2E" w:rsidP="00C97A2E">
      <w:pPr>
        <w:numPr>
          <w:ilvl w:val="0"/>
          <w:numId w:val="3"/>
        </w:numPr>
        <w:spacing w:before="100" w:beforeAutospacing="1" w:after="100" w:afterAutospacing="1"/>
        <w:rPr>
          <w:lang w:eastAsia="en-GB"/>
        </w:rPr>
      </w:pPr>
      <w:r w:rsidRPr="00AB72C8">
        <w:rPr>
          <w:lang w:eastAsia="en-GB"/>
        </w:rPr>
        <w:t xml:space="preserve">Subjects have the right to have </w:t>
      </w:r>
      <w:r w:rsidRPr="00AB72C8">
        <w:rPr>
          <w:i/>
          <w:iCs/>
          <w:lang w:eastAsia="en-GB"/>
        </w:rPr>
        <w:t>factually incorrect</w:t>
      </w:r>
      <w:r w:rsidRPr="00AB72C8">
        <w:rPr>
          <w:lang w:eastAsia="en-GB"/>
        </w:rPr>
        <w:t xml:space="preserve"> information corrected (note: this does not extend to matters of </w:t>
      </w:r>
      <w:r w:rsidRPr="00AB72C8">
        <w:rPr>
          <w:i/>
          <w:iCs/>
          <w:lang w:eastAsia="en-GB"/>
        </w:rPr>
        <w:t>opinion</w:t>
      </w:r>
      <w:r w:rsidRPr="00AB72C8">
        <w:rPr>
          <w:lang w:eastAsia="en-GB"/>
        </w:rPr>
        <w:t>)</w:t>
      </w: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Personal data</w:t>
      </w:r>
    </w:p>
    <w:p w:rsidR="00C97A2E" w:rsidRPr="00AB72C8" w:rsidRDefault="00C97A2E" w:rsidP="00C97A2E">
      <w:pPr>
        <w:spacing w:before="100" w:beforeAutospacing="1" w:after="100" w:afterAutospacing="1"/>
        <w:rPr>
          <w:lang w:eastAsia="en-GB"/>
        </w:rPr>
      </w:pPr>
      <w:r w:rsidRPr="00AB72C8">
        <w:rPr>
          <w:lang w:eastAsia="en-GB"/>
        </w:rPr>
        <w:t>The Act covers any data about a living and identifiable individual. Anonymised or aggregated data is not regulated by the Act, providing the anonymisation or aggregation has not been done in a reversible way. Individuals can be identified by various means including their name and address, telephone number or Email address. The Act applies only to data which is held, or intended to be held, on computers ('equipment operating automatically in response to instructions given for that purpose'), or held in a 'relevant filing system'.</w:t>
      </w:r>
    </w:p>
    <w:p w:rsidR="00C97A2E" w:rsidRPr="00AB72C8" w:rsidRDefault="00C97A2E" w:rsidP="00C97A2E">
      <w:pPr>
        <w:spacing w:before="100" w:beforeAutospacing="1" w:after="100" w:afterAutospacing="1"/>
        <w:rPr>
          <w:lang w:eastAsia="en-GB"/>
        </w:rPr>
      </w:pPr>
      <w:r w:rsidRPr="00AB72C8">
        <w:rPr>
          <w:lang w:eastAsia="en-GB"/>
        </w:rPr>
        <w:t>In some cases even a paper address book can be classified as a 'relevant filing system', for example diaries used to support commercial activities such as a salesperson's diary.</w:t>
      </w:r>
    </w:p>
    <w:p w:rsidR="00C97A2E" w:rsidRPr="00AB72C8" w:rsidRDefault="00C97A2E" w:rsidP="00C97A2E">
      <w:pPr>
        <w:spacing w:before="100" w:beforeAutospacing="1" w:after="100" w:afterAutospacing="1"/>
        <w:rPr>
          <w:lang w:eastAsia="en-GB"/>
        </w:rPr>
      </w:pPr>
      <w:r w:rsidRPr="00AB72C8">
        <w:rPr>
          <w:lang w:eastAsia="en-GB"/>
        </w:rPr>
        <w:t xml:space="preserve">The </w:t>
      </w:r>
      <w:hyperlink r:id="rId19" w:tooltip="Freedom of Information Act 2000" w:history="1">
        <w:r w:rsidRPr="00AB72C8">
          <w:rPr>
            <w:lang w:eastAsia="en-GB"/>
          </w:rPr>
          <w:t>Freedom of Information Act 2000</w:t>
        </w:r>
      </w:hyperlink>
      <w:r w:rsidRPr="00AB72C8">
        <w:rPr>
          <w:lang w:eastAsia="en-GB"/>
        </w:rPr>
        <w:t xml:space="preserve"> modified the act for public bodies and authorities, and the Durant case modified the interpretation of the act by providing case law and precedent.</w:t>
      </w:r>
      <w:hyperlink r:id="rId20" w:anchor="cite_note-pinsent-durant-2" w:history="1">
        <w:r w:rsidRPr="00AB72C8">
          <w:rPr>
            <w:vertAlign w:val="superscript"/>
            <w:lang w:eastAsia="en-GB"/>
          </w:rPr>
          <w:t>[3]</w:t>
        </w:r>
      </w:hyperlink>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Subject rights</w:t>
      </w:r>
    </w:p>
    <w:p w:rsidR="00C97A2E" w:rsidRPr="00AB72C8" w:rsidRDefault="00C97A2E" w:rsidP="00C97A2E">
      <w:pPr>
        <w:spacing w:before="100" w:beforeAutospacing="1" w:after="100" w:afterAutospacing="1"/>
        <w:rPr>
          <w:lang w:eastAsia="en-GB"/>
        </w:rPr>
      </w:pPr>
      <w:r w:rsidRPr="00AB72C8">
        <w:rPr>
          <w:lang w:eastAsia="en-GB"/>
        </w:rPr>
        <w:t>The Data Protection Act creates rights for those who have their data stored, and responsibilities for those who store, process or The person who has their data processed has the right to</w:t>
      </w:r>
      <w:hyperlink r:id="rId21" w:anchor="cite_note-3" w:history="1">
        <w:r w:rsidRPr="00AB72C8">
          <w:rPr>
            <w:vertAlign w:val="superscript"/>
            <w:lang w:eastAsia="en-GB"/>
          </w:rPr>
          <w:t>[4]</w:t>
        </w:r>
      </w:hyperlink>
    </w:p>
    <w:p w:rsidR="00C97A2E" w:rsidRPr="00AB72C8" w:rsidRDefault="00C97A2E" w:rsidP="00C97A2E">
      <w:pPr>
        <w:numPr>
          <w:ilvl w:val="0"/>
          <w:numId w:val="4"/>
        </w:numPr>
        <w:spacing w:before="100" w:beforeAutospacing="1" w:after="100" w:afterAutospacing="1"/>
        <w:rPr>
          <w:lang w:eastAsia="en-GB"/>
        </w:rPr>
      </w:pPr>
      <w:r w:rsidRPr="00AB72C8">
        <w:rPr>
          <w:lang w:eastAsia="en-GB"/>
        </w:rPr>
        <w:t>View the data an organisation holds on them, for a small fee, known as 'subject access fee'</w:t>
      </w:r>
      <w:hyperlink r:id="rId22" w:anchor="cite_note-4" w:history="1">
        <w:r w:rsidRPr="00AB72C8">
          <w:rPr>
            <w:vertAlign w:val="superscript"/>
            <w:lang w:eastAsia="en-GB"/>
          </w:rPr>
          <w:t>[5]</w:t>
        </w:r>
      </w:hyperlink>
    </w:p>
    <w:p w:rsidR="00C97A2E" w:rsidRPr="00AB72C8" w:rsidRDefault="00C97A2E" w:rsidP="00C97A2E">
      <w:pPr>
        <w:numPr>
          <w:ilvl w:val="0"/>
          <w:numId w:val="4"/>
        </w:numPr>
        <w:spacing w:before="100" w:beforeAutospacing="1" w:after="100" w:afterAutospacing="1"/>
        <w:rPr>
          <w:lang w:eastAsia="en-GB"/>
        </w:rPr>
      </w:pPr>
      <w:r w:rsidRPr="00AB72C8">
        <w:rPr>
          <w:lang w:eastAsia="en-GB"/>
        </w:rPr>
        <w:t xml:space="preserve">Request that incorrect information be corrected. If the company ignores the request, a court can order the data to be corrected or destroyed, and in some cases </w:t>
      </w:r>
      <w:hyperlink r:id="rId23" w:tooltip="Damages" w:history="1">
        <w:r w:rsidRPr="00AB72C8">
          <w:rPr>
            <w:lang w:eastAsia="en-GB"/>
          </w:rPr>
          <w:t>compensation</w:t>
        </w:r>
      </w:hyperlink>
      <w:r w:rsidRPr="00AB72C8">
        <w:rPr>
          <w:lang w:eastAsia="en-GB"/>
        </w:rPr>
        <w:t xml:space="preserve"> can be awarded.</w:t>
      </w:r>
      <w:hyperlink r:id="rId24" w:anchor="cite_note-5" w:history="1">
        <w:r w:rsidRPr="00AB72C8">
          <w:rPr>
            <w:vertAlign w:val="superscript"/>
            <w:lang w:eastAsia="en-GB"/>
          </w:rPr>
          <w:t>[6]</w:t>
        </w:r>
      </w:hyperlink>
    </w:p>
    <w:p w:rsidR="00C97A2E" w:rsidRPr="00AB72C8" w:rsidRDefault="00C97A2E" w:rsidP="00C97A2E">
      <w:pPr>
        <w:numPr>
          <w:ilvl w:val="0"/>
          <w:numId w:val="4"/>
        </w:numPr>
        <w:spacing w:before="100" w:beforeAutospacing="1" w:after="100" w:afterAutospacing="1"/>
        <w:rPr>
          <w:lang w:eastAsia="en-GB"/>
        </w:rPr>
      </w:pPr>
      <w:r w:rsidRPr="00AB72C8">
        <w:rPr>
          <w:lang w:eastAsia="en-GB"/>
        </w:rPr>
        <w:t>Require that data is not used in any way that may potentially cause damage or distress.</w:t>
      </w:r>
      <w:hyperlink r:id="rId25" w:anchor="cite_note-6" w:history="1">
        <w:r w:rsidRPr="00AB72C8">
          <w:rPr>
            <w:vertAlign w:val="superscript"/>
            <w:lang w:eastAsia="en-GB"/>
          </w:rPr>
          <w:t>[7]</w:t>
        </w:r>
      </w:hyperlink>
    </w:p>
    <w:p w:rsidR="00C97A2E" w:rsidRPr="00AB72C8" w:rsidRDefault="00C97A2E" w:rsidP="00C97A2E">
      <w:pPr>
        <w:numPr>
          <w:ilvl w:val="0"/>
          <w:numId w:val="4"/>
        </w:numPr>
        <w:spacing w:before="100" w:beforeAutospacing="1" w:after="100" w:afterAutospacing="1"/>
        <w:rPr>
          <w:lang w:eastAsia="en-GB"/>
        </w:rPr>
      </w:pPr>
      <w:r w:rsidRPr="00AB72C8">
        <w:rPr>
          <w:lang w:eastAsia="en-GB"/>
        </w:rPr>
        <w:t xml:space="preserve">Require that their data is not used for </w:t>
      </w:r>
      <w:hyperlink r:id="rId26" w:tooltip="Direct marketing" w:history="1">
        <w:r w:rsidRPr="00AB72C8">
          <w:rPr>
            <w:lang w:eastAsia="en-GB"/>
          </w:rPr>
          <w:t>direct marketing</w:t>
        </w:r>
      </w:hyperlink>
      <w:r w:rsidRPr="00AB72C8">
        <w:rPr>
          <w:lang w:eastAsia="en-GB"/>
        </w:rPr>
        <w:t>.</w:t>
      </w:r>
      <w:hyperlink r:id="rId27" w:anchor="cite_note-7" w:history="1">
        <w:r w:rsidRPr="00AB72C8">
          <w:rPr>
            <w:vertAlign w:val="superscript"/>
            <w:lang w:eastAsia="en-GB"/>
          </w:rPr>
          <w:t>[8]</w:t>
        </w:r>
      </w:hyperlink>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Data protection principles</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 xml:space="preserve">Personal data shall be processed fairly and lawfully and, in particular, shall not be processed unless- </w:t>
      </w:r>
    </w:p>
    <w:p w:rsidR="00C97A2E" w:rsidRPr="00AB72C8" w:rsidRDefault="00C97A2E" w:rsidP="00C97A2E">
      <w:pPr>
        <w:numPr>
          <w:ilvl w:val="1"/>
          <w:numId w:val="5"/>
        </w:numPr>
        <w:spacing w:before="100" w:beforeAutospacing="1" w:after="100" w:afterAutospacing="1"/>
        <w:rPr>
          <w:lang w:eastAsia="en-GB"/>
        </w:rPr>
      </w:pPr>
      <w:r w:rsidRPr="00AB72C8">
        <w:rPr>
          <w:lang w:eastAsia="en-GB"/>
        </w:rPr>
        <w:t>at least one of the conditions in Schedule 2 is met, and</w:t>
      </w:r>
    </w:p>
    <w:p w:rsidR="00C97A2E" w:rsidRPr="00AB72C8" w:rsidRDefault="00C97A2E" w:rsidP="00C97A2E">
      <w:pPr>
        <w:numPr>
          <w:ilvl w:val="1"/>
          <w:numId w:val="5"/>
        </w:numPr>
        <w:spacing w:before="100" w:beforeAutospacing="1" w:after="100" w:afterAutospacing="1"/>
        <w:rPr>
          <w:lang w:eastAsia="en-GB"/>
        </w:rPr>
      </w:pPr>
      <w:r w:rsidRPr="00AB72C8">
        <w:rPr>
          <w:lang w:eastAsia="en-GB"/>
        </w:rPr>
        <w:t>in the case of sensitive personal data, at least one of the conditions in Schedule 3 is also met.</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Personal data shall be obtained only for one or more specified and lawful purposes, and shall not be further processed in any manner incompatible with that purpose or those purposes.</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Personal data shall be adequate, relevant and not excessive in relation to the purpose or purposes for which they are processed.</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lastRenderedPageBreak/>
        <w:t>Personal data shall be accurate and, where necessary, kept up to date.</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Personal data processed for any purpose or purposes shall not be kept for longer than is necessary for that purpose or those purposes.</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About the rights of individuals e.g. You have the right to have data about you removed.</w:t>
      </w:r>
      <w:hyperlink r:id="rId28" w:anchor="cite_note-8" w:history="1">
        <w:r w:rsidRPr="00AB72C8">
          <w:rPr>
            <w:vertAlign w:val="superscript"/>
            <w:lang w:eastAsia="en-GB"/>
          </w:rPr>
          <w:t>[9]</w:t>
        </w:r>
      </w:hyperlink>
    </w:p>
    <w:p w:rsidR="00C97A2E" w:rsidRPr="00AB72C8" w:rsidRDefault="00C97A2E" w:rsidP="00C97A2E">
      <w:pPr>
        <w:numPr>
          <w:ilvl w:val="0"/>
          <w:numId w:val="5"/>
        </w:numPr>
        <w:spacing w:before="100" w:beforeAutospacing="1" w:after="100" w:afterAutospacing="1"/>
        <w:rPr>
          <w:lang w:eastAsia="en-GB"/>
        </w:rPr>
      </w:pPr>
      <w:r w:rsidRPr="00AB72C8">
        <w:rPr>
          <w:lang w:eastAsia="en-GB"/>
        </w:rPr>
        <w:t>Appropriate technical and organisational measures shall be taken against unauthorised or unlawful processing of personal data and against accidental loss or destruction of, or damage to, personal data.</w:t>
      </w:r>
    </w:p>
    <w:p w:rsidR="00C97A2E" w:rsidRPr="00AB72C8" w:rsidRDefault="00C97A2E" w:rsidP="00C97A2E">
      <w:pPr>
        <w:numPr>
          <w:ilvl w:val="0"/>
          <w:numId w:val="5"/>
        </w:numPr>
        <w:spacing w:before="100" w:beforeAutospacing="1" w:after="100" w:afterAutospacing="1"/>
        <w:rPr>
          <w:lang w:eastAsia="en-GB"/>
        </w:rPr>
      </w:pPr>
      <w:r w:rsidRPr="00AB72C8">
        <w:rPr>
          <w:lang w:eastAsia="en-GB"/>
        </w:rPr>
        <w:t xml:space="preserve">Personal data shall not be transferred to a country or territory outside the </w:t>
      </w:r>
      <w:hyperlink r:id="rId29" w:tooltip="European Economic Area" w:history="1">
        <w:r w:rsidRPr="00AB72C8">
          <w:rPr>
            <w:lang w:eastAsia="en-GB"/>
          </w:rPr>
          <w:t>European Economic Area</w:t>
        </w:r>
      </w:hyperlink>
      <w:r w:rsidRPr="00AB72C8">
        <w:rPr>
          <w:lang w:eastAsia="en-GB"/>
        </w:rPr>
        <w:t xml:space="preserve"> unless that country or territory ensures an adequate level of protection for the rights and freedoms of data subjects in relation to the processing of personal data.</w:t>
      </w:r>
    </w:p>
    <w:p w:rsidR="00C97A2E" w:rsidRPr="00AB72C8" w:rsidRDefault="00C97A2E" w:rsidP="00C97A2E">
      <w:pPr>
        <w:spacing w:before="100" w:beforeAutospacing="1" w:after="100" w:afterAutospacing="1"/>
        <w:outlineLvl w:val="2"/>
        <w:rPr>
          <w:b/>
          <w:bCs/>
          <w:sz w:val="27"/>
          <w:szCs w:val="27"/>
          <w:lang w:eastAsia="en-GB"/>
        </w:rPr>
      </w:pPr>
      <w:r w:rsidRPr="00AB72C8">
        <w:rPr>
          <w:b/>
          <w:bCs/>
          <w:sz w:val="27"/>
          <w:szCs w:val="27"/>
          <w:lang w:eastAsia="en-GB"/>
        </w:rPr>
        <w:t>Conditions relevant to the first principle</w:t>
      </w:r>
    </w:p>
    <w:p w:rsidR="00C97A2E" w:rsidRPr="00AB72C8" w:rsidRDefault="00C97A2E" w:rsidP="00C97A2E">
      <w:pPr>
        <w:spacing w:before="100" w:beforeAutospacing="1" w:after="100" w:afterAutospacing="1"/>
        <w:rPr>
          <w:lang w:eastAsia="en-GB"/>
        </w:rPr>
      </w:pPr>
      <w:r w:rsidRPr="00AB72C8">
        <w:rPr>
          <w:lang w:eastAsia="en-GB"/>
        </w:rPr>
        <w:t>Personal data should only be processed fairly and lawfully. In order for data to be classed as 'fairly processed', at least one of these six conditions must be applicable to that data (Schedule 2).</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The data subject (the person whose data is stored) has consented ("given their permission") to the processing;</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Processing is necessary for the performance of, or commencing, a contract;</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Processing is required under a legal obligation (other than one stated in the contract);</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Processing is necessary to protect the vital interests of the data subject;</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Processing is necessary to carry out any public functions;</w:t>
      </w:r>
    </w:p>
    <w:p w:rsidR="00C97A2E" w:rsidRPr="00AB72C8" w:rsidRDefault="00C97A2E" w:rsidP="00C97A2E">
      <w:pPr>
        <w:numPr>
          <w:ilvl w:val="0"/>
          <w:numId w:val="6"/>
        </w:numPr>
        <w:spacing w:before="100" w:beforeAutospacing="1" w:after="100" w:afterAutospacing="1"/>
        <w:rPr>
          <w:lang w:eastAsia="en-GB"/>
        </w:rPr>
      </w:pPr>
      <w:r w:rsidRPr="00AB72C8">
        <w:rPr>
          <w:lang w:eastAsia="en-GB"/>
        </w:rPr>
        <w:t>Processing is necessary in order to pursue the legitimate interests of the "data controller" or "third parties" (unless it could unjustifiably prejudice the interests of the data subject).</w:t>
      </w:r>
      <w:hyperlink r:id="rId30" w:anchor="cite_note-9" w:history="1">
        <w:r w:rsidRPr="00AB72C8">
          <w:rPr>
            <w:vertAlign w:val="superscript"/>
            <w:lang w:eastAsia="en-GB"/>
          </w:rPr>
          <w:t>[10]</w:t>
        </w:r>
      </w:hyperlink>
    </w:p>
    <w:p w:rsidR="00C97A2E" w:rsidRPr="00AB72C8" w:rsidRDefault="00C97A2E" w:rsidP="00C97A2E">
      <w:pPr>
        <w:spacing w:before="100" w:beforeAutospacing="1" w:after="100" w:afterAutospacing="1"/>
        <w:rPr>
          <w:lang w:eastAsia="en-GB"/>
        </w:rPr>
      </w:pPr>
      <w:r w:rsidRPr="00AB72C8">
        <w:rPr>
          <w:lang w:eastAsia="en-GB"/>
        </w:rPr>
        <w:t>Sensitive personal data must be processed according to a stricter set of conditions, in particular any consent must be explicit.</w:t>
      </w: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Exceptions</w:t>
      </w:r>
    </w:p>
    <w:p w:rsidR="00C97A2E" w:rsidRPr="00AB72C8" w:rsidRDefault="00C97A2E" w:rsidP="00C97A2E">
      <w:pPr>
        <w:spacing w:before="100" w:beforeAutospacing="1" w:after="100" w:afterAutospacing="1"/>
        <w:rPr>
          <w:lang w:eastAsia="en-GB"/>
        </w:rPr>
      </w:pPr>
      <w:r w:rsidRPr="00AB72C8">
        <w:rPr>
          <w:lang w:eastAsia="en-GB"/>
        </w:rPr>
        <w:t>The Act is structured such that all processing of personal data is covered by the act, while providing a number of exceptions in Part IV.</w:t>
      </w:r>
      <w:hyperlink r:id="rId31" w:anchor="cite_note-exemptions-0" w:history="1">
        <w:r w:rsidRPr="00AB72C8">
          <w:rPr>
            <w:vertAlign w:val="superscript"/>
            <w:lang w:eastAsia="en-GB"/>
          </w:rPr>
          <w:t>[1]</w:t>
        </w:r>
      </w:hyperlink>
      <w:r w:rsidRPr="00AB72C8">
        <w:rPr>
          <w:lang w:eastAsia="en-GB"/>
        </w:rPr>
        <w:t xml:space="preserve"> Notable exceptions are:</w:t>
      </w:r>
    </w:p>
    <w:p w:rsidR="00C97A2E" w:rsidRPr="00AB72C8" w:rsidRDefault="00C97A2E" w:rsidP="00C97A2E">
      <w:pPr>
        <w:numPr>
          <w:ilvl w:val="0"/>
          <w:numId w:val="7"/>
        </w:numPr>
        <w:spacing w:before="100" w:beforeAutospacing="1" w:after="100" w:afterAutospacing="1"/>
        <w:rPr>
          <w:lang w:eastAsia="en-GB"/>
        </w:rPr>
      </w:pPr>
      <w:r w:rsidRPr="00AB72C8">
        <w:rPr>
          <w:lang w:eastAsia="en-GB"/>
        </w:rPr>
        <w:t>Section 28 - National security. Any processing for the purpose of safeguarding national security is exempt from all the data protection principles, as well as Part II (subject access rights), Part III (notification), Part V (enforcement), and Section 55 (Unlawful obtaining of personal data).</w:t>
      </w:r>
    </w:p>
    <w:p w:rsidR="00C97A2E" w:rsidRPr="00AB72C8" w:rsidRDefault="00C97A2E" w:rsidP="00C97A2E">
      <w:pPr>
        <w:numPr>
          <w:ilvl w:val="0"/>
          <w:numId w:val="7"/>
        </w:numPr>
        <w:spacing w:before="100" w:beforeAutospacing="1" w:after="100" w:afterAutospacing="1"/>
        <w:rPr>
          <w:lang w:eastAsia="en-GB"/>
        </w:rPr>
      </w:pPr>
      <w:r w:rsidRPr="00AB72C8">
        <w:rPr>
          <w:lang w:eastAsia="en-GB"/>
        </w:rPr>
        <w:t>Section 29 - Crime and taxation. Data processed for the prevention or detection of crime, the apprehension or prosecution of offenders, or the assessment or collection of taxes are exempt from the first data protection principle.</w:t>
      </w:r>
    </w:p>
    <w:p w:rsidR="00C97A2E" w:rsidRPr="00AB72C8" w:rsidRDefault="00C97A2E" w:rsidP="00C97A2E">
      <w:pPr>
        <w:numPr>
          <w:ilvl w:val="0"/>
          <w:numId w:val="7"/>
        </w:numPr>
        <w:spacing w:before="100" w:beforeAutospacing="1" w:after="100" w:afterAutospacing="1"/>
        <w:rPr>
          <w:lang w:eastAsia="en-GB"/>
        </w:rPr>
      </w:pPr>
      <w:r w:rsidRPr="00AB72C8">
        <w:rPr>
          <w:lang w:eastAsia="en-GB"/>
        </w:rPr>
        <w:t>Section 36 - Domestic purposes. Processing by an individual only for the purposes of that individual's personal, family or household affairs is exempt from all the data protection principles, as well as Part II (subject access rights) and Part III (notification).</w:t>
      </w:r>
    </w:p>
    <w:p w:rsidR="00C97A2E" w:rsidRDefault="00C97A2E" w:rsidP="00C97A2E">
      <w:pPr>
        <w:spacing w:before="100" w:beforeAutospacing="1" w:after="100" w:afterAutospacing="1"/>
        <w:outlineLvl w:val="1"/>
        <w:rPr>
          <w:b/>
          <w:bCs/>
          <w:sz w:val="36"/>
          <w:szCs w:val="36"/>
          <w:lang w:eastAsia="en-GB"/>
        </w:rPr>
      </w:pP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lastRenderedPageBreak/>
        <w:t>Offences</w:t>
      </w:r>
    </w:p>
    <w:p w:rsidR="00C97A2E" w:rsidRPr="00AB72C8" w:rsidRDefault="00C97A2E" w:rsidP="00C97A2E">
      <w:pPr>
        <w:spacing w:before="100" w:beforeAutospacing="1" w:after="100" w:afterAutospacing="1"/>
        <w:rPr>
          <w:lang w:eastAsia="en-GB"/>
        </w:rPr>
      </w:pPr>
      <w:r w:rsidRPr="00AB72C8">
        <w:rPr>
          <w:lang w:eastAsia="en-GB"/>
        </w:rPr>
        <w:t>The Act details a number of civil and criminal offences for which data controllers may be liable if a data controller has failed to gain appropriate consent from a data subject. However 'consent' is not specifically defined in the Act; consent is therefore a common law matter.</w:t>
      </w:r>
    </w:p>
    <w:p w:rsidR="00C97A2E" w:rsidRPr="00AB72C8" w:rsidRDefault="00C97A2E" w:rsidP="00C97A2E">
      <w:pPr>
        <w:numPr>
          <w:ilvl w:val="0"/>
          <w:numId w:val="8"/>
        </w:numPr>
        <w:spacing w:before="100" w:beforeAutospacing="1" w:after="100" w:afterAutospacing="1"/>
        <w:rPr>
          <w:lang w:eastAsia="en-GB"/>
        </w:rPr>
      </w:pPr>
      <w:r w:rsidRPr="00AB72C8">
        <w:rPr>
          <w:lang w:eastAsia="en-GB"/>
        </w:rPr>
        <w:t xml:space="preserve">Section 21 - This section makes it an offence to process personal information without </w:t>
      </w:r>
      <w:hyperlink r:id="rId32" w:tooltip="Register of data controllers" w:history="1">
        <w:r w:rsidRPr="00AB72C8">
          <w:rPr>
            <w:lang w:eastAsia="en-GB"/>
          </w:rPr>
          <w:t>registration</w:t>
        </w:r>
      </w:hyperlink>
      <w:r w:rsidRPr="00AB72C8">
        <w:rPr>
          <w:lang w:eastAsia="en-GB"/>
        </w:rPr>
        <w:t xml:space="preserve"> or to fail to comply with the notification regulations.</w:t>
      </w:r>
      <w:hyperlink r:id="rId33" w:anchor="cite_note-10" w:history="1">
        <w:r w:rsidRPr="00AB72C8">
          <w:rPr>
            <w:vertAlign w:val="superscript"/>
            <w:lang w:eastAsia="en-GB"/>
          </w:rPr>
          <w:t>[11]</w:t>
        </w:r>
      </w:hyperlink>
    </w:p>
    <w:p w:rsidR="00C97A2E" w:rsidRPr="00AB72C8" w:rsidRDefault="00C97A2E" w:rsidP="00C97A2E">
      <w:pPr>
        <w:numPr>
          <w:ilvl w:val="0"/>
          <w:numId w:val="8"/>
        </w:numPr>
        <w:spacing w:before="100" w:beforeAutospacing="1" w:after="100" w:afterAutospacing="1"/>
        <w:rPr>
          <w:lang w:eastAsia="en-GB"/>
        </w:rPr>
      </w:pPr>
      <w:r w:rsidRPr="00AB72C8">
        <w:rPr>
          <w:lang w:eastAsia="en-GB"/>
        </w:rPr>
        <w:t>Section 55 - Unlawful obtaining of personal data. This section makes it an offence for people (Other Parties), such as hackers and impersonators, outside the organisation to obtain unauthorised access to the personal data.</w:t>
      </w:r>
      <w:hyperlink r:id="rId34" w:anchor="cite_note-11" w:history="1">
        <w:r w:rsidRPr="00AB72C8">
          <w:rPr>
            <w:vertAlign w:val="superscript"/>
            <w:lang w:eastAsia="en-GB"/>
          </w:rPr>
          <w:t>[12]</w:t>
        </w:r>
      </w:hyperlink>
    </w:p>
    <w:p w:rsidR="00C97A2E" w:rsidRPr="00AB72C8" w:rsidRDefault="00C97A2E" w:rsidP="00C97A2E">
      <w:pPr>
        <w:numPr>
          <w:ilvl w:val="0"/>
          <w:numId w:val="8"/>
        </w:numPr>
        <w:spacing w:before="100" w:beforeAutospacing="1" w:after="100" w:afterAutospacing="1"/>
        <w:rPr>
          <w:lang w:eastAsia="en-GB"/>
        </w:rPr>
      </w:pPr>
      <w:r w:rsidRPr="00AB72C8">
        <w:rPr>
          <w:lang w:eastAsia="en-GB"/>
        </w:rPr>
        <w:t xml:space="preserve">Section 56 - This section makes it a criminal offence to require an individual to make a Subject Access Request relating to </w:t>
      </w:r>
      <w:hyperlink r:id="rId35" w:tooltip="Police caution" w:history="1">
        <w:r w:rsidRPr="00AB72C8">
          <w:rPr>
            <w:lang w:eastAsia="en-GB"/>
          </w:rPr>
          <w:t>cautions</w:t>
        </w:r>
      </w:hyperlink>
      <w:r w:rsidRPr="00AB72C8">
        <w:rPr>
          <w:lang w:eastAsia="en-GB"/>
        </w:rPr>
        <w:t xml:space="preserve"> or </w:t>
      </w:r>
      <w:hyperlink r:id="rId36" w:tooltip="Conviction" w:history="1">
        <w:r w:rsidRPr="00AB72C8">
          <w:rPr>
            <w:lang w:eastAsia="en-GB"/>
          </w:rPr>
          <w:t>convictions</w:t>
        </w:r>
      </w:hyperlink>
      <w:r w:rsidRPr="00AB72C8">
        <w:rPr>
          <w:lang w:eastAsia="en-GB"/>
        </w:rPr>
        <w:t xml:space="preserve"> for the purposes of recruitment, continued employment, or the provision of services.</w:t>
      </w:r>
      <w:hyperlink r:id="rId37" w:anchor="cite_note-12" w:history="1">
        <w:r w:rsidRPr="00AB72C8">
          <w:rPr>
            <w:vertAlign w:val="superscript"/>
            <w:lang w:eastAsia="en-GB"/>
          </w:rPr>
          <w:t>[13]</w:t>
        </w:r>
      </w:hyperlink>
      <w:r w:rsidRPr="00AB72C8">
        <w:rPr>
          <w:lang w:eastAsia="en-GB"/>
        </w:rPr>
        <w:t xml:space="preserve"> This was brought into effect by the Data Protection Act 1998 (Commencement No. 2) Order 2008.</w:t>
      </w:r>
      <w:hyperlink r:id="rId38" w:anchor="cite_note-13" w:history="1">
        <w:r w:rsidRPr="00AB72C8">
          <w:rPr>
            <w:vertAlign w:val="superscript"/>
            <w:lang w:eastAsia="en-GB"/>
          </w:rPr>
          <w:t>[14]</w:t>
        </w:r>
      </w:hyperlink>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Complexity</w:t>
      </w:r>
    </w:p>
    <w:p w:rsidR="00C97A2E" w:rsidRPr="00AB72C8" w:rsidRDefault="00C97A2E" w:rsidP="00C97A2E">
      <w:pPr>
        <w:spacing w:before="100" w:beforeAutospacing="1" w:after="100" w:afterAutospacing="1"/>
        <w:rPr>
          <w:lang w:eastAsia="en-GB"/>
        </w:rPr>
      </w:pPr>
      <w:r w:rsidRPr="00AB72C8">
        <w:rPr>
          <w:lang w:eastAsia="en-GB"/>
        </w:rPr>
        <w:t>The UK Data Protection Act is a large Act that has a reputation for complexity.</w:t>
      </w:r>
      <w:hyperlink r:id="rId39" w:anchor="cite_note-14" w:history="1">
        <w:r w:rsidRPr="00AB72C8">
          <w:rPr>
            <w:vertAlign w:val="superscript"/>
            <w:lang w:eastAsia="en-GB"/>
          </w:rPr>
          <w:t>[15]</w:t>
        </w:r>
      </w:hyperlink>
      <w:r w:rsidRPr="00AB72C8">
        <w:rPr>
          <w:lang w:eastAsia="en-GB"/>
        </w:rPr>
        <w:t xml:space="preserve"> While the basic principles are honoured for protecting privacy, interpreting the act is not always simple. Many companies, organisations and individuals seem very unsure of the aims, content and principles of the DPA. Some hide behind the Act and refuse to provide even very basic, publicly available material quoting the Act as a restriction.</w:t>
      </w:r>
      <w:hyperlink r:id="rId40" w:anchor="cite_note-15" w:history="1">
        <w:r w:rsidRPr="00AB72C8">
          <w:rPr>
            <w:vertAlign w:val="superscript"/>
            <w:lang w:eastAsia="en-GB"/>
          </w:rPr>
          <w:t>[16]</w:t>
        </w:r>
      </w:hyperlink>
      <w:r w:rsidRPr="00AB72C8">
        <w:rPr>
          <w:lang w:eastAsia="en-GB"/>
        </w:rPr>
        <w:t xml:space="preserve"> The act also impacts on the way in which organisations conduct business in terms of who can be contacted for marketing purposes, not only by telephone and direct mail, but also electronically and has led to the development of permission based marketing strategies.</w:t>
      </w: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Problems of interpretation</w:t>
      </w:r>
    </w:p>
    <w:p w:rsidR="00C97A2E" w:rsidRPr="00AB72C8" w:rsidRDefault="00C97A2E" w:rsidP="00C97A2E">
      <w:pPr>
        <w:spacing w:before="100" w:beforeAutospacing="1" w:after="100" w:afterAutospacing="1"/>
        <w:outlineLvl w:val="2"/>
        <w:rPr>
          <w:b/>
          <w:bCs/>
          <w:sz w:val="27"/>
          <w:szCs w:val="27"/>
          <w:lang w:eastAsia="en-GB"/>
        </w:rPr>
      </w:pPr>
      <w:r w:rsidRPr="00AB72C8">
        <w:rPr>
          <w:b/>
          <w:bCs/>
          <w:sz w:val="27"/>
          <w:szCs w:val="27"/>
          <w:lang w:eastAsia="en-GB"/>
        </w:rPr>
        <w:t>Definition of personal data</w:t>
      </w:r>
    </w:p>
    <w:p w:rsidR="00C97A2E" w:rsidRPr="00AB72C8" w:rsidRDefault="00C97A2E" w:rsidP="00C97A2E">
      <w:pPr>
        <w:spacing w:before="100" w:beforeAutospacing="1" w:after="100" w:afterAutospacing="1"/>
        <w:rPr>
          <w:lang w:eastAsia="en-GB"/>
        </w:rPr>
      </w:pPr>
      <w:r w:rsidRPr="00AB72C8">
        <w:rPr>
          <w:lang w:eastAsia="en-GB"/>
        </w:rPr>
        <w:t>The definition of personal data is data which relates to a living individual who can be identified</w:t>
      </w:r>
    </w:p>
    <w:p w:rsidR="00C97A2E" w:rsidRPr="00AB72C8" w:rsidRDefault="00C97A2E" w:rsidP="00C97A2E">
      <w:pPr>
        <w:numPr>
          <w:ilvl w:val="0"/>
          <w:numId w:val="9"/>
        </w:numPr>
        <w:spacing w:before="100" w:beforeAutospacing="1" w:after="100" w:afterAutospacing="1"/>
        <w:rPr>
          <w:lang w:eastAsia="en-GB"/>
        </w:rPr>
      </w:pPr>
      <w:r w:rsidRPr="00AB72C8">
        <w:rPr>
          <w:lang w:eastAsia="en-GB"/>
        </w:rPr>
        <w:t>from that data, or</w:t>
      </w:r>
    </w:p>
    <w:p w:rsidR="00C97A2E" w:rsidRPr="00AB72C8" w:rsidRDefault="00C97A2E" w:rsidP="00C97A2E">
      <w:pPr>
        <w:numPr>
          <w:ilvl w:val="0"/>
          <w:numId w:val="9"/>
        </w:numPr>
        <w:spacing w:before="100" w:beforeAutospacing="1" w:after="100" w:afterAutospacing="1"/>
        <w:rPr>
          <w:lang w:eastAsia="en-GB"/>
        </w:rPr>
      </w:pPr>
      <w:r w:rsidRPr="00AB72C8">
        <w:rPr>
          <w:lang w:eastAsia="en-GB"/>
        </w:rPr>
        <w:t>from that data and other information which is in the possession of, or is likely to come into the possession of, the data controller</w:t>
      </w:r>
    </w:p>
    <w:p w:rsidR="00C97A2E" w:rsidRPr="00AB72C8" w:rsidRDefault="00C97A2E" w:rsidP="00C97A2E">
      <w:pPr>
        <w:spacing w:before="100" w:beforeAutospacing="1" w:after="100" w:afterAutospacing="1"/>
        <w:rPr>
          <w:lang w:eastAsia="en-GB"/>
        </w:rPr>
      </w:pPr>
      <w:r w:rsidRPr="00AB72C8">
        <w:rPr>
          <w:lang w:eastAsia="en-GB"/>
        </w:rPr>
        <w:t>Sensitive personal data concerns the subject's race, ethnicity, politics, religion, trade union status, health, sex life or criminal record.</w:t>
      </w:r>
      <w:hyperlink r:id="rId41" w:anchor="cite_note-16" w:history="1">
        <w:r w:rsidRPr="00AB72C8">
          <w:rPr>
            <w:vertAlign w:val="superscript"/>
            <w:lang w:eastAsia="en-GB"/>
          </w:rPr>
          <w:t>[17]</w:t>
        </w:r>
      </w:hyperlink>
    </w:p>
    <w:p w:rsidR="00C97A2E" w:rsidRPr="00AB72C8" w:rsidRDefault="00C97A2E" w:rsidP="00C97A2E">
      <w:pPr>
        <w:spacing w:before="100" w:beforeAutospacing="1" w:after="100" w:afterAutospacing="1"/>
        <w:outlineLvl w:val="2"/>
        <w:rPr>
          <w:b/>
          <w:bCs/>
          <w:sz w:val="27"/>
          <w:szCs w:val="27"/>
          <w:lang w:eastAsia="en-GB"/>
        </w:rPr>
      </w:pPr>
      <w:r w:rsidRPr="00AB72C8">
        <w:rPr>
          <w:b/>
          <w:bCs/>
          <w:sz w:val="27"/>
          <w:szCs w:val="27"/>
          <w:lang w:eastAsia="en-GB"/>
        </w:rPr>
        <w:t>Subject access</w:t>
      </w:r>
    </w:p>
    <w:p w:rsidR="00C97A2E" w:rsidRPr="00AB72C8" w:rsidRDefault="00C97A2E" w:rsidP="00C97A2E">
      <w:pPr>
        <w:spacing w:before="100" w:beforeAutospacing="1" w:after="100" w:afterAutospacing="1"/>
        <w:rPr>
          <w:lang w:eastAsia="en-GB"/>
        </w:rPr>
      </w:pPr>
      <w:r w:rsidRPr="00AB72C8">
        <w:rPr>
          <w:lang w:eastAsia="en-GB"/>
        </w:rPr>
        <w:t xml:space="preserve">Personal data which is normally held for under 40 days may be legitimately denied in subject access requests under the Act. This is a consequence of the time limit data controllers must meet in making their response. If the data has been deleted by the normal procedures of the business by the time the data controller responds to a request, that data cannot be supplied. For data such as </w:t>
      </w:r>
      <w:hyperlink r:id="rId42" w:tooltip="Closed-circuit television" w:history="1">
        <w:r w:rsidRPr="00AB72C8">
          <w:rPr>
            <w:lang w:eastAsia="en-GB"/>
          </w:rPr>
          <w:t>closed-circuit television</w:t>
        </w:r>
      </w:hyperlink>
      <w:r w:rsidRPr="00AB72C8">
        <w:rPr>
          <w:lang w:eastAsia="en-GB"/>
        </w:rPr>
        <w:t xml:space="preserve"> images which are routinely overwritten, it may be impossible for a subject to exercise their data access rights.</w:t>
      </w:r>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lastRenderedPageBreak/>
        <w:t>Regulation</w:t>
      </w:r>
    </w:p>
    <w:p w:rsidR="00C97A2E" w:rsidRPr="00AB72C8" w:rsidRDefault="00C97A2E" w:rsidP="00C97A2E">
      <w:pPr>
        <w:spacing w:before="100" w:beforeAutospacing="1" w:after="100" w:afterAutospacing="1"/>
        <w:rPr>
          <w:lang w:eastAsia="en-GB"/>
        </w:rPr>
      </w:pPr>
      <w:r w:rsidRPr="00AB72C8">
        <w:rPr>
          <w:lang w:eastAsia="en-GB"/>
        </w:rPr>
        <w:t xml:space="preserve">Compliance with the Act is regulated and enforced by an independent authority, the </w:t>
      </w:r>
      <w:hyperlink r:id="rId43" w:tooltip="Information Commissioner's Office" w:history="1">
        <w:r w:rsidRPr="00AB72C8">
          <w:rPr>
            <w:lang w:eastAsia="en-GB"/>
          </w:rPr>
          <w:t>Information Commissioner's Office</w:t>
        </w:r>
      </w:hyperlink>
      <w:r w:rsidRPr="00AB72C8">
        <w:rPr>
          <w:lang w:eastAsia="en-GB"/>
        </w:rPr>
        <w:t xml:space="preserve">, which maintains guidance relating to the Act. Full details can be found at </w:t>
      </w:r>
      <w:hyperlink r:id="rId44" w:history="1">
        <w:r w:rsidRPr="00AB72C8">
          <w:rPr>
            <w:lang w:eastAsia="en-GB"/>
          </w:rPr>
          <w:t>http://www.ico.gov.uk</w:t>
        </w:r>
      </w:hyperlink>
      <w:hyperlink r:id="rId45" w:anchor="cite_note-17" w:history="1">
        <w:r w:rsidRPr="00AB72C8">
          <w:rPr>
            <w:vertAlign w:val="superscript"/>
            <w:lang w:eastAsia="en-GB"/>
          </w:rPr>
          <w:t>[18]</w:t>
        </w:r>
      </w:hyperlink>
      <w:hyperlink r:id="rId46" w:anchor="cite_note-18" w:history="1">
        <w:r w:rsidRPr="00AB72C8">
          <w:rPr>
            <w:vertAlign w:val="superscript"/>
            <w:lang w:eastAsia="en-GB"/>
          </w:rPr>
          <w:t>[19]</w:t>
        </w:r>
      </w:hyperlink>
    </w:p>
    <w:p w:rsidR="00C97A2E" w:rsidRPr="00AB72C8" w:rsidRDefault="00C97A2E" w:rsidP="00C97A2E">
      <w:pPr>
        <w:spacing w:before="100" w:beforeAutospacing="1" w:after="100" w:afterAutospacing="1"/>
        <w:outlineLvl w:val="1"/>
        <w:rPr>
          <w:b/>
          <w:bCs/>
          <w:sz w:val="36"/>
          <w:szCs w:val="36"/>
          <w:lang w:eastAsia="en-GB"/>
        </w:rPr>
      </w:pPr>
      <w:r w:rsidRPr="00AB72C8">
        <w:rPr>
          <w:b/>
          <w:bCs/>
          <w:sz w:val="36"/>
          <w:szCs w:val="36"/>
          <w:lang w:eastAsia="en-GB"/>
        </w:rPr>
        <w:t>References</w:t>
      </w:r>
    </w:p>
    <w:p w:rsidR="00C97A2E" w:rsidRPr="00AB72C8" w:rsidRDefault="00C97A2E" w:rsidP="00C97A2E">
      <w:pPr>
        <w:numPr>
          <w:ilvl w:val="1"/>
          <w:numId w:val="10"/>
        </w:numPr>
        <w:spacing w:before="100" w:beforeAutospacing="1" w:after="100" w:afterAutospacing="1"/>
        <w:ind w:left="720"/>
        <w:rPr>
          <w:lang w:eastAsia="en-GB"/>
        </w:rPr>
      </w:pPr>
      <w:r w:rsidRPr="00AB72C8">
        <w:rPr>
          <w:lang w:eastAsia="en-GB"/>
        </w:rPr>
        <w:t xml:space="preserve">^ </w:t>
      </w:r>
      <w:hyperlink r:id="rId47" w:anchor="cite_ref-exemptions_0-0" w:history="1">
        <w:r w:rsidRPr="00AB72C8">
          <w:rPr>
            <w:b/>
            <w:bCs/>
            <w:i/>
            <w:iCs/>
            <w:vertAlign w:val="superscript"/>
            <w:lang w:eastAsia="en-GB"/>
          </w:rPr>
          <w:t>a</w:t>
        </w:r>
      </w:hyperlink>
      <w:r w:rsidRPr="00AB72C8">
        <w:rPr>
          <w:lang w:eastAsia="en-GB"/>
        </w:rPr>
        <w:t xml:space="preserve"> </w:t>
      </w:r>
      <w:hyperlink r:id="rId48" w:anchor="cite_ref-exemptions_0-1" w:history="1">
        <w:r w:rsidRPr="00AB72C8">
          <w:rPr>
            <w:b/>
            <w:bCs/>
            <w:i/>
            <w:iCs/>
            <w:vertAlign w:val="superscript"/>
            <w:lang w:eastAsia="en-GB"/>
          </w:rPr>
          <w:t>b</w:t>
        </w:r>
      </w:hyperlink>
      <w:r w:rsidRPr="00AB72C8">
        <w:rPr>
          <w:lang w:eastAsia="en-GB"/>
        </w:rPr>
        <w:t xml:space="preserve"> </w:t>
      </w:r>
      <w:r w:rsidRPr="00AB72C8">
        <w:rPr>
          <w:i/>
          <w:iCs/>
          <w:lang w:eastAsia="en-GB"/>
        </w:rPr>
        <w:t>Data Protection Act 1998</w:t>
      </w:r>
      <w:r w:rsidRPr="00AB72C8">
        <w:rPr>
          <w:lang w:eastAsia="en-GB"/>
        </w:rPr>
        <w:t xml:space="preserve">, </w:t>
      </w:r>
      <w:hyperlink r:id="rId49" w:anchor="pt4-l1g36" w:history="1">
        <w:r w:rsidRPr="00AB72C8">
          <w:rPr>
            <w:lang w:eastAsia="en-GB"/>
          </w:rPr>
          <w:t>Part IV (Exemptions), Section 36</w:t>
        </w:r>
      </w:hyperlink>
      <w:r w:rsidRPr="00AB72C8">
        <w:rPr>
          <w:lang w:eastAsia="en-GB"/>
        </w:rPr>
        <w:t xml:space="preserve">, </w:t>
      </w:r>
      <w:hyperlink r:id="rId50" w:tooltip="Office of Public Sector Information" w:history="1">
        <w:r w:rsidRPr="00AB72C8">
          <w:rPr>
            <w:lang w:eastAsia="en-GB"/>
          </w:rPr>
          <w:t>Office of Public Sector Information</w:t>
        </w:r>
      </w:hyperlink>
      <w:r w:rsidRPr="00AB72C8">
        <w:rPr>
          <w:lang w:eastAsia="en-GB"/>
        </w:rPr>
        <w:t>, accessed 6 September 2007</w:t>
      </w:r>
    </w:p>
    <w:p w:rsidR="00C97A2E" w:rsidRPr="00AB72C8" w:rsidRDefault="00C97A2E" w:rsidP="00C97A2E">
      <w:pPr>
        <w:numPr>
          <w:ilvl w:val="1"/>
          <w:numId w:val="10"/>
        </w:numPr>
        <w:spacing w:before="100" w:beforeAutospacing="1" w:after="100" w:afterAutospacing="1"/>
        <w:ind w:left="720"/>
        <w:rPr>
          <w:lang w:eastAsia="en-GB"/>
        </w:rPr>
      </w:pPr>
      <w:hyperlink r:id="rId51" w:anchor="cite_ref-1" w:history="1">
        <w:r w:rsidRPr="00AB72C8">
          <w:rPr>
            <w:b/>
            <w:bCs/>
            <w:lang w:eastAsia="en-GB"/>
          </w:rPr>
          <w:t>^</w:t>
        </w:r>
      </w:hyperlink>
      <w:r w:rsidRPr="00AB72C8">
        <w:rPr>
          <w:lang w:eastAsia="en-GB"/>
        </w:rPr>
        <w:t xml:space="preserve"> </w:t>
      </w:r>
      <w:hyperlink r:id="rId52" w:history="1">
        <w:r w:rsidRPr="00AB72C8">
          <w:rPr>
            <w:lang w:eastAsia="en-GB"/>
          </w:rPr>
          <w:t>Jersey: Data Protection In Jersey And Other Offshore Jurisdictions</w:t>
        </w:r>
      </w:hyperlink>
      <w:r w:rsidRPr="00AB72C8">
        <w:rPr>
          <w:lang w:eastAsia="en-GB"/>
        </w:rPr>
        <w:t xml:space="preserve"> 23 July 2008 Article by Wendy Benjamin, mondaq.com, retr 2012 Sep 14</w:t>
      </w:r>
    </w:p>
    <w:p w:rsidR="00C97A2E" w:rsidRPr="00AB72C8" w:rsidRDefault="00C97A2E" w:rsidP="00C97A2E">
      <w:pPr>
        <w:numPr>
          <w:ilvl w:val="1"/>
          <w:numId w:val="10"/>
        </w:numPr>
        <w:spacing w:before="100" w:beforeAutospacing="1" w:after="100" w:afterAutospacing="1"/>
        <w:ind w:left="720"/>
        <w:rPr>
          <w:lang w:eastAsia="en-GB"/>
        </w:rPr>
      </w:pPr>
      <w:hyperlink r:id="rId53" w:anchor="cite_ref-pinsent-durant_2-0" w:history="1">
        <w:r w:rsidRPr="00AB72C8">
          <w:rPr>
            <w:b/>
            <w:bCs/>
            <w:lang w:eastAsia="en-GB"/>
          </w:rPr>
          <w:t>^</w:t>
        </w:r>
      </w:hyperlink>
      <w:r w:rsidRPr="00AB72C8">
        <w:rPr>
          <w:lang w:eastAsia="en-GB"/>
        </w:rPr>
        <w:t xml:space="preserve"> </w:t>
      </w:r>
      <w:hyperlink r:id="rId54" w:history="1">
        <w:r w:rsidRPr="00AB72C8">
          <w:rPr>
            <w:lang w:eastAsia="en-GB"/>
          </w:rPr>
          <w:t>"What is personal data? Information Commissioner updates guidance"</w:t>
        </w:r>
      </w:hyperlink>
      <w:r w:rsidRPr="00AB72C8">
        <w:rPr>
          <w:lang w:eastAsia="en-GB"/>
        </w:rPr>
        <w:t xml:space="preserve">. </w:t>
      </w:r>
      <w:hyperlink r:id="rId55" w:tooltip="Pinsent Masons" w:history="1">
        <w:r w:rsidRPr="00AB72C8">
          <w:rPr>
            <w:lang w:eastAsia="en-GB"/>
          </w:rPr>
          <w:t>Pinsent Masons</w:t>
        </w:r>
      </w:hyperlink>
      <w:r w:rsidRPr="00AB72C8">
        <w:rPr>
          <w:lang w:eastAsia="en-GB"/>
        </w:rPr>
        <w:t>. 30 August 2007. Retrieved 20 August 2012. "In the case involving Michael Durant he sought information held on him by the Financial Services Authority. The Court of Appeal ruled that just because a document contained his name it was not necessarily defined as personal data. This changed the perception of how wide a definition of personal data could be."</w:t>
      </w:r>
    </w:p>
    <w:p w:rsidR="00C97A2E" w:rsidRPr="00AB72C8" w:rsidRDefault="00C97A2E" w:rsidP="00C97A2E">
      <w:pPr>
        <w:numPr>
          <w:ilvl w:val="1"/>
          <w:numId w:val="10"/>
        </w:numPr>
        <w:spacing w:before="100" w:beforeAutospacing="1" w:after="100" w:afterAutospacing="1"/>
        <w:ind w:left="720"/>
        <w:rPr>
          <w:lang w:eastAsia="en-GB"/>
        </w:rPr>
      </w:pPr>
      <w:hyperlink r:id="rId56" w:anchor="cite_ref-3" w:history="1">
        <w:r w:rsidRPr="00AB72C8">
          <w:rPr>
            <w:b/>
            <w:bCs/>
            <w:lang w:eastAsia="en-GB"/>
          </w:rPr>
          <w:t>^</w:t>
        </w:r>
      </w:hyperlink>
      <w:r w:rsidRPr="00AB72C8">
        <w:rPr>
          <w:lang w:eastAsia="en-GB"/>
        </w:rPr>
        <w:t xml:space="preserve"> </w:t>
      </w:r>
      <w:hyperlink r:id="rId57" w:history="1">
        <w:r w:rsidRPr="00AB72C8">
          <w:rPr>
            <w:i/>
            <w:iCs/>
            <w:lang w:eastAsia="en-GB"/>
          </w:rPr>
          <w:t>Your rights</w:t>
        </w:r>
      </w:hyperlink>
      <w:r w:rsidRPr="00AB72C8">
        <w:rPr>
          <w:lang w:eastAsia="en-GB"/>
        </w:rPr>
        <w:t>, ICO, accessed 6 September 2007</w:t>
      </w:r>
    </w:p>
    <w:p w:rsidR="00C97A2E" w:rsidRPr="00AB72C8" w:rsidRDefault="00C97A2E" w:rsidP="00C97A2E">
      <w:pPr>
        <w:numPr>
          <w:ilvl w:val="1"/>
          <w:numId w:val="10"/>
        </w:numPr>
        <w:spacing w:before="100" w:beforeAutospacing="1" w:after="100" w:afterAutospacing="1"/>
        <w:ind w:left="720"/>
        <w:rPr>
          <w:lang w:eastAsia="en-GB"/>
        </w:rPr>
      </w:pPr>
      <w:hyperlink r:id="rId58" w:anchor="cite_ref-4" w:history="1">
        <w:r w:rsidRPr="00AB72C8">
          <w:rPr>
            <w:b/>
            <w:bCs/>
            <w:lang w:eastAsia="en-GB"/>
          </w:rPr>
          <w:t>^</w:t>
        </w:r>
      </w:hyperlink>
      <w:r w:rsidRPr="00AB72C8">
        <w:rPr>
          <w:lang w:eastAsia="en-GB"/>
        </w:rPr>
        <w:t xml:space="preserve"> As of 2006, the maximum fee is £10 per individual, </w:t>
      </w:r>
      <w:hyperlink r:id="rId59" w:anchor="f5EED57A6-1B5C-4032-A7A3-22ECBBF66D3D" w:history="1">
        <w:r w:rsidRPr="00AB72C8">
          <w:rPr>
            <w:i/>
            <w:iCs/>
            <w:lang w:eastAsia="en-GB"/>
          </w:rPr>
          <w:t>FAQs</w:t>
        </w:r>
      </w:hyperlink>
      <w:r w:rsidRPr="00AB72C8">
        <w:rPr>
          <w:lang w:eastAsia="en-GB"/>
        </w:rPr>
        <w:t>, ICO</w:t>
      </w:r>
    </w:p>
    <w:p w:rsidR="00C97A2E" w:rsidRPr="00AB72C8" w:rsidRDefault="00C97A2E" w:rsidP="00C97A2E">
      <w:pPr>
        <w:numPr>
          <w:ilvl w:val="1"/>
          <w:numId w:val="10"/>
        </w:numPr>
        <w:spacing w:before="100" w:beforeAutospacing="1" w:after="100" w:afterAutospacing="1"/>
        <w:ind w:left="720"/>
        <w:rPr>
          <w:lang w:eastAsia="en-GB"/>
        </w:rPr>
      </w:pPr>
      <w:hyperlink r:id="rId60" w:anchor="cite_ref-5" w:history="1">
        <w:r w:rsidRPr="00AB72C8">
          <w:rPr>
            <w:b/>
            <w:bCs/>
            <w:lang w:eastAsia="en-GB"/>
          </w:rPr>
          <w:t>^</w:t>
        </w:r>
      </w:hyperlink>
      <w:r w:rsidRPr="00AB72C8">
        <w:rPr>
          <w:lang w:eastAsia="en-GB"/>
        </w:rPr>
        <w:t xml:space="preserve"> </w:t>
      </w:r>
      <w:hyperlink r:id="rId61" w:anchor="fF900A848-3AB1-41EA-8ED5-5C3BBBD66D3B" w:history="1">
        <w:r w:rsidRPr="00AB72C8">
          <w:rPr>
            <w:lang w:eastAsia="en-GB"/>
          </w:rPr>
          <w:t>"An organisation has inaccurate information about me. What can I do?"</w:t>
        </w:r>
      </w:hyperlink>
      <w:r w:rsidRPr="00AB72C8">
        <w:rPr>
          <w:lang w:eastAsia="en-GB"/>
        </w:rPr>
        <w:t xml:space="preserve">. </w:t>
      </w:r>
      <w:hyperlink r:id="rId62" w:tooltip="Information Commissioner's Office" w:history="1">
        <w:r w:rsidRPr="00AB72C8">
          <w:rPr>
            <w:lang w:eastAsia="en-GB"/>
          </w:rPr>
          <w:t>Information Commissioner's Office</w:t>
        </w:r>
      </w:hyperlink>
      <w:r w:rsidRPr="00AB72C8">
        <w:rPr>
          <w:lang w:eastAsia="en-GB"/>
        </w:rPr>
        <w:t>. Retrieved 20 August 2012.</w:t>
      </w:r>
    </w:p>
    <w:p w:rsidR="00C97A2E" w:rsidRPr="00AB72C8" w:rsidRDefault="00C97A2E" w:rsidP="00C97A2E">
      <w:pPr>
        <w:numPr>
          <w:ilvl w:val="1"/>
          <w:numId w:val="10"/>
        </w:numPr>
        <w:spacing w:before="100" w:beforeAutospacing="1" w:after="100" w:afterAutospacing="1"/>
        <w:ind w:left="720"/>
        <w:rPr>
          <w:lang w:eastAsia="en-GB"/>
        </w:rPr>
      </w:pPr>
      <w:hyperlink r:id="rId63" w:anchor="cite_ref-6" w:history="1">
        <w:r w:rsidRPr="00AB72C8">
          <w:rPr>
            <w:b/>
            <w:bCs/>
            <w:lang w:eastAsia="en-GB"/>
          </w:rPr>
          <w:t>^</w:t>
        </w:r>
      </w:hyperlink>
      <w:r w:rsidRPr="00AB72C8">
        <w:rPr>
          <w:lang w:eastAsia="en-GB"/>
        </w:rPr>
        <w:t xml:space="preserve"> </w:t>
      </w:r>
      <w:r w:rsidRPr="00AB72C8">
        <w:rPr>
          <w:i/>
          <w:iCs/>
          <w:lang w:eastAsia="en-GB"/>
        </w:rPr>
        <w:t>Data Protection Act 1998</w:t>
      </w:r>
      <w:r w:rsidRPr="00AB72C8">
        <w:rPr>
          <w:lang w:eastAsia="en-GB"/>
        </w:rPr>
        <w:t xml:space="preserve">, </w:t>
      </w:r>
      <w:hyperlink r:id="rId64" w:history="1">
        <w:r w:rsidRPr="00AB72C8">
          <w:rPr>
            <w:lang w:eastAsia="en-GB"/>
          </w:rPr>
          <w:t>Part II (Rights of data subjects and others), Section 10</w:t>
        </w:r>
      </w:hyperlink>
      <w:r w:rsidRPr="00AB72C8">
        <w:rPr>
          <w:lang w:eastAsia="en-GB"/>
        </w:rPr>
        <w:t>, Office of Public Sector Information, accessed 6 September 2007</w:t>
      </w:r>
    </w:p>
    <w:p w:rsidR="00C97A2E" w:rsidRPr="00AB72C8" w:rsidRDefault="00C97A2E" w:rsidP="00C97A2E">
      <w:pPr>
        <w:numPr>
          <w:ilvl w:val="1"/>
          <w:numId w:val="10"/>
        </w:numPr>
        <w:spacing w:before="100" w:beforeAutospacing="1" w:after="100" w:afterAutospacing="1"/>
        <w:ind w:left="720"/>
        <w:rPr>
          <w:lang w:eastAsia="en-GB"/>
        </w:rPr>
      </w:pPr>
      <w:hyperlink r:id="rId65" w:anchor="cite_ref-7" w:history="1">
        <w:r w:rsidRPr="00AB72C8">
          <w:rPr>
            <w:b/>
            <w:bCs/>
            <w:lang w:eastAsia="en-GB"/>
          </w:rPr>
          <w:t>^</w:t>
        </w:r>
      </w:hyperlink>
      <w:r w:rsidRPr="00AB72C8">
        <w:rPr>
          <w:lang w:eastAsia="en-GB"/>
        </w:rPr>
        <w:t xml:space="preserve"> </w:t>
      </w:r>
      <w:r w:rsidRPr="00AB72C8">
        <w:rPr>
          <w:i/>
          <w:iCs/>
          <w:lang w:eastAsia="en-GB"/>
        </w:rPr>
        <w:t>Data Protection Act 1998</w:t>
      </w:r>
      <w:r w:rsidRPr="00AB72C8">
        <w:rPr>
          <w:lang w:eastAsia="en-GB"/>
        </w:rPr>
        <w:t xml:space="preserve">, </w:t>
      </w:r>
      <w:hyperlink r:id="rId66" w:history="1">
        <w:r w:rsidRPr="00AB72C8">
          <w:rPr>
            <w:lang w:eastAsia="en-GB"/>
          </w:rPr>
          <w:t>Part II (Rights of data subjects and others), Section 11</w:t>
        </w:r>
      </w:hyperlink>
      <w:r w:rsidRPr="00AB72C8">
        <w:rPr>
          <w:lang w:eastAsia="en-GB"/>
        </w:rPr>
        <w:t>, Office of Public Sector Information, accessed 6 September 2007</w:t>
      </w:r>
    </w:p>
    <w:p w:rsidR="00C97A2E" w:rsidRPr="00AB72C8" w:rsidRDefault="00C97A2E" w:rsidP="00C97A2E">
      <w:pPr>
        <w:numPr>
          <w:ilvl w:val="1"/>
          <w:numId w:val="10"/>
        </w:numPr>
        <w:spacing w:before="100" w:beforeAutospacing="1" w:after="100" w:afterAutospacing="1"/>
        <w:ind w:left="720"/>
        <w:rPr>
          <w:lang w:eastAsia="en-GB"/>
        </w:rPr>
      </w:pPr>
      <w:hyperlink r:id="rId67" w:anchor="cite_ref-8" w:history="1">
        <w:r w:rsidRPr="00AB72C8">
          <w:rPr>
            <w:b/>
            <w:bCs/>
            <w:lang w:eastAsia="en-GB"/>
          </w:rPr>
          <w:t>^</w:t>
        </w:r>
      </w:hyperlink>
      <w:r w:rsidRPr="00AB72C8">
        <w:rPr>
          <w:lang w:eastAsia="en-GB"/>
        </w:rPr>
        <w:t xml:space="preserve"> The rights of individuals (Principle 6), </w:t>
      </w:r>
      <w:hyperlink r:id="rId68" w:history="1">
        <w:r w:rsidRPr="00AB72C8">
          <w:rPr>
            <w:lang w:eastAsia="en-GB"/>
          </w:rPr>
          <w:t>ICO.gov.uk</w:t>
        </w:r>
      </w:hyperlink>
      <w:r w:rsidRPr="00AB72C8">
        <w:rPr>
          <w:lang w:eastAsia="en-GB"/>
        </w:rPr>
        <w:t>, accessed 14 April 2011</w:t>
      </w:r>
    </w:p>
    <w:p w:rsidR="00C97A2E" w:rsidRPr="00AB72C8" w:rsidRDefault="00C97A2E" w:rsidP="00C97A2E">
      <w:pPr>
        <w:numPr>
          <w:ilvl w:val="1"/>
          <w:numId w:val="10"/>
        </w:numPr>
        <w:spacing w:before="100" w:beforeAutospacing="1" w:after="100" w:afterAutospacing="1"/>
        <w:ind w:left="720"/>
        <w:rPr>
          <w:lang w:eastAsia="en-GB"/>
        </w:rPr>
      </w:pPr>
      <w:hyperlink r:id="rId69" w:anchor="cite_ref-9" w:history="1">
        <w:r w:rsidRPr="00AB72C8">
          <w:rPr>
            <w:b/>
            <w:bCs/>
            <w:lang w:eastAsia="en-GB"/>
          </w:rPr>
          <w:t>^</w:t>
        </w:r>
      </w:hyperlink>
      <w:r w:rsidRPr="00AB72C8">
        <w:rPr>
          <w:lang w:eastAsia="en-GB"/>
        </w:rPr>
        <w:t xml:space="preserve"> </w:t>
      </w:r>
      <w:hyperlink r:id="rId70" w:anchor="sch2" w:history="1">
        <w:r w:rsidRPr="00AB72C8">
          <w:rPr>
            <w:lang w:eastAsia="en-GB"/>
          </w:rPr>
          <w:t>OPSI.gov.uk</w:t>
        </w:r>
      </w:hyperlink>
      <w:r w:rsidRPr="00AB72C8">
        <w:rPr>
          <w:lang w:eastAsia="en-GB"/>
        </w:rPr>
        <w:t xml:space="preserve"> Data Protection Act 1998 Schedule 2</w:t>
      </w:r>
    </w:p>
    <w:p w:rsidR="00C97A2E" w:rsidRPr="00AB72C8" w:rsidRDefault="00C97A2E" w:rsidP="00C97A2E">
      <w:pPr>
        <w:numPr>
          <w:ilvl w:val="1"/>
          <w:numId w:val="10"/>
        </w:numPr>
        <w:spacing w:before="100" w:beforeAutospacing="1" w:after="100" w:afterAutospacing="1"/>
        <w:ind w:left="720"/>
        <w:rPr>
          <w:lang w:eastAsia="en-GB"/>
        </w:rPr>
      </w:pPr>
      <w:hyperlink r:id="rId71" w:anchor="cite_ref-10" w:history="1">
        <w:r w:rsidRPr="00AB72C8">
          <w:rPr>
            <w:b/>
            <w:bCs/>
            <w:lang w:eastAsia="en-GB"/>
          </w:rPr>
          <w:t>^</w:t>
        </w:r>
      </w:hyperlink>
      <w:r w:rsidRPr="00AB72C8">
        <w:rPr>
          <w:lang w:eastAsia="en-GB"/>
        </w:rPr>
        <w:t xml:space="preserve"> </w:t>
      </w:r>
      <w:r w:rsidRPr="00AB72C8">
        <w:rPr>
          <w:i/>
          <w:iCs/>
          <w:lang w:eastAsia="en-GB"/>
        </w:rPr>
        <w:t>Data Protection Act 1998</w:t>
      </w:r>
      <w:r w:rsidRPr="00AB72C8">
        <w:rPr>
          <w:lang w:eastAsia="en-GB"/>
        </w:rPr>
        <w:t xml:space="preserve">, </w:t>
      </w:r>
      <w:hyperlink r:id="rId72" w:anchor="pt3-l1g21" w:history="1">
        <w:r w:rsidRPr="00AB72C8">
          <w:rPr>
            <w:lang w:eastAsia="en-GB"/>
          </w:rPr>
          <w:t>Part III (Notification by Data Controllers), Section 21</w:t>
        </w:r>
      </w:hyperlink>
      <w:r w:rsidRPr="00AB72C8">
        <w:rPr>
          <w:lang w:eastAsia="en-GB"/>
        </w:rPr>
        <w:t>, Office of Public Sector Information</w:t>
      </w:r>
    </w:p>
    <w:p w:rsidR="00C97A2E" w:rsidRPr="00AB72C8" w:rsidRDefault="00C97A2E" w:rsidP="00C97A2E">
      <w:pPr>
        <w:numPr>
          <w:ilvl w:val="1"/>
          <w:numId w:val="10"/>
        </w:numPr>
        <w:spacing w:before="100" w:beforeAutospacing="1" w:after="100" w:afterAutospacing="1"/>
        <w:ind w:left="720"/>
        <w:rPr>
          <w:lang w:eastAsia="en-GB"/>
        </w:rPr>
      </w:pPr>
      <w:hyperlink r:id="rId73" w:anchor="cite_ref-11" w:history="1">
        <w:r w:rsidRPr="00AB72C8">
          <w:rPr>
            <w:b/>
            <w:bCs/>
            <w:lang w:eastAsia="en-GB"/>
          </w:rPr>
          <w:t>^</w:t>
        </w:r>
      </w:hyperlink>
      <w:r w:rsidRPr="00AB72C8">
        <w:rPr>
          <w:lang w:eastAsia="en-GB"/>
        </w:rPr>
        <w:t xml:space="preserve"> </w:t>
      </w:r>
      <w:r w:rsidRPr="00AB72C8">
        <w:rPr>
          <w:i/>
          <w:iCs/>
          <w:lang w:eastAsia="en-GB"/>
        </w:rPr>
        <w:t>Data Protection Act 1998</w:t>
      </w:r>
      <w:r w:rsidRPr="00AB72C8">
        <w:rPr>
          <w:lang w:eastAsia="en-GB"/>
        </w:rPr>
        <w:t xml:space="preserve">, </w:t>
      </w:r>
      <w:hyperlink r:id="rId74" w:anchor="pt6-pb2-l1g55" w:history="1">
        <w:r w:rsidRPr="00AB72C8">
          <w:rPr>
            <w:lang w:eastAsia="en-GB"/>
          </w:rPr>
          <w:t>Part VI (Miscellaneous and General), Section 55</w:t>
        </w:r>
      </w:hyperlink>
      <w:r w:rsidRPr="00AB72C8">
        <w:rPr>
          <w:lang w:eastAsia="en-GB"/>
        </w:rPr>
        <w:t>, Office of Public Sector Information, accessed 14 September 2007</w:t>
      </w:r>
    </w:p>
    <w:p w:rsidR="00C97A2E" w:rsidRPr="00AB72C8" w:rsidRDefault="00C97A2E" w:rsidP="00C97A2E">
      <w:pPr>
        <w:numPr>
          <w:ilvl w:val="1"/>
          <w:numId w:val="10"/>
        </w:numPr>
        <w:spacing w:before="100" w:beforeAutospacing="1" w:after="100" w:afterAutospacing="1"/>
        <w:ind w:left="720"/>
        <w:rPr>
          <w:lang w:eastAsia="en-GB"/>
        </w:rPr>
      </w:pPr>
      <w:hyperlink r:id="rId75" w:anchor="cite_ref-12" w:history="1">
        <w:r w:rsidRPr="00AB72C8">
          <w:rPr>
            <w:b/>
            <w:bCs/>
            <w:lang w:eastAsia="en-GB"/>
          </w:rPr>
          <w:t>^</w:t>
        </w:r>
      </w:hyperlink>
      <w:r w:rsidRPr="00AB72C8">
        <w:rPr>
          <w:lang w:eastAsia="en-GB"/>
        </w:rPr>
        <w:t xml:space="preserve"> </w:t>
      </w:r>
      <w:r w:rsidRPr="00AB72C8">
        <w:rPr>
          <w:i/>
          <w:iCs/>
          <w:lang w:eastAsia="en-GB"/>
        </w:rPr>
        <w:t>Data Protection Act 1998</w:t>
      </w:r>
      <w:r w:rsidRPr="00AB72C8">
        <w:rPr>
          <w:lang w:eastAsia="en-GB"/>
        </w:rPr>
        <w:t xml:space="preserve">, </w:t>
      </w:r>
      <w:hyperlink r:id="rId76" w:anchor="pt6-pb3-l1g56" w:history="1">
        <w:r w:rsidRPr="00AB72C8">
          <w:rPr>
            <w:lang w:eastAsia="en-GB"/>
          </w:rPr>
          <w:t>Part VI (Miscellaneous and General), Section 56</w:t>
        </w:r>
      </w:hyperlink>
      <w:r w:rsidRPr="00AB72C8">
        <w:rPr>
          <w:lang w:eastAsia="en-GB"/>
        </w:rPr>
        <w:t>, Office of Public Sector Information, accessed 14 September 2007</w:t>
      </w:r>
    </w:p>
    <w:p w:rsidR="00C97A2E" w:rsidRPr="00AB72C8" w:rsidRDefault="00C97A2E" w:rsidP="00C97A2E">
      <w:pPr>
        <w:numPr>
          <w:ilvl w:val="1"/>
          <w:numId w:val="10"/>
        </w:numPr>
        <w:spacing w:before="100" w:beforeAutospacing="1" w:after="100" w:afterAutospacing="1"/>
        <w:ind w:left="720"/>
        <w:rPr>
          <w:lang w:eastAsia="en-GB"/>
        </w:rPr>
      </w:pPr>
      <w:hyperlink r:id="rId77" w:anchor="cite_ref-13" w:history="1">
        <w:r w:rsidRPr="00AB72C8">
          <w:rPr>
            <w:b/>
            <w:bCs/>
            <w:lang w:eastAsia="en-GB"/>
          </w:rPr>
          <w:t>^</w:t>
        </w:r>
      </w:hyperlink>
      <w:r w:rsidRPr="00AB72C8">
        <w:rPr>
          <w:lang w:eastAsia="en-GB"/>
        </w:rPr>
        <w:t xml:space="preserve"> Statutory Instrument 2008 No. 1592 (C. 71), </w:t>
      </w:r>
      <w:hyperlink r:id="rId78" w:history="1">
        <w:r w:rsidRPr="00AB72C8">
          <w:rPr>
            <w:lang w:eastAsia="en-GB"/>
          </w:rPr>
          <w:t>legislation.gov.uk</w:t>
        </w:r>
      </w:hyperlink>
    </w:p>
    <w:p w:rsidR="00C97A2E" w:rsidRPr="00AB72C8" w:rsidRDefault="00C97A2E" w:rsidP="00C97A2E">
      <w:pPr>
        <w:numPr>
          <w:ilvl w:val="1"/>
          <w:numId w:val="10"/>
        </w:numPr>
        <w:spacing w:before="100" w:beforeAutospacing="1" w:after="100" w:afterAutospacing="1"/>
        <w:ind w:left="720"/>
        <w:rPr>
          <w:lang w:eastAsia="en-GB"/>
        </w:rPr>
      </w:pPr>
      <w:hyperlink r:id="rId79" w:anchor="cite_ref-14" w:history="1">
        <w:r w:rsidRPr="00AB72C8">
          <w:rPr>
            <w:b/>
            <w:bCs/>
            <w:lang w:eastAsia="en-GB"/>
          </w:rPr>
          <w:t>^</w:t>
        </w:r>
      </w:hyperlink>
      <w:r w:rsidRPr="00AB72C8">
        <w:rPr>
          <w:lang w:eastAsia="en-GB"/>
        </w:rPr>
        <w:t xml:space="preserve"> Bainbridge, D: "Introduction to Computer Law - Fifth Edition", page 430. Pearson Education Limited, 2005</w:t>
      </w:r>
    </w:p>
    <w:p w:rsidR="00C97A2E" w:rsidRPr="00AB72C8" w:rsidRDefault="00C97A2E" w:rsidP="00C97A2E">
      <w:pPr>
        <w:numPr>
          <w:ilvl w:val="1"/>
          <w:numId w:val="10"/>
        </w:numPr>
        <w:spacing w:before="100" w:beforeAutospacing="1" w:after="100" w:afterAutospacing="1"/>
        <w:ind w:left="720"/>
        <w:rPr>
          <w:lang w:eastAsia="en-GB"/>
        </w:rPr>
      </w:pPr>
      <w:hyperlink r:id="rId80" w:anchor="cite_ref-15" w:history="1">
        <w:r w:rsidRPr="00AB72C8">
          <w:rPr>
            <w:b/>
            <w:bCs/>
            <w:lang w:eastAsia="en-GB"/>
          </w:rPr>
          <w:t>^</w:t>
        </w:r>
      </w:hyperlink>
      <w:r w:rsidRPr="00AB72C8">
        <w:rPr>
          <w:lang w:eastAsia="en-GB"/>
        </w:rPr>
        <w:t xml:space="preserve"> </w:t>
      </w:r>
      <w:hyperlink r:id="rId81" w:history="1">
        <w:r w:rsidRPr="00AB72C8">
          <w:rPr>
            <w:i/>
            <w:iCs/>
            <w:lang w:eastAsia="en-GB"/>
          </w:rPr>
          <w:t>Data Protection myths and realities</w:t>
        </w:r>
      </w:hyperlink>
      <w:r w:rsidRPr="00AB72C8">
        <w:rPr>
          <w:lang w:eastAsia="en-GB"/>
        </w:rPr>
        <w:t xml:space="preserve">, </w:t>
      </w:r>
      <w:hyperlink r:id="rId82" w:tooltip="Information Commissioner's Office" w:history="1">
        <w:r w:rsidRPr="00AB72C8">
          <w:rPr>
            <w:lang w:eastAsia="en-GB"/>
          </w:rPr>
          <w:t>Information Commissioner's Office</w:t>
        </w:r>
      </w:hyperlink>
      <w:r w:rsidRPr="00AB72C8">
        <w:rPr>
          <w:lang w:eastAsia="en-GB"/>
        </w:rPr>
        <w:t>, accessed 30 August 2008</w:t>
      </w:r>
    </w:p>
    <w:p w:rsidR="00C97A2E" w:rsidRPr="00AB72C8" w:rsidRDefault="00C97A2E" w:rsidP="00C97A2E">
      <w:pPr>
        <w:numPr>
          <w:ilvl w:val="1"/>
          <w:numId w:val="10"/>
        </w:numPr>
        <w:spacing w:before="100" w:beforeAutospacing="1" w:after="100" w:afterAutospacing="1"/>
        <w:ind w:left="720"/>
        <w:rPr>
          <w:lang w:eastAsia="en-GB"/>
        </w:rPr>
      </w:pPr>
      <w:hyperlink r:id="rId83" w:anchor="cite_ref-16" w:history="1">
        <w:r w:rsidRPr="00AB72C8">
          <w:rPr>
            <w:b/>
            <w:bCs/>
            <w:lang w:eastAsia="en-GB"/>
          </w:rPr>
          <w:t>^</w:t>
        </w:r>
      </w:hyperlink>
      <w:r w:rsidRPr="00AB72C8">
        <w:rPr>
          <w:lang w:eastAsia="en-GB"/>
        </w:rPr>
        <w:t xml:space="preserve"> </w:t>
      </w:r>
      <w:hyperlink r:id="rId84" w:history="1">
        <w:r w:rsidRPr="00AB72C8">
          <w:rPr>
            <w:lang w:eastAsia="en-GB"/>
          </w:rPr>
          <w:t>"Data Protection Act 1998"</w:t>
        </w:r>
      </w:hyperlink>
      <w:r w:rsidRPr="00AB72C8">
        <w:rPr>
          <w:lang w:eastAsia="en-GB"/>
        </w:rPr>
        <w:t xml:space="preserve">. </w:t>
      </w:r>
      <w:hyperlink r:id="rId85" w:tooltip="UK Statute Law Database" w:history="1">
        <w:r w:rsidRPr="00AB72C8">
          <w:rPr>
            <w:i/>
            <w:iCs/>
            <w:lang w:eastAsia="en-GB"/>
          </w:rPr>
          <w:t>UK Statute Law Database</w:t>
        </w:r>
      </w:hyperlink>
      <w:r w:rsidRPr="00AB72C8">
        <w:rPr>
          <w:lang w:eastAsia="en-GB"/>
        </w:rPr>
        <w:t>. Retrieved 20 August 2012.</w:t>
      </w:r>
    </w:p>
    <w:p w:rsidR="00C97A2E" w:rsidRPr="00AB72C8" w:rsidRDefault="00C97A2E" w:rsidP="00C97A2E">
      <w:pPr>
        <w:numPr>
          <w:ilvl w:val="1"/>
          <w:numId w:val="10"/>
        </w:numPr>
        <w:spacing w:before="100" w:beforeAutospacing="1" w:after="100" w:afterAutospacing="1"/>
        <w:ind w:left="720"/>
        <w:rPr>
          <w:lang w:eastAsia="en-GB"/>
        </w:rPr>
      </w:pPr>
      <w:hyperlink r:id="rId86" w:anchor="cite_ref-17" w:history="1">
        <w:r w:rsidRPr="00AB72C8">
          <w:rPr>
            <w:b/>
            <w:bCs/>
            <w:lang w:eastAsia="en-GB"/>
          </w:rPr>
          <w:t>^</w:t>
        </w:r>
      </w:hyperlink>
      <w:r w:rsidRPr="00AB72C8">
        <w:rPr>
          <w:lang w:eastAsia="en-GB"/>
        </w:rPr>
        <w:t xml:space="preserve"> </w:t>
      </w:r>
      <w:hyperlink r:id="rId87" w:history="1">
        <w:r w:rsidRPr="00AB72C8">
          <w:rPr>
            <w:lang w:eastAsia="en-GB"/>
          </w:rPr>
          <w:t>"Guide to Data Protection - Data Protection Act 1998 - ICO"</w:t>
        </w:r>
      </w:hyperlink>
      <w:r w:rsidRPr="00AB72C8">
        <w:rPr>
          <w:lang w:eastAsia="en-GB"/>
        </w:rPr>
        <w:t xml:space="preserve">. </w:t>
      </w:r>
      <w:hyperlink r:id="rId88" w:tooltip="Information Commissioner's Office" w:history="1">
        <w:r w:rsidRPr="00AB72C8">
          <w:rPr>
            <w:lang w:eastAsia="en-GB"/>
          </w:rPr>
          <w:t>Information Commissioner's Office</w:t>
        </w:r>
      </w:hyperlink>
      <w:r w:rsidRPr="00AB72C8">
        <w:rPr>
          <w:lang w:eastAsia="en-GB"/>
        </w:rPr>
        <w:t>. Retrieved 20 August 2012.</w:t>
      </w:r>
    </w:p>
    <w:p w:rsidR="00C97A2E" w:rsidRPr="00AB72C8" w:rsidRDefault="00C97A2E" w:rsidP="00C97A2E">
      <w:pPr>
        <w:numPr>
          <w:ilvl w:val="1"/>
          <w:numId w:val="10"/>
        </w:numPr>
        <w:spacing w:before="100" w:beforeAutospacing="1" w:after="100" w:afterAutospacing="1"/>
        <w:ind w:left="720"/>
        <w:rPr>
          <w:lang w:eastAsia="en-GB"/>
        </w:rPr>
      </w:pPr>
      <w:hyperlink r:id="rId89" w:anchor="cite_ref-18" w:history="1">
        <w:r w:rsidRPr="00AB72C8">
          <w:rPr>
            <w:b/>
            <w:bCs/>
            <w:lang w:eastAsia="en-GB"/>
          </w:rPr>
          <w:t>^</w:t>
        </w:r>
      </w:hyperlink>
      <w:r w:rsidRPr="00AB72C8">
        <w:rPr>
          <w:lang w:eastAsia="en-GB"/>
        </w:rPr>
        <w:t xml:space="preserve"> </w:t>
      </w:r>
      <w:r w:rsidRPr="00AB72C8">
        <w:rPr>
          <w:i/>
          <w:iCs/>
          <w:lang w:eastAsia="en-GB"/>
        </w:rPr>
        <w:t>Guidance - The Data Protection Act</w:t>
      </w:r>
      <w:r w:rsidRPr="00AB72C8">
        <w:rPr>
          <w:lang w:eastAsia="en-GB"/>
        </w:rPr>
        <w:t xml:space="preserve">, </w:t>
      </w:r>
      <w:hyperlink r:id="rId90" w:history="1">
        <w:r w:rsidRPr="00AB72C8">
          <w:rPr>
            <w:lang w:eastAsia="en-GB"/>
          </w:rPr>
          <w:t>Page of Assorted Guidance</w:t>
        </w:r>
      </w:hyperlink>
      <w:r w:rsidRPr="00AB72C8">
        <w:rPr>
          <w:lang w:eastAsia="en-GB"/>
        </w:rPr>
        <w:t xml:space="preserve">, </w:t>
      </w:r>
      <w:hyperlink r:id="rId91" w:tooltip="Information Commissioner's Office" w:history="1">
        <w:r w:rsidRPr="00AB72C8">
          <w:rPr>
            <w:lang w:eastAsia="en-GB"/>
          </w:rPr>
          <w:t>Information Commissioner's Office</w:t>
        </w:r>
      </w:hyperlink>
      <w:r w:rsidRPr="00AB72C8">
        <w:rPr>
          <w:lang w:eastAsia="en-GB"/>
        </w:rPr>
        <w:t>, accessed 20 October 2007</w:t>
      </w:r>
    </w:p>
    <w:p w:rsidR="00C97A2E" w:rsidRPr="00AB72C8" w:rsidRDefault="00C97A2E" w:rsidP="00C97A2E"/>
    <w:p w:rsidR="00260497" w:rsidRDefault="00260497"/>
    <w:sectPr w:rsidR="00260497" w:rsidSect="00E65CF1">
      <w:headerReference w:type="default" r:id="rId92"/>
      <w:footerReference w:type="default" r:id="rId93"/>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6B9F" w:rsidRDefault="00AA6B9F" w:rsidP="00E65CF1">
      <w:r>
        <w:separator/>
      </w:r>
    </w:p>
  </w:endnote>
  <w:endnote w:type="continuationSeparator" w:id="1">
    <w:p w:rsidR="00AA6B9F" w:rsidRDefault="00AA6B9F" w:rsidP="00E65CF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2A6EB9">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D908E3">
      <w:rPr>
        <w:sz w:val="20"/>
        <w:szCs w:val="20"/>
      </w:rPr>
      <w:t>Dr Nik Whitehead 2012</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2A00F5">
      <w:rPr>
        <w:noProof/>
        <w:sz w:val="20"/>
        <w:szCs w:val="20"/>
      </w:rPr>
      <w:t>6</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6B9F" w:rsidRDefault="00AA6B9F" w:rsidP="00E65CF1">
      <w:r>
        <w:separator/>
      </w:r>
    </w:p>
  </w:footnote>
  <w:footnote w:type="continuationSeparator" w:id="1">
    <w:p w:rsidR="00AA6B9F" w:rsidRDefault="00AA6B9F"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2A6EB9">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D908E3">
      <w:rPr>
        <w:noProof/>
        <w:sz w:val="20"/>
        <w:szCs w:val="18"/>
        <w:lang w:eastAsia="en-GB"/>
      </w:rPr>
      <w:t>Research &amp; Development Methods</w:t>
    </w:r>
    <w:r w:rsidR="00E65CF1" w:rsidRPr="00E65CF1">
      <w:rPr>
        <w:sz w:val="20"/>
        <w:szCs w:val="18"/>
      </w:rPr>
      <w:t xml:space="preserve"> </w:t>
    </w:r>
    <w:r w:rsidR="00E65CF1">
      <w:rPr>
        <w:sz w:val="20"/>
        <w:szCs w:val="18"/>
      </w:rPr>
      <w:tab/>
    </w:r>
    <w:r w:rsidR="00E65CF1">
      <w:rPr>
        <w:sz w:val="20"/>
        <w:szCs w:val="18"/>
      </w:rPr>
      <w:tab/>
      <w:t xml:space="preserve">Tutorial </w:t>
    </w:r>
    <w:r w:rsidR="00D908E3">
      <w:rPr>
        <w:sz w:val="20"/>
        <w:szCs w:val="18"/>
      </w:rPr>
      <w:t>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A135C"/>
    <w:multiLevelType w:val="multilevel"/>
    <w:tmpl w:val="A2C031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E142E7B"/>
    <w:multiLevelType w:val="multilevel"/>
    <w:tmpl w:val="A032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EE33C9"/>
    <w:multiLevelType w:val="multilevel"/>
    <w:tmpl w:val="AF7E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AAB21F9"/>
    <w:multiLevelType w:val="multilevel"/>
    <w:tmpl w:val="FDFC2F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380605"/>
    <w:multiLevelType w:val="multilevel"/>
    <w:tmpl w:val="32C6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D43E5F"/>
    <w:multiLevelType w:val="hybridMultilevel"/>
    <w:tmpl w:val="19041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3AA1C4D"/>
    <w:multiLevelType w:val="multilevel"/>
    <w:tmpl w:val="B9BAB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5633744"/>
    <w:multiLevelType w:val="multilevel"/>
    <w:tmpl w:val="BB6A7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6E0608B"/>
    <w:multiLevelType w:val="singleLevel"/>
    <w:tmpl w:val="0809000F"/>
    <w:lvl w:ilvl="0">
      <w:start w:val="1"/>
      <w:numFmt w:val="decimal"/>
      <w:lvlText w:val="%1."/>
      <w:lvlJc w:val="left"/>
      <w:pPr>
        <w:tabs>
          <w:tab w:val="num" w:pos="360"/>
        </w:tabs>
        <w:ind w:left="360" w:hanging="360"/>
      </w:pPr>
    </w:lvl>
  </w:abstractNum>
  <w:abstractNum w:abstractNumId="9">
    <w:nsid w:val="6DAA633E"/>
    <w:multiLevelType w:val="multilevel"/>
    <w:tmpl w:val="1610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9"/>
  </w:num>
  <w:num w:numId="4">
    <w:abstractNumId w:val="4"/>
  </w:num>
  <w:num w:numId="5">
    <w:abstractNumId w:val="0"/>
  </w:num>
  <w:num w:numId="6">
    <w:abstractNumId w:val="6"/>
  </w:num>
  <w:num w:numId="7">
    <w:abstractNumId w:val="2"/>
  </w:num>
  <w:num w:numId="8">
    <w:abstractNumId w:val="7"/>
  </w:num>
  <w:num w:numId="9">
    <w:abstractNumId w:val="1"/>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9218"/>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105830"/>
    <w:rsid w:val="00131438"/>
    <w:rsid w:val="00260497"/>
    <w:rsid w:val="002A00F5"/>
    <w:rsid w:val="002A6EB9"/>
    <w:rsid w:val="00505F15"/>
    <w:rsid w:val="00544B08"/>
    <w:rsid w:val="005977D0"/>
    <w:rsid w:val="006A19F4"/>
    <w:rsid w:val="008407D8"/>
    <w:rsid w:val="0088477D"/>
    <w:rsid w:val="00A25EAE"/>
    <w:rsid w:val="00A57975"/>
    <w:rsid w:val="00AA6B9F"/>
    <w:rsid w:val="00C82870"/>
    <w:rsid w:val="00C97A2E"/>
    <w:rsid w:val="00D908E3"/>
    <w:rsid w:val="00DC2E99"/>
    <w:rsid w:val="00DF3735"/>
    <w:rsid w:val="00E65CF1"/>
    <w:rsid w:val="00EA54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505F1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en.wikipedia.org/wiki/Data_Protection_%28Jersey%29_Law_2005" TargetMode="External"/><Relationship Id="rId18" Type="http://schemas.openxmlformats.org/officeDocument/2006/relationships/hyperlink" Target="http://en.wikipedia.org/wiki/Information_Commissioner%27s_Office" TargetMode="External"/><Relationship Id="rId26" Type="http://schemas.openxmlformats.org/officeDocument/2006/relationships/hyperlink" Target="http://en.wikipedia.org/wiki/Direct_marketing" TargetMode="External"/><Relationship Id="rId39" Type="http://schemas.openxmlformats.org/officeDocument/2006/relationships/hyperlink" Target="http://en.wikipedia.org/wiki/Data_Protection_Act_1998" TargetMode="External"/><Relationship Id="rId21" Type="http://schemas.openxmlformats.org/officeDocument/2006/relationships/hyperlink" Target="http://en.wikipedia.org/wiki/Data_Protection_Act_1998" TargetMode="External"/><Relationship Id="rId34" Type="http://schemas.openxmlformats.org/officeDocument/2006/relationships/hyperlink" Target="http://en.wikipedia.org/wiki/Data_Protection_Act_1998" TargetMode="External"/><Relationship Id="rId42" Type="http://schemas.openxmlformats.org/officeDocument/2006/relationships/hyperlink" Target="http://en.wikipedia.org/wiki/Closed-circuit_television" TargetMode="External"/><Relationship Id="rId47" Type="http://schemas.openxmlformats.org/officeDocument/2006/relationships/hyperlink" Target="http://en.wikipedia.org/wiki/Data_Protection_Act_1998" TargetMode="External"/><Relationship Id="rId50" Type="http://schemas.openxmlformats.org/officeDocument/2006/relationships/hyperlink" Target="http://en.wikipedia.org/wiki/Office_of_Public_Sector_Information" TargetMode="External"/><Relationship Id="rId55" Type="http://schemas.openxmlformats.org/officeDocument/2006/relationships/hyperlink" Target="http://en.wikipedia.org/wiki/Pinsent_Masons" TargetMode="External"/><Relationship Id="rId63" Type="http://schemas.openxmlformats.org/officeDocument/2006/relationships/hyperlink" Target="http://en.wikipedia.org/wiki/Data_Protection_Act_1998" TargetMode="External"/><Relationship Id="rId68" Type="http://schemas.openxmlformats.org/officeDocument/2006/relationships/hyperlink" Target="http://www.ico.gov.uk/for_organisations/data_protection/the_guide/principle_6.aspx" TargetMode="External"/><Relationship Id="rId76" Type="http://schemas.openxmlformats.org/officeDocument/2006/relationships/hyperlink" Target="http://www.opsi.gov.uk/ACTS/acts1998/ukpga_19980029_en_7" TargetMode="External"/><Relationship Id="rId84" Type="http://schemas.openxmlformats.org/officeDocument/2006/relationships/hyperlink" Target="http://www.legislation.gov.uk/ukpga/1998/29/contents" TargetMode="External"/><Relationship Id="rId89" Type="http://schemas.openxmlformats.org/officeDocument/2006/relationships/hyperlink" Target="http://en.wikipedia.org/wiki/Data_Protection_Act_1998" TargetMode="External"/><Relationship Id="rId7" Type="http://schemas.openxmlformats.org/officeDocument/2006/relationships/hyperlink" Target="http://en.wikipedia.org/wiki/Data_protection" TargetMode="External"/><Relationship Id="rId71" Type="http://schemas.openxmlformats.org/officeDocument/2006/relationships/hyperlink" Target="http://en.wikipedia.org/wiki/Data_Protection_Act_1998" TargetMode="External"/><Relationship Id="rId92"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en.wikipedia.org/wiki/European_Economic_Area" TargetMode="External"/><Relationship Id="rId29" Type="http://schemas.openxmlformats.org/officeDocument/2006/relationships/hyperlink" Target="http://en.wikipedia.org/wiki/European_Economic_Area" TargetMode="External"/><Relationship Id="rId11" Type="http://schemas.openxmlformats.org/officeDocument/2006/relationships/hyperlink" Target="http://en.wikipedia.org/wiki/Data_Protection_Act_1984" TargetMode="External"/><Relationship Id="rId24" Type="http://schemas.openxmlformats.org/officeDocument/2006/relationships/hyperlink" Target="http://en.wikipedia.org/wiki/Data_Protection_Act_1998" TargetMode="External"/><Relationship Id="rId32" Type="http://schemas.openxmlformats.org/officeDocument/2006/relationships/hyperlink" Target="http://en.wikipedia.org/wiki/Register_of_data_controllers" TargetMode="External"/><Relationship Id="rId37" Type="http://schemas.openxmlformats.org/officeDocument/2006/relationships/hyperlink" Target="http://en.wikipedia.org/wiki/Data_Protection_Act_1998" TargetMode="External"/><Relationship Id="rId40" Type="http://schemas.openxmlformats.org/officeDocument/2006/relationships/hyperlink" Target="http://en.wikipedia.org/wiki/Data_Protection_Act_1998" TargetMode="External"/><Relationship Id="rId45" Type="http://schemas.openxmlformats.org/officeDocument/2006/relationships/hyperlink" Target="http://en.wikipedia.org/wiki/Data_Protection_Act_1998" TargetMode="External"/><Relationship Id="rId53" Type="http://schemas.openxmlformats.org/officeDocument/2006/relationships/hyperlink" Target="http://en.wikipedia.org/wiki/Data_Protection_Act_1998" TargetMode="External"/><Relationship Id="rId58" Type="http://schemas.openxmlformats.org/officeDocument/2006/relationships/hyperlink" Target="http://en.wikipedia.org/wiki/Data_Protection_Act_1998" TargetMode="External"/><Relationship Id="rId66" Type="http://schemas.openxmlformats.org/officeDocument/2006/relationships/hyperlink" Target="http://www.legislation.gov.uk/ukpga/1998/29/section/11" TargetMode="External"/><Relationship Id="rId74" Type="http://schemas.openxmlformats.org/officeDocument/2006/relationships/hyperlink" Target="http://www.opsi.gov.uk/ACTS/acts1998/ukpga_19980029_en_7" TargetMode="External"/><Relationship Id="rId79" Type="http://schemas.openxmlformats.org/officeDocument/2006/relationships/hyperlink" Target="http://en.wikipedia.org/wiki/Data_Protection_Act_1998" TargetMode="External"/><Relationship Id="rId87" Type="http://schemas.openxmlformats.org/officeDocument/2006/relationships/hyperlink" Target="http://www.ico.gov.uk/for_organisations/data_protection/the_guide" TargetMode="External"/><Relationship Id="rId5" Type="http://schemas.openxmlformats.org/officeDocument/2006/relationships/footnotes" Target="footnotes.xml"/><Relationship Id="rId61" Type="http://schemas.openxmlformats.org/officeDocument/2006/relationships/hyperlink" Target="http://www.ico.gov.uk/Global/faqs/data_protection_for_the_public.aspx" TargetMode="External"/><Relationship Id="rId82" Type="http://schemas.openxmlformats.org/officeDocument/2006/relationships/hyperlink" Target="http://en.wikipedia.org/wiki/Information_Commissioner%27s_Office" TargetMode="External"/><Relationship Id="rId90" Type="http://schemas.openxmlformats.org/officeDocument/2006/relationships/hyperlink" Target="http://www.ico.gov.uk/what_we_cover/data_protection/guidance.aspx" TargetMode="External"/><Relationship Id="rId95" Type="http://schemas.openxmlformats.org/officeDocument/2006/relationships/theme" Target="theme/theme1.xml"/><Relationship Id="rId19" Type="http://schemas.openxmlformats.org/officeDocument/2006/relationships/hyperlink" Target="http://en.wikipedia.org/wiki/Freedom_of_Information_Act_2000" TargetMode="External"/><Relationship Id="rId14" Type="http://schemas.openxmlformats.org/officeDocument/2006/relationships/hyperlink" Target="http://en.wikipedia.org/wiki/Data_Protection_Act_1998" TargetMode="External"/><Relationship Id="rId22" Type="http://schemas.openxmlformats.org/officeDocument/2006/relationships/hyperlink" Target="http://en.wikipedia.org/wiki/Data_Protection_Act_1998" TargetMode="External"/><Relationship Id="rId27" Type="http://schemas.openxmlformats.org/officeDocument/2006/relationships/hyperlink" Target="http://en.wikipedia.org/wiki/Data_Protection_Act_1998" TargetMode="External"/><Relationship Id="rId30" Type="http://schemas.openxmlformats.org/officeDocument/2006/relationships/hyperlink" Target="http://en.wikipedia.org/wiki/Data_Protection_Act_1998" TargetMode="External"/><Relationship Id="rId35" Type="http://schemas.openxmlformats.org/officeDocument/2006/relationships/hyperlink" Target="http://en.wikipedia.org/wiki/Police_caution" TargetMode="External"/><Relationship Id="rId43" Type="http://schemas.openxmlformats.org/officeDocument/2006/relationships/hyperlink" Target="http://en.wikipedia.org/wiki/Information_Commissioner%27s_Office" TargetMode="External"/><Relationship Id="rId48" Type="http://schemas.openxmlformats.org/officeDocument/2006/relationships/hyperlink" Target="http://en.wikipedia.org/wiki/Data_Protection_Act_1998" TargetMode="External"/><Relationship Id="rId56" Type="http://schemas.openxmlformats.org/officeDocument/2006/relationships/hyperlink" Target="http://en.wikipedia.org/wiki/Data_Protection_Act_1998" TargetMode="External"/><Relationship Id="rId64" Type="http://schemas.openxmlformats.org/officeDocument/2006/relationships/hyperlink" Target="http://www.legislation.gov.uk/ukpga/1998/29/section/10" TargetMode="External"/><Relationship Id="rId69" Type="http://schemas.openxmlformats.org/officeDocument/2006/relationships/hyperlink" Target="http://en.wikipedia.org/wiki/Data_Protection_Act_1998" TargetMode="External"/><Relationship Id="rId77" Type="http://schemas.openxmlformats.org/officeDocument/2006/relationships/hyperlink" Target="http://en.wikipedia.org/wiki/Data_Protection_Act_1998" TargetMode="External"/><Relationship Id="rId8" Type="http://schemas.openxmlformats.org/officeDocument/2006/relationships/hyperlink" Target="http://en.wikipedia.org/wiki/Privacy" TargetMode="External"/><Relationship Id="rId51" Type="http://schemas.openxmlformats.org/officeDocument/2006/relationships/hyperlink" Target="http://en.wikipedia.org/wiki/Data_Protection_Act_1998" TargetMode="External"/><Relationship Id="rId72" Type="http://schemas.openxmlformats.org/officeDocument/2006/relationships/hyperlink" Target="http://www.opsi.gov.uk/ACTS/acts1998/ukpga_19980029_en_4" TargetMode="External"/><Relationship Id="rId80" Type="http://schemas.openxmlformats.org/officeDocument/2006/relationships/hyperlink" Target="http://en.wikipedia.org/wiki/Data_Protection_Act_1998" TargetMode="External"/><Relationship Id="rId85" Type="http://schemas.openxmlformats.org/officeDocument/2006/relationships/hyperlink" Target="http://en.wikipedia.org/wiki/UK_Statute_Law_Database" TargetMode="External"/><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en.wikipedia.org/wiki/Privacy_and_Electronic_Communications_%28EC_Directive%29_Regulations_2003" TargetMode="External"/><Relationship Id="rId17" Type="http://schemas.openxmlformats.org/officeDocument/2006/relationships/hyperlink" Target="http://en.wikipedia.org/wiki/Register_of_data_controllers" TargetMode="External"/><Relationship Id="rId25" Type="http://schemas.openxmlformats.org/officeDocument/2006/relationships/hyperlink" Target="http://en.wikipedia.org/wiki/Data_Protection_Act_1998" TargetMode="External"/><Relationship Id="rId33" Type="http://schemas.openxmlformats.org/officeDocument/2006/relationships/hyperlink" Target="http://en.wikipedia.org/wiki/Data_Protection_Act_1998" TargetMode="External"/><Relationship Id="rId38" Type="http://schemas.openxmlformats.org/officeDocument/2006/relationships/hyperlink" Target="http://en.wikipedia.org/wiki/Data_Protection_Act_1998" TargetMode="External"/><Relationship Id="rId46" Type="http://schemas.openxmlformats.org/officeDocument/2006/relationships/hyperlink" Target="http://en.wikipedia.org/wiki/Data_Protection_Act_1998" TargetMode="External"/><Relationship Id="rId59" Type="http://schemas.openxmlformats.org/officeDocument/2006/relationships/hyperlink" Target="http://www.ico.gov.uk/Global/faqs/data_protection_for_the_public.aspx" TargetMode="External"/><Relationship Id="rId67" Type="http://schemas.openxmlformats.org/officeDocument/2006/relationships/hyperlink" Target="http://en.wikipedia.org/wiki/Data_Protection_Act_1998" TargetMode="External"/><Relationship Id="rId20" Type="http://schemas.openxmlformats.org/officeDocument/2006/relationships/hyperlink" Target="http://en.wikipedia.org/wiki/Data_Protection_Act_1998" TargetMode="External"/><Relationship Id="rId41" Type="http://schemas.openxmlformats.org/officeDocument/2006/relationships/hyperlink" Target="http://en.wikipedia.org/wiki/Data_Protection_Act_1998" TargetMode="External"/><Relationship Id="rId54" Type="http://schemas.openxmlformats.org/officeDocument/2006/relationships/hyperlink" Target="http://www.out-law.com/page-8427" TargetMode="External"/><Relationship Id="rId62" Type="http://schemas.openxmlformats.org/officeDocument/2006/relationships/hyperlink" Target="http://en.wikipedia.org/wiki/Information_Commissioner%27s_Office" TargetMode="External"/><Relationship Id="rId70" Type="http://schemas.openxmlformats.org/officeDocument/2006/relationships/hyperlink" Target="http://www.opsi.gov.uk/ACTS/acts1998/ukpga_19980029_en_10" TargetMode="External"/><Relationship Id="rId75" Type="http://schemas.openxmlformats.org/officeDocument/2006/relationships/hyperlink" Target="http://en.wikipedia.org/wiki/Data_Protection_Act_1998" TargetMode="External"/><Relationship Id="rId83" Type="http://schemas.openxmlformats.org/officeDocument/2006/relationships/hyperlink" Target="http://en.wikipedia.org/wiki/Data_Protection_Act_1998" TargetMode="External"/><Relationship Id="rId88" Type="http://schemas.openxmlformats.org/officeDocument/2006/relationships/hyperlink" Target="http://en.wikipedia.org/wiki/Information_Commissioner%27s_Office" TargetMode="External"/><Relationship Id="rId91" Type="http://schemas.openxmlformats.org/officeDocument/2006/relationships/hyperlink" Target="http://en.wikipedia.org/wiki/Information_Commissioner%27s_Offic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en.wikipedia.org/wiki/Consent" TargetMode="External"/><Relationship Id="rId23" Type="http://schemas.openxmlformats.org/officeDocument/2006/relationships/hyperlink" Target="http://en.wikipedia.org/wiki/Damages" TargetMode="External"/><Relationship Id="rId28" Type="http://schemas.openxmlformats.org/officeDocument/2006/relationships/hyperlink" Target="http://en.wikipedia.org/wiki/Data_Protection_Act_1998" TargetMode="External"/><Relationship Id="rId36" Type="http://schemas.openxmlformats.org/officeDocument/2006/relationships/hyperlink" Target="http://en.wikipedia.org/wiki/Conviction" TargetMode="External"/><Relationship Id="rId49" Type="http://schemas.openxmlformats.org/officeDocument/2006/relationships/hyperlink" Target="http://www.opsi.gov.uk/ACTS/acts1998/ukpga_19980029_en_5" TargetMode="External"/><Relationship Id="rId57" Type="http://schemas.openxmlformats.org/officeDocument/2006/relationships/hyperlink" Target="http://www.ico.gov.uk/what_we_cover/data_protection/your_rights.aspx" TargetMode="External"/><Relationship Id="rId10" Type="http://schemas.openxmlformats.org/officeDocument/2006/relationships/hyperlink" Target="http://en.wikipedia.org/wiki/Data_Protection_Act_1998" TargetMode="External"/><Relationship Id="rId31" Type="http://schemas.openxmlformats.org/officeDocument/2006/relationships/hyperlink" Target="http://en.wikipedia.org/wiki/Data_Protection_Act_1998" TargetMode="External"/><Relationship Id="rId44" Type="http://schemas.openxmlformats.org/officeDocument/2006/relationships/hyperlink" Target="http://www.ico.gov.uk" TargetMode="External"/><Relationship Id="rId52" Type="http://schemas.openxmlformats.org/officeDocument/2006/relationships/hyperlink" Target="http://www.mondaq.com/article.asp?articleid=63832" TargetMode="External"/><Relationship Id="rId60" Type="http://schemas.openxmlformats.org/officeDocument/2006/relationships/hyperlink" Target="http://en.wikipedia.org/wiki/Data_Protection_Act_1998" TargetMode="External"/><Relationship Id="rId65" Type="http://schemas.openxmlformats.org/officeDocument/2006/relationships/hyperlink" Target="http://en.wikipedia.org/wiki/Data_Protection_Act_1998" TargetMode="External"/><Relationship Id="rId73" Type="http://schemas.openxmlformats.org/officeDocument/2006/relationships/hyperlink" Target="http://en.wikipedia.org/wiki/Data_Protection_Act_1998" TargetMode="External"/><Relationship Id="rId78" Type="http://schemas.openxmlformats.org/officeDocument/2006/relationships/hyperlink" Target="http://www.legislation.gov.uk/uksi/2008/1592/contents/made" TargetMode="External"/><Relationship Id="rId81" Type="http://schemas.openxmlformats.org/officeDocument/2006/relationships/hyperlink" Target="http://www.ico.gov.uk/upload/documents/library/data_protection/introductory/data_protection_myths_and_realities.pdf" TargetMode="External"/><Relationship Id="rId86" Type="http://schemas.openxmlformats.org/officeDocument/2006/relationships/hyperlink" Target="http://en.wikipedia.org/wiki/Data_Protection_Act_1998"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n.wikipedia.org/wiki/Data_Protection_Dir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6</Pages>
  <Words>3318</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&amp; Rhian</dc:creator>
  <cp:lastModifiedBy>Dr Nik Whitehead</cp:lastModifiedBy>
  <cp:revision>4</cp:revision>
  <dcterms:created xsi:type="dcterms:W3CDTF">2012-10-09T07:56:00Z</dcterms:created>
  <dcterms:modified xsi:type="dcterms:W3CDTF">2012-10-09T08:53:00Z</dcterms:modified>
</cp:coreProperties>
</file>