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F5B2F" w14:textId="77777777" w:rsidR="00977DDC" w:rsidRDefault="00977DDC" w:rsidP="00977DDC">
      <w:pPr>
        <w:rPr>
          <w:rStyle w:val="Strong"/>
        </w:rPr>
      </w:pPr>
    </w:p>
    <w:p w14:paraId="2BD6AB2D" w14:textId="77777777" w:rsidR="00977DDC" w:rsidRPr="00977DDC" w:rsidRDefault="00977DDC" w:rsidP="00977DDC">
      <w:pPr>
        <w:rPr>
          <w:rStyle w:val="Strong"/>
          <w:rFonts w:ascii="Arial" w:hAnsi="Arial" w:cs="Arial"/>
          <w:sz w:val="32"/>
          <w:szCs w:val="32"/>
        </w:rPr>
      </w:pPr>
    </w:p>
    <w:p w14:paraId="13638A05" w14:textId="77777777" w:rsidR="00977DDC" w:rsidRPr="001775E3" w:rsidRDefault="00977DDC" w:rsidP="00977DDC">
      <w:pPr>
        <w:numPr>
          <w:ilvl w:val="0"/>
          <w:numId w:val="2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BA5409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>Student Name</w:t>
      </w:r>
      <w:r w:rsidRPr="00977DDC">
        <w:rPr>
          <w:rFonts w:ascii="Arial" w:eastAsia="+mn-ea" w:hAnsi="Arial" w:cs="Arial"/>
          <w:color w:val="000000"/>
          <w:kern w:val="24"/>
          <w:sz w:val="32"/>
          <w:szCs w:val="32"/>
          <w:lang w:val="en-US" w:eastAsia="en-GB"/>
          <w14:ligatures w14:val="none"/>
        </w:rPr>
        <w:t xml:space="preserve"> –Vasile Nedelcu</w:t>
      </w:r>
    </w:p>
    <w:p w14:paraId="28CF3D63" w14:textId="77777777" w:rsidR="001775E3" w:rsidRPr="00977DDC" w:rsidRDefault="001775E3" w:rsidP="001775E3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54CE50B8" w14:textId="77777777" w:rsidR="00977DDC" w:rsidRPr="00977DDC" w:rsidRDefault="00977DDC" w:rsidP="00977DDC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6CB2AF24" w14:textId="77777777" w:rsidR="00977DDC" w:rsidRPr="00977DDC" w:rsidRDefault="00977DDC" w:rsidP="00977DDC">
      <w:pPr>
        <w:numPr>
          <w:ilvl w:val="0"/>
          <w:numId w:val="2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977DDC">
        <w:rPr>
          <w:rFonts w:ascii="Arial" w:eastAsia="+mn-ea" w:hAnsi="Arial" w:cs="Arial"/>
          <w:color w:val="000000"/>
          <w:kern w:val="24"/>
          <w:sz w:val="32"/>
          <w:szCs w:val="32"/>
          <w:lang w:val="en-US" w:eastAsia="en-GB"/>
          <w14:ligatures w14:val="none"/>
        </w:rPr>
        <w:t xml:space="preserve"> </w:t>
      </w:r>
      <w:r w:rsidRPr="00BA5409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>Student ID</w:t>
      </w:r>
      <w:r w:rsidRPr="00977DDC">
        <w:rPr>
          <w:rFonts w:ascii="Arial" w:eastAsia="+mn-ea" w:hAnsi="Arial" w:cs="Arial"/>
          <w:color w:val="000000"/>
          <w:kern w:val="24"/>
          <w:sz w:val="32"/>
          <w:szCs w:val="32"/>
          <w:lang w:val="en-US" w:eastAsia="en-GB"/>
          <w14:ligatures w14:val="none"/>
        </w:rPr>
        <w:t xml:space="preserve"> -</w:t>
      </w:r>
      <w:r w:rsidRPr="00977DDC">
        <w:rPr>
          <w:rFonts w:ascii="Arial" w:eastAsia="+mn-ea" w:hAnsi="Arial" w:cs="Arial"/>
          <w:color w:val="404040"/>
          <w:kern w:val="24"/>
          <w:sz w:val="32"/>
          <w:szCs w:val="32"/>
          <w:lang w:eastAsia="en-GB"/>
          <w14:ligatures w14:val="none"/>
        </w:rPr>
        <w:t>2241728</w:t>
      </w:r>
    </w:p>
    <w:p w14:paraId="75DD45D0" w14:textId="77777777" w:rsidR="00977DDC" w:rsidRPr="00977DDC" w:rsidRDefault="00977DDC" w:rsidP="00977DDC">
      <w:pPr>
        <w:pStyle w:val="ListParagraph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1EAC03B" w14:textId="77777777" w:rsidR="00977DDC" w:rsidRPr="00977DDC" w:rsidRDefault="00977DDC" w:rsidP="00977DDC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DF5E34E" w14:textId="77777777" w:rsidR="00977DDC" w:rsidRPr="001775E3" w:rsidRDefault="00977DDC" w:rsidP="00977DDC">
      <w:pPr>
        <w:numPr>
          <w:ilvl w:val="0"/>
          <w:numId w:val="2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BA5409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>BMHP6027</w:t>
      </w:r>
      <w:r w:rsidRPr="00977DDC">
        <w:rPr>
          <w:rFonts w:ascii="Arial" w:eastAsia="+mn-ea" w:hAnsi="Arial" w:cs="Arial"/>
          <w:color w:val="000000"/>
          <w:kern w:val="24"/>
          <w:sz w:val="32"/>
          <w:szCs w:val="32"/>
          <w:lang w:val="en-US" w:eastAsia="en-GB"/>
          <w14:ligatures w14:val="none"/>
        </w:rPr>
        <w:t>: Empowering the Older Person</w:t>
      </w:r>
    </w:p>
    <w:p w14:paraId="6B868A23" w14:textId="77777777" w:rsidR="001775E3" w:rsidRDefault="001775E3" w:rsidP="001775E3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5955AE0D" w14:textId="77777777" w:rsidR="001775E3" w:rsidRPr="001775E3" w:rsidRDefault="001775E3" w:rsidP="001775E3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8DE0318" w14:textId="77777777" w:rsidR="001775E3" w:rsidRPr="00977DDC" w:rsidRDefault="001775E3" w:rsidP="001775E3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67054266" w14:textId="77777777" w:rsidR="00977DDC" w:rsidRPr="00977DDC" w:rsidRDefault="00977DDC" w:rsidP="00977DDC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7D1DD81C" w14:textId="77777777" w:rsidR="00977DDC" w:rsidRPr="001775E3" w:rsidRDefault="00977DDC" w:rsidP="00977DDC">
      <w:pPr>
        <w:numPr>
          <w:ilvl w:val="0"/>
          <w:numId w:val="2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BA5409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>Lecturer</w:t>
      </w:r>
      <w:r w:rsidRPr="00977DDC">
        <w:rPr>
          <w:rFonts w:ascii="Arial" w:eastAsia="+mn-ea" w:hAnsi="Arial" w:cs="Arial"/>
          <w:color w:val="000000"/>
          <w:kern w:val="24"/>
          <w:sz w:val="32"/>
          <w:szCs w:val="32"/>
          <w:lang w:val="en-US" w:eastAsia="en-GB"/>
          <w14:ligatures w14:val="none"/>
        </w:rPr>
        <w:t xml:space="preserve">: </w:t>
      </w:r>
      <w:r w:rsidRPr="00977DDC">
        <w:rPr>
          <w:rFonts w:ascii="Arial" w:eastAsia="+mn-ea" w:hAnsi="Arial" w:cs="Arial"/>
          <w:color w:val="404040"/>
          <w:kern w:val="24"/>
          <w:sz w:val="32"/>
          <w:szCs w:val="32"/>
          <w:lang w:eastAsia="en-GB"/>
          <w14:ligatures w14:val="none"/>
        </w:rPr>
        <w:t>Zakiyyah Ahmed</w:t>
      </w:r>
    </w:p>
    <w:p w14:paraId="0A8C7BC6" w14:textId="77777777" w:rsidR="001775E3" w:rsidRDefault="001775E3" w:rsidP="001775E3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08F58F1A" w14:textId="77777777" w:rsidR="001775E3" w:rsidRPr="00977DDC" w:rsidRDefault="001775E3" w:rsidP="001775E3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4C746424" w14:textId="77777777" w:rsidR="00977DDC" w:rsidRPr="00977DDC" w:rsidRDefault="00977DDC" w:rsidP="00977DDC">
      <w:pPr>
        <w:pStyle w:val="ListParagraph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0606C306" w14:textId="5C22E681" w:rsidR="00977DDC" w:rsidRPr="00977DDC" w:rsidRDefault="00977DDC" w:rsidP="00977DDC">
      <w:pPr>
        <w:numPr>
          <w:ilvl w:val="0"/>
          <w:numId w:val="2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977DDC">
        <w:rPr>
          <w:rFonts w:ascii="Arial" w:hAnsi="Arial" w:cs="Arial"/>
          <w:b/>
          <w:bCs/>
          <w:sz w:val="32"/>
          <w:szCs w:val="32"/>
        </w:rPr>
        <w:t xml:space="preserve">Component 2: </w:t>
      </w:r>
      <w:r w:rsidRPr="00977DDC">
        <w:rPr>
          <w:rFonts w:ascii="Arial" w:hAnsi="Arial" w:cs="Arial"/>
          <w:sz w:val="32"/>
          <w:szCs w:val="32"/>
        </w:rPr>
        <w:t xml:space="preserve">Debate </w:t>
      </w:r>
    </w:p>
    <w:p w14:paraId="5576AAA7" w14:textId="77777777" w:rsidR="00977DDC" w:rsidRPr="00977DDC" w:rsidRDefault="00977DDC" w:rsidP="00977DDC">
      <w:pPr>
        <w:rPr>
          <w:rStyle w:val="Strong"/>
          <w:rFonts w:ascii="Arial" w:hAnsi="Arial" w:cs="Arial"/>
          <w:sz w:val="32"/>
          <w:szCs w:val="32"/>
        </w:rPr>
      </w:pPr>
    </w:p>
    <w:p w14:paraId="2528EBDF" w14:textId="77777777" w:rsidR="00977DDC" w:rsidRPr="00977DDC" w:rsidRDefault="00977DDC" w:rsidP="00977DDC">
      <w:pPr>
        <w:rPr>
          <w:rStyle w:val="Strong"/>
          <w:rFonts w:ascii="Arial" w:hAnsi="Arial" w:cs="Arial"/>
          <w:sz w:val="32"/>
          <w:szCs w:val="32"/>
        </w:rPr>
      </w:pPr>
    </w:p>
    <w:p w14:paraId="744C9B06" w14:textId="7BD942D2" w:rsidR="00977DDC" w:rsidRDefault="00977DDC" w:rsidP="00977DDC">
      <w:pPr>
        <w:pStyle w:val="ListParagraph"/>
        <w:numPr>
          <w:ilvl w:val="0"/>
          <w:numId w:val="2"/>
        </w:numPr>
        <w:rPr>
          <w:rStyle w:val="Emphasis"/>
          <w:rFonts w:ascii="Arial" w:hAnsi="Arial" w:cs="Arial"/>
          <w:sz w:val="32"/>
          <w:szCs w:val="32"/>
        </w:rPr>
      </w:pPr>
      <w:r w:rsidRPr="00977DDC">
        <w:rPr>
          <w:rStyle w:val="Strong"/>
          <w:rFonts w:ascii="Arial" w:hAnsi="Arial" w:cs="Arial"/>
          <w:sz w:val="32"/>
          <w:szCs w:val="32"/>
        </w:rPr>
        <w:t>Topic:</w:t>
      </w:r>
      <w:r w:rsidRPr="00977DDC">
        <w:rPr>
          <w:rFonts w:ascii="Arial" w:hAnsi="Arial" w:cs="Arial"/>
          <w:sz w:val="32"/>
          <w:szCs w:val="32"/>
        </w:rPr>
        <w:t xml:space="preserve"> </w:t>
      </w:r>
      <w:r w:rsidRPr="00977DDC">
        <w:rPr>
          <w:rStyle w:val="Emphasis"/>
          <w:rFonts w:ascii="Arial" w:hAnsi="Arial" w:cs="Arial"/>
          <w:sz w:val="32"/>
          <w:szCs w:val="32"/>
        </w:rPr>
        <w:t>Which Setting Better Promotes Empowerment in Older Adults: Domiciliary Care or Residential Care?</w:t>
      </w:r>
    </w:p>
    <w:p w14:paraId="31895136" w14:textId="77777777" w:rsidR="001775E3" w:rsidRPr="001775E3" w:rsidRDefault="001775E3" w:rsidP="001775E3">
      <w:pPr>
        <w:rPr>
          <w:rFonts w:ascii="Arial" w:hAnsi="Arial" w:cs="Arial"/>
          <w:i/>
          <w:iCs/>
          <w:sz w:val="32"/>
          <w:szCs w:val="32"/>
        </w:rPr>
      </w:pPr>
    </w:p>
    <w:p w14:paraId="61861D5B" w14:textId="77777777" w:rsidR="00977DDC" w:rsidRDefault="00977DDC" w:rsidP="00977DDC">
      <w:pPr>
        <w:rPr>
          <w:rFonts w:ascii="Arial" w:hAnsi="Arial" w:cs="Arial"/>
          <w:i/>
          <w:iCs/>
          <w:sz w:val="32"/>
          <w:szCs w:val="32"/>
        </w:rPr>
      </w:pPr>
    </w:p>
    <w:p w14:paraId="1DCED8FE" w14:textId="77777777" w:rsidR="00977DDC" w:rsidRDefault="00977DDC" w:rsidP="00977DDC">
      <w:pPr>
        <w:rPr>
          <w:rFonts w:ascii="Arial" w:hAnsi="Arial" w:cs="Arial"/>
          <w:i/>
          <w:iCs/>
          <w:sz w:val="32"/>
          <w:szCs w:val="32"/>
        </w:rPr>
      </w:pPr>
    </w:p>
    <w:p w14:paraId="4C9F6D13" w14:textId="77777777" w:rsidR="00977DDC" w:rsidRDefault="00977DDC" w:rsidP="00977DDC">
      <w:pPr>
        <w:rPr>
          <w:rFonts w:ascii="Arial" w:hAnsi="Arial" w:cs="Arial"/>
          <w:i/>
          <w:iCs/>
          <w:sz w:val="32"/>
          <w:szCs w:val="32"/>
        </w:rPr>
      </w:pPr>
    </w:p>
    <w:p w14:paraId="738CCE17" w14:textId="77777777" w:rsidR="00977DDC" w:rsidRDefault="00977DDC" w:rsidP="00977DDC">
      <w:pPr>
        <w:rPr>
          <w:rFonts w:ascii="Arial" w:hAnsi="Arial" w:cs="Arial"/>
          <w:i/>
          <w:iCs/>
          <w:sz w:val="32"/>
          <w:szCs w:val="32"/>
        </w:rPr>
      </w:pPr>
    </w:p>
    <w:p w14:paraId="3E9A7F7E" w14:textId="77777777" w:rsidR="00977DDC" w:rsidRDefault="00977DDC" w:rsidP="00977DDC">
      <w:pPr>
        <w:rPr>
          <w:rFonts w:ascii="Arial" w:hAnsi="Arial" w:cs="Arial"/>
          <w:i/>
          <w:iCs/>
          <w:sz w:val="32"/>
          <w:szCs w:val="32"/>
        </w:rPr>
      </w:pPr>
    </w:p>
    <w:p w14:paraId="31A18649" w14:textId="77777777" w:rsidR="001775E3" w:rsidRDefault="001775E3" w:rsidP="00977DDC">
      <w:pPr>
        <w:rPr>
          <w:rFonts w:ascii="Arial" w:hAnsi="Arial" w:cs="Arial"/>
          <w:i/>
          <w:iCs/>
          <w:sz w:val="32"/>
          <w:szCs w:val="32"/>
        </w:rPr>
      </w:pPr>
    </w:p>
    <w:p w14:paraId="051832B5" w14:textId="7A2D84B1" w:rsidR="00977DDC" w:rsidRPr="007B799A" w:rsidRDefault="00977DDC" w:rsidP="00977DDC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7B799A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Reference:</w:t>
      </w:r>
    </w:p>
    <w:p w14:paraId="0144730A" w14:textId="77777777" w:rsidR="00512B3C" w:rsidRPr="00512B3C" w:rsidRDefault="00977DDC" w:rsidP="00512B3C">
      <w:pPr>
        <w:pStyle w:val="NormalWeb"/>
        <w:rPr>
          <w:rFonts w:ascii="Arial" w:hAnsi="Arial" w:cs="Arial"/>
          <w:sz w:val="22"/>
          <w:szCs w:val="22"/>
        </w:rPr>
      </w:pPr>
      <w:r w:rsidRPr="007B799A">
        <w:rPr>
          <w:rFonts w:ascii="Arial" w:hAnsi="Arial" w:cs="Arial"/>
          <w:sz w:val="22"/>
          <w:szCs w:val="22"/>
        </w:rPr>
        <w:t xml:space="preserve">  </w:t>
      </w:r>
      <w:r w:rsidR="00512B3C" w:rsidRPr="00512B3C">
        <w:rPr>
          <w:rFonts w:ascii="Arial" w:hAnsi="Arial" w:cs="Arial"/>
          <w:sz w:val="22"/>
          <w:szCs w:val="22"/>
        </w:rPr>
        <w:t xml:space="preserve">Atchley, R. (1989) ‘A continuity theory of normal aging’, </w:t>
      </w:r>
      <w:r w:rsidR="00512B3C" w:rsidRPr="00512B3C">
        <w:rPr>
          <w:rStyle w:val="Emphasis"/>
          <w:rFonts w:ascii="Arial" w:eastAsiaTheme="majorEastAsia" w:hAnsi="Arial" w:cs="Arial"/>
          <w:sz w:val="22"/>
          <w:szCs w:val="22"/>
        </w:rPr>
        <w:t>The Gerontologist</w:t>
      </w:r>
      <w:r w:rsidR="00512B3C" w:rsidRPr="00512B3C">
        <w:rPr>
          <w:rFonts w:ascii="Arial" w:hAnsi="Arial" w:cs="Arial"/>
          <w:sz w:val="22"/>
          <w:szCs w:val="22"/>
        </w:rPr>
        <w:t>, 29(2), pp. 183–190.</w:t>
      </w:r>
    </w:p>
    <w:p w14:paraId="39FDFF81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Brown, L. and Stoyanova, M. (2023) ‘Older adults’ experiences of independence in homecare: A qualitative synthesis’,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Health &amp; Social Care in the Community</w:t>
      </w:r>
      <w:r w:rsidRPr="00512B3C">
        <w:rPr>
          <w:rFonts w:ascii="Arial" w:hAnsi="Arial" w:cs="Arial"/>
          <w:sz w:val="22"/>
          <w:szCs w:val="22"/>
        </w:rPr>
        <w:t>, 31(2), pp. 456–468.</w:t>
      </w:r>
    </w:p>
    <w:p w14:paraId="603FCC88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Care Act 2014. UK Government. Available at: </w:t>
      </w:r>
      <w:hyperlink r:id="rId7" w:tgtFrame="_new" w:history="1">
        <w:r w:rsidRPr="00512B3C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</w:t>
        </w:r>
      </w:hyperlink>
      <w:r w:rsidRPr="00512B3C">
        <w:rPr>
          <w:rFonts w:ascii="Arial" w:hAnsi="Arial" w:cs="Arial"/>
          <w:sz w:val="22"/>
          <w:szCs w:val="22"/>
        </w:rPr>
        <w:t xml:space="preserve"> (Accessed: [insert date]).</w:t>
      </w:r>
    </w:p>
    <w:p w14:paraId="0A966C74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Cook, G. and McNally, N. (2018) ‘Promoting autonomy in domiciliary services’,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Journal of Social Policy</w:t>
      </w:r>
      <w:r w:rsidRPr="00512B3C">
        <w:rPr>
          <w:rFonts w:ascii="Arial" w:hAnsi="Arial" w:cs="Arial"/>
          <w:sz w:val="22"/>
          <w:szCs w:val="22"/>
        </w:rPr>
        <w:t>, 47(4), pp. 789–807.</w:t>
      </w:r>
    </w:p>
    <w:p w14:paraId="47CB58F6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Daly, M. and Westwood, S. (2021) ‘Ageing in place and the emotional geography of home’,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Social Science &amp; Medicine</w:t>
      </w:r>
      <w:r w:rsidRPr="00512B3C">
        <w:rPr>
          <w:rFonts w:ascii="Arial" w:hAnsi="Arial" w:cs="Arial"/>
          <w:sz w:val="22"/>
          <w:szCs w:val="22"/>
        </w:rPr>
        <w:t>, 289, 114–192.</w:t>
      </w:r>
    </w:p>
    <w:p w14:paraId="5F209F65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Donnelly, F. and McElroy, J. (2022) ‘Reablement at home: Supporting dignity and identity’,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British Journal of Community Nursing</w:t>
      </w:r>
      <w:r w:rsidRPr="00512B3C">
        <w:rPr>
          <w:rFonts w:ascii="Arial" w:hAnsi="Arial" w:cs="Arial"/>
          <w:sz w:val="22"/>
          <w:szCs w:val="22"/>
        </w:rPr>
        <w:t>, 27(4), pp. 180–186.</w:t>
      </w:r>
    </w:p>
    <w:p w14:paraId="018FD138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Fenge, L. and Lee, S. (2020) ‘Shared Lives and community connection in later life’,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Journal of Social Work</w:t>
      </w:r>
      <w:r w:rsidRPr="00512B3C">
        <w:rPr>
          <w:rFonts w:ascii="Arial" w:hAnsi="Arial" w:cs="Arial"/>
          <w:sz w:val="22"/>
          <w:szCs w:val="22"/>
        </w:rPr>
        <w:t>, 20(5), pp. 645–661.</w:t>
      </w:r>
    </w:p>
    <w:p w14:paraId="0559F790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Green, T. and Lacey, A. (2019) ‘Everyday choices and independence in home care’,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Ageing &amp; Society</w:t>
      </w:r>
      <w:r w:rsidRPr="00512B3C">
        <w:rPr>
          <w:rFonts w:ascii="Arial" w:hAnsi="Arial" w:cs="Arial"/>
          <w:sz w:val="22"/>
          <w:szCs w:val="22"/>
        </w:rPr>
        <w:t>, 39(11), pp. 2305–2326.</w:t>
      </w:r>
    </w:p>
    <w:p w14:paraId="677AF4DA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Health and Care Act 2022. UK Government. Available at: </w:t>
      </w:r>
      <w:hyperlink r:id="rId8" w:tgtFrame="_new" w:history="1">
        <w:r w:rsidRPr="00512B3C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</w:t>
        </w:r>
      </w:hyperlink>
      <w:r w:rsidRPr="00512B3C">
        <w:rPr>
          <w:rFonts w:ascii="Arial" w:hAnsi="Arial" w:cs="Arial"/>
          <w:sz w:val="22"/>
          <w:szCs w:val="22"/>
        </w:rPr>
        <w:t xml:space="preserve"> (Accessed: [insert date]).</w:t>
      </w:r>
    </w:p>
    <w:p w14:paraId="7310349A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Home Instead UK (2023)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Care and companionship outcomes report.</w:t>
      </w:r>
      <w:r w:rsidRPr="00512B3C">
        <w:rPr>
          <w:rFonts w:ascii="Arial" w:hAnsi="Arial" w:cs="Arial"/>
          <w:sz w:val="22"/>
          <w:szCs w:val="22"/>
        </w:rPr>
        <w:t xml:space="preserve"> Home Instead.</w:t>
      </w:r>
    </w:p>
    <w:p w14:paraId="4FBEFDFE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Kane, R., Cutler, L. and Miller, N. (2020) ‘Home care vs. residential care: Quality of life outcomes’,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Journal of Applied Gerontology</w:t>
      </w:r>
      <w:r w:rsidRPr="00512B3C">
        <w:rPr>
          <w:rFonts w:ascii="Arial" w:hAnsi="Arial" w:cs="Arial"/>
          <w:sz w:val="22"/>
          <w:szCs w:val="22"/>
        </w:rPr>
        <w:t>, 39(12), pp. 1357–1374.</w:t>
      </w:r>
    </w:p>
    <w:p w14:paraId="6D22D176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Litherland, R. and Burton, J. (2021) ‘Relationships, trust and continuity in home care’,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Ageing &amp; Society</w:t>
      </w:r>
      <w:r w:rsidRPr="00512B3C">
        <w:rPr>
          <w:rFonts w:ascii="Arial" w:hAnsi="Arial" w:cs="Arial"/>
          <w:sz w:val="22"/>
          <w:szCs w:val="22"/>
        </w:rPr>
        <w:t>, 41(12), pp. 2801–2823.</w:t>
      </w:r>
    </w:p>
    <w:p w14:paraId="6BCA940D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Manthorpe, J. and Iliffe, S. (2020) ‘Routines and autonomy in care settings’,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Health &amp; Social Care in the Community</w:t>
      </w:r>
      <w:r w:rsidRPr="00512B3C">
        <w:rPr>
          <w:rFonts w:ascii="Arial" w:hAnsi="Arial" w:cs="Arial"/>
          <w:sz w:val="22"/>
          <w:szCs w:val="22"/>
        </w:rPr>
        <w:t>, 28(1), pp. 23–31.</w:t>
      </w:r>
    </w:p>
    <w:p w14:paraId="559E9E0C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Mental Capacity Act 2005. UK Government. Available at: </w:t>
      </w:r>
      <w:hyperlink r:id="rId9" w:tgtFrame="_new" w:history="1">
        <w:r w:rsidRPr="00512B3C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</w:t>
        </w:r>
      </w:hyperlink>
      <w:r w:rsidRPr="00512B3C">
        <w:rPr>
          <w:rFonts w:ascii="Arial" w:hAnsi="Arial" w:cs="Arial"/>
          <w:sz w:val="22"/>
          <w:szCs w:val="22"/>
        </w:rPr>
        <w:t xml:space="preserve"> (Accessed: [insert date]).</w:t>
      </w:r>
    </w:p>
    <w:p w14:paraId="41221EC8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NHS England (2022)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Reablement good practice guide.</w:t>
      </w:r>
      <w:r w:rsidRPr="00512B3C">
        <w:rPr>
          <w:rFonts w:ascii="Arial" w:hAnsi="Arial" w:cs="Arial"/>
          <w:sz w:val="22"/>
          <w:szCs w:val="22"/>
        </w:rPr>
        <w:t xml:space="preserve"> NHS England.</w:t>
      </w:r>
    </w:p>
    <w:p w14:paraId="5503B220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Newton, L., Meyer, C. and Baillie, L. (2020) ‘Maintaining personhood in home-based dementia care’,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Dementia</w:t>
      </w:r>
      <w:r w:rsidRPr="00512B3C">
        <w:rPr>
          <w:rFonts w:ascii="Arial" w:hAnsi="Arial" w:cs="Arial"/>
          <w:sz w:val="22"/>
          <w:szCs w:val="22"/>
        </w:rPr>
        <w:t>, 19(7), pp. 2331–2349.</w:t>
      </w:r>
    </w:p>
    <w:p w14:paraId="09D55CCE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Parker, G. and Barnes, H. (2022) ‘The emotional value of home in later life’,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The Gerontologist</w:t>
      </w:r>
      <w:r w:rsidRPr="00512B3C">
        <w:rPr>
          <w:rFonts w:ascii="Arial" w:hAnsi="Arial" w:cs="Arial"/>
          <w:sz w:val="22"/>
          <w:szCs w:val="22"/>
        </w:rPr>
        <w:t>, 62(5), pp. 745–754.</w:t>
      </w:r>
    </w:p>
    <w:p w14:paraId="595602E2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lastRenderedPageBreak/>
        <w:t xml:space="preserve">Phillips, S., Champion, J. and Lewis, K. (2022) ‘Familiar environments and emotional well-being in later life’,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Age and Ageing</w:t>
      </w:r>
      <w:r w:rsidRPr="00512B3C">
        <w:rPr>
          <w:rFonts w:ascii="Arial" w:hAnsi="Arial" w:cs="Arial"/>
          <w:sz w:val="22"/>
          <w:szCs w:val="22"/>
        </w:rPr>
        <w:t>, 51(3), pp. 1–9.</w:t>
      </w:r>
    </w:p>
    <w:p w14:paraId="53B96CD8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Rappaport, J. (1987) ‘Terms of empowerment/exemplars of prevention’,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American Journal of Community Psychology</w:t>
      </w:r>
      <w:r w:rsidRPr="00512B3C">
        <w:rPr>
          <w:rFonts w:ascii="Arial" w:hAnsi="Arial" w:cs="Arial"/>
          <w:sz w:val="22"/>
          <w:szCs w:val="22"/>
        </w:rPr>
        <w:t>, 15(2), pp. 121–148.</w:t>
      </w:r>
    </w:p>
    <w:p w14:paraId="0B918505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Smith, C. and Walker, P. (2021) ‘Co-designed care planning and empowerment in the community’,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British Journal of Social Work</w:t>
      </w:r>
      <w:r w:rsidRPr="00512B3C">
        <w:rPr>
          <w:rFonts w:ascii="Arial" w:hAnsi="Arial" w:cs="Arial"/>
          <w:sz w:val="22"/>
          <w:szCs w:val="22"/>
        </w:rPr>
        <w:t>, 51(4), pp. 1312–1328.</w:t>
      </w:r>
    </w:p>
    <w:p w14:paraId="68A8CF87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Tew, J. (2020) ‘Empowerment and mental wellbeing in community-based social care’,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Journal of Social Work</w:t>
      </w:r>
      <w:r w:rsidRPr="00512B3C">
        <w:rPr>
          <w:rFonts w:ascii="Arial" w:hAnsi="Arial" w:cs="Arial"/>
          <w:sz w:val="22"/>
          <w:szCs w:val="22"/>
        </w:rPr>
        <w:t>, 20(6), pp. 729–746.</w:t>
      </w:r>
    </w:p>
    <w:p w14:paraId="2F2E6F85" w14:textId="77777777" w:rsidR="00512B3C" w:rsidRPr="00512B3C" w:rsidRDefault="00512B3C" w:rsidP="00512B3C">
      <w:pPr>
        <w:pStyle w:val="NormalWeb"/>
        <w:rPr>
          <w:rFonts w:ascii="Arial" w:hAnsi="Arial" w:cs="Arial"/>
          <w:sz w:val="22"/>
          <w:szCs w:val="22"/>
        </w:rPr>
      </w:pPr>
      <w:r w:rsidRPr="00512B3C">
        <w:rPr>
          <w:rFonts w:ascii="Arial" w:hAnsi="Arial" w:cs="Arial"/>
          <w:sz w:val="22"/>
          <w:szCs w:val="22"/>
        </w:rPr>
        <w:t xml:space="preserve">Care Quality Commission (2023) </w:t>
      </w:r>
      <w:r w:rsidRPr="00512B3C">
        <w:rPr>
          <w:rStyle w:val="Emphasis"/>
          <w:rFonts w:ascii="Arial" w:eastAsiaTheme="majorEastAsia" w:hAnsi="Arial" w:cs="Arial"/>
          <w:sz w:val="22"/>
          <w:szCs w:val="22"/>
        </w:rPr>
        <w:t>State of Care Report 2023.</w:t>
      </w:r>
      <w:r w:rsidRPr="00512B3C">
        <w:rPr>
          <w:rFonts w:ascii="Arial" w:hAnsi="Arial" w:cs="Arial"/>
          <w:sz w:val="22"/>
          <w:szCs w:val="22"/>
        </w:rPr>
        <w:t xml:space="preserve"> CQC.</w:t>
      </w:r>
    </w:p>
    <w:p w14:paraId="15CB3DC2" w14:textId="2379165D" w:rsidR="00977DDC" w:rsidRPr="00512B3C" w:rsidRDefault="00977DDC" w:rsidP="00512B3C">
      <w:pPr>
        <w:pStyle w:val="NormalWeb"/>
        <w:rPr>
          <w:rFonts w:ascii="Arial" w:hAnsi="Arial" w:cs="Arial"/>
          <w:sz w:val="22"/>
          <w:szCs w:val="22"/>
        </w:rPr>
      </w:pPr>
    </w:p>
    <w:p w14:paraId="3977F419" w14:textId="77777777" w:rsidR="00977DDC" w:rsidRPr="00512B3C" w:rsidRDefault="00977DDC" w:rsidP="00977DDC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977DDC" w:rsidRPr="00512B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93E0E" w14:textId="77777777" w:rsidR="00165EF3" w:rsidRDefault="00165EF3" w:rsidP="00977DDC">
      <w:pPr>
        <w:spacing w:after="0" w:line="240" w:lineRule="auto"/>
      </w:pPr>
      <w:r>
        <w:separator/>
      </w:r>
    </w:p>
  </w:endnote>
  <w:endnote w:type="continuationSeparator" w:id="0">
    <w:p w14:paraId="001E7691" w14:textId="77777777" w:rsidR="00165EF3" w:rsidRDefault="00165EF3" w:rsidP="00977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9DD78" w14:textId="77777777" w:rsidR="00165EF3" w:rsidRDefault="00165EF3" w:rsidP="00977DDC">
      <w:pPr>
        <w:spacing w:after="0" w:line="240" w:lineRule="auto"/>
      </w:pPr>
      <w:r>
        <w:separator/>
      </w:r>
    </w:p>
  </w:footnote>
  <w:footnote w:type="continuationSeparator" w:id="0">
    <w:p w14:paraId="1D0F39ED" w14:textId="77777777" w:rsidR="00165EF3" w:rsidRDefault="00165EF3" w:rsidP="00977D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F6C86"/>
    <w:multiLevelType w:val="hybridMultilevel"/>
    <w:tmpl w:val="8502FBD0"/>
    <w:lvl w:ilvl="0" w:tplc="03EA6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8A78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B0D7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E67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08E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AA1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E2F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54A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A62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08723F7"/>
    <w:multiLevelType w:val="hybridMultilevel"/>
    <w:tmpl w:val="D978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189864">
    <w:abstractNumId w:val="0"/>
  </w:num>
  <w:num w:numId="2" w16cid:durableId="752166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DDC"/>
    <w:rsid w:val="00073596"/>
    <w:rsid w:val="000F7607"/>
    <w:rsid w:val="00150D3E"/>
    <w:rsid w:val="00165EF3"/>
    <w:rsid w:val="001775E3"/>
    <w:rsid w:val="003F074A"/>
    <w:rsid w:val="00424E27"/>
    <w:rsid w:val="00512B3C"/>
    <w:rsid w:val="007B799A"/>
    <w:rsid w:val="00977DDC"/>
    <w:rsid w:val="00B83436"/>
    <w:rsid w:val="00BA5409"/>
    <w:rsid w:val="00D934D4"/>
    <w:rsid w:val="00DB6AAB"/>
    <w:rsid w:val="00EB043F"/>
    <w:rsid w:val="00F0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DEE74"/>
  <w15:chartTrackingRefBased/>
  <w15:docId w15:val="{8FB6387A-5F45-4EB0-9C72-7611F521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DDC"/>
    <w:pPr>
      <w:spacing w:line="276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D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D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D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D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D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D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D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D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D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D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D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D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D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D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D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D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D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D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7D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7D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D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7D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7D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7D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7D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7D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D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D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7DD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77DDC"/>
    <w:rPr>
      <w:b/>
      <w:bCs/>
    </w:rPr>
  </w:style>
  <w:style w:type="character" w:styleId="Emphasis">
    <w:name w:val="Emphasis"/>
    <w:basedOn w:val="DefaultParagraphFont"/>
    <w:uiPriority w:val="20"/>
    <w:qFormat/>
    <w:rsid w:val="00977DD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77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DDC"/>
    <w:rPr>
      <w:rFonts w:eastAsiaTheme="minorEastAsia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977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DDC"/>
    <w:rPr>
      <w:rFonts w:eastAsiaTheme="minorEastAsia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977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12B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nedelcu</dc:creator>
  <cp:keywords/>
  <dc:description/>
  <cp:lastModifiedBy>vasile nedelcu</cp:lastModifiedBy>
  <cp:revision>7</cp:revision>
  <dcterms:created xsi:type="dcterms:W3CDTF">2025-10-25T20:54:00Z</dcterms:created>
  <dcterms:modified xsi:type="dcterms:W3CDTF">2025-11-07T18:38:00Z</dcterms:modified>
</cp:coreProperties>
</file>