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5F784E" w:rsidR="005D0110" w:rsidP="681C9F09" w:rsidRDefault="005D0110" w14:paraId="54DAA432" w14:textId="69404E8C">
      <w:pPr>
        <w:spacing w:after="416"/>
        <w:ind w:right="2" w:firstLine="0"/>
        <w:rPr>
          <w:rFonts w:cs="Times New Roman"/>
          <w:color w:val="000000" w:themeColor="text1"/>
        </w:rPr>
      </w:pPr>
    </w:p>
    <w:p w:rsidRPr="005F784E" w:rsidR="007F54A3" w:rsidP="005F784E" w:rsidRDefault="007F54A3" w14:paraId="62D9E781" w14:textId="77777777">
      <w:pPr>
        <w:jc w:val="center"/>
        <w:rPr>
          <w:rFonts w:cs="Times New Roman"/>
          <w:color w:val="000000" w:themeColor="text1"/>
          <w:szCs w:val="24"/>
        </w:rPr>
      </w:pPr>
    </w:p>
    <w:p w:rsidRPr="005F784E" w:rsidR="007F54A3" w:rsidP="005F784E" w:rsidRDefault="007F54A3" w14:paraId="5C933BCB" w14:textId="77777777">
      <w:pPr>
        <w:jc w:val="center"/>
        <w:rPr>
          <w:rFonts w:cs="Times New Roman"/>
          <w:color w:val="000000" w:themeColor="text1"/>
          <w:szCs w:val="24"/>
        </w:rPr>
      </w:pPr>
    </w:p>
    <w:p w:rsidRPr="005F784E" w:rsidR="007F54A3" w:rsidP="005F784E" w:rsidRDefault="007F54A3" w14:paraId="1769C539" w14:textId="77777777">
      <w:pPr>
        <w:jc w:val="center"/>
        <w:rPr>
          <w:rFonts w:cs="Times New Roman"/>
          <w:color w:val="000000" w:themeColor="text1"/>
          <w:szCs w:val="24"/>
        </w:rPr>
      </w:pPr>
    </w:p>
    <w:p w:rsidRPr="005F784E" w:rsidR="007F54A3" w:rsidP="005F784E" w:rsidRDefault="007F54A3" w14:paraId="4FBFD374" w14:textId="77777777">
      <w:pPr>
        <w:jc w:val="center"/>
        <w:rPr>
          <w:rFonts w:cs="Times New Roman"/>
          <w:color w:val="000000" w:themeColor="text1"/>
          <w:szCs w:val="24"/>
        </w:rPr>
      </w:pPr>
    </w:p>
    <w:p w:rsidRPr="005F784E" w:rsidR="007F54A3" w:rsidP="005F784E" w:rsidRDefault="007F54A3" w14:paraId="0D1FE861" w14:textId="77777777">
      <w:pPr>
        <w:jc w:val="center"/>
        <w:rPr>
          <w:rFonts w:cs="Times New Roman"/>
          <w:color w:val="000000" w:themeColor="text1"/>
          <w:szCs w:val="24"/>
        </w:rPr>
      </w:pPr>
    </w:p>
    <w:p w:rsidRPr="005F784E" w:rsidR="007F54A3" w:rsidP="005F784E" w:rsidRDefault="007F54A3" w14:paraId="1C227F8C" w14:textId="77777777">
      <w:pPr>
        <w:jc w:val="center"/>
        <w:rPr>
          <w:rFonts w:cs="Times New Roman"/>
          <w:color w:val="000000" w:themeColor="text1"/>
          <w:szCs w:val="24"/>
        </w:rPr>
      </w:pPr>
    </w:p>
    <w:p w:rsidRPr="005F784E" w:rsidR="007F54A3" w:rsidP="005F784E" w:rsidRDefault="007F54A3" w14:paraId="7283DB13" w14:textId="77777777">
      <w:pPr>
        <w:jc w:val="center"/>
        <w:rPr>
          <w:rFonts w:cs="Times New Roman"/>
          <w:color w:val="000000" w:themeColor="text1"/>
          <w:szCs w:val="24"/>
        </w:rPr>
      </w:pPr>
    </w:p>
    <w:p w:rsidR="681C9F09" w:rsidP="2F6B72D4" w:rsidRDefault="681C9F09" w14:paraId="6AA08860" w14:textId="486900EF">
      <w:pPr>
        <w:spacing w:after="1102"/>
        <w:jc w:val="center"/>
        <w:rPr>
          <w:rFonts w:cs="Times New Roman"/>
          <w:color w:val="000000" w:themeColor="text1" w:themeTint="FF" w:themeShade="FF"/>
        </w:rPr>
      </w:pPr>
      <w:r w:rsidRPr="2F6B72D4" w:rsidR="32A31396">
        <w:rPr>
          <w:rFonts w:cs="Times New Roman"/>
          <w:color w:val="000000" w:themeColor="text1" w:themeTint="FF" w:themeShade="FF"/>
        </w:rPr>
        <w:t xml:space="preserve">How psychological theory </w:t>
      </w:r>
      <w:r w:rsidRPr="2F6B72D4" w:rsidR="32A31396">
        <w:rPr>
          <w:rFonts w:cs="Times New Roman"/>
          <w:color w:val="000000" w:themeColor="text1" w:themeTint="FF" w:themeShade="FF"/>
        </w:rPr>
        <w:t>affects the</w:t>
      </w:r>
      <w:r w:rsidRPr="2F6B72D4" w:rsidR="32A31396">
        <w:rPr>
          <w:rFonts w:cs="Times New Roman"/>
          <w:color w:val="000000" w:themeColor="text1" w:themeTint="FF" w:themeShade="FF"/>
        </w:rPr>
        <w:t xml:space="preserve"> role o</w:t>
      </w:r>
      <w:r w:rsidRPr="2F6B72D4" w:rsidR="71AF665D">
        <w:rPr>
          <w:rFonts w:cs="Times New Roman"/>
          <w:color w:val="000000" w:themeColor="text1" w:themeTint="FF" w:themeShade="FF"/>
        </w:rPr>
        <w:t>f Nurses</w:t>
      </w:r>
    </w:p>
    <w:p w:rsidR="681C9F09" w:rsidP="2F6B72D4" w:rsidRDefault="681C9F09" w14:paraId="76EFD32D" w14:textId="559C2476">
      <w:pPr>
        <w:spacing w:after="1102"/>
        <w:jc w:val="center"/>
        <w:rPr>
          <w:rFonts w:cs="Times New Roman"/>
          <w:color w:val="000000" w:themeColor="text1"/>
        </w:rPr>
      </w:pPr>
      <w:r w:rsidRPr="2F6B72D4" w:rsidR="7791CA9F">
        <w:rPr>
          <w:rFonts w:cs="Times New Roman"/>
          <w:color w:val="000000" w:themeColor="text1" w:themeTint="FF" w:themeShade="FF"/>
        </w:rPr>
        <w:t>Sharon Roberts-2114727</w:t>
      </w:r>
    </w:p>
    <w:p w:rsidRPr="005F784E" w:rsidR="00F349D0" w:rsidP="005F784E" w:rsidRDefault="00541879" w14:paraId="6A992E07" w14:textId="77777777">
      <w:pPr>
        <w:spacing w:before="0" w:after="160"/>
        <w:ind w:firstLine="0"/>
        <w:jc w:val="left"/>
        <w:rPr>
          <w:rFonts w:cs="Times New Roman"/>
          <w:color w:val="000000" w:themeColor="text1"/>
          <w:szCs w:val="24"/>
        </w:rPr>
      </w:pPr>
      <w:r w:rsidRPr="005F784E">
        <w:rPr>
          <w:rFonts w:cs="Times New Roman"/>
          <w:color w:val="000000" w:themeColor="text1"/>
          <w:szCs w:val="24"/>
        </w:rPr>
        <w:br w:type="page"/>
      </w:r>
    </w:p>
    <w:p w:rsidRPr="005F784E" w:rsidR="00A0625D" w:rsidP="005F784E" w:rsidRDefault="00541879" w14:paraId="1187A334" w14:textId="77777777">
      <w:pPr>
        <w:pStyle w:val="Heading1"/>
        <w:rPr>
          <w:rFonts w:cs="Times New Roman"/>
          <w:color w:val="000000" w:themeColor="text1"/>
          <w:szCs w:val="24"/>
        </w:rPr>
      </w:pPr>
      <w:r w:rsidRPr="005F784E">
        <w:rPr>
          <w:rFonts w:cs="Times New Roman"/>
          <w:color w:val="000000" w:themeColor="text1"/>
          <w:szCs w:val="24"/>
        </w:rPr>
        <w:t>Introduction</w:t>
      </w:r>
    </w:p>
    <w:p w:rsidRPr="0067301E" w:rsidR="0067301E" w:rsidP="2F6B72D4" w:rsidRDefault="0067301E" w14:paraId="0CEEACAF" w14:textId="6711B3E5">
      <w:pPr>
        <w:ind w:left="-15" w:right="2"/>
        <w:rPr>
          <w:rFonts w:cs="Times New Roman"/>
          <w:color w:val="000000" w:themeColor="text1"/>
        </w:rPr>
      </w:pPr>
      <w:r w:rsidRPr="2F6B72D4" w:rsidR="229018BE">
        <w:rPr>
          <w:rFonts w:cs="Times New Roman"/>
          <w:color w:val="000000" w:themeColor="text1" w:themeTint="FF" w:themeShade="FF"/>
        </w:rPr>
        <w:t xml:space="preserve">There is often a clear correlation between the psychological health of a person and the state of healthcare in a community. The field of psychology may be </w:t>
      </w:r>
      <w:r w:rsidRPr="2F6B72D4" w:rsidR="229018BE">
        <w:rPr>
          <w:rFonts w:cs="Times New Roman"/>
          <w:color w:val="000000" w:themeColor="text1" w:themeTint="FF" w:themeShade="FF"/>
        </w:rPr>
        <w:t>used</w:t>
      </w:r>
      <w:r w:rsidRPr="2F6B72D4" w:rsidR="229018BE">
        <w:rPr>
          <w:rFonts w:cs="Times New Roman"/>
          <w:color w:val="000000" w:themeColor="text1" w:themeTint="FF" w:themeShade="FF"/>
        </w:rPr>
        <w:t xml:space="preserve"> to aid in better comprehending societal issues (Li et al., 2018). Because of the inextricable relationship between socioeconomic factors and biological characteristics, psychological challenges are made much more severe (Haslam et al., 2018). In this article, we are going to talk about how various healthcare </w:t>
      </w:r>
      <w:r w:rsidRPr="2F6B72D4" w:rsidR="229018BE">
        <w:rPr>
          <w:rFonts w:cs="Times New Roman"/>
          <w:color w:val="000000" w:themeColor="text1" w:themeTint="FF" w:themeShade="FF"/>
        </w:rPr>
        <w:t>organizations</w:t>
      </w:r>
      <w:r w:rsidRPr="2F6B72D4" w:rsidR="229018BE">
        <w:rPr>
          <w:rFonts w:cs="Times New Roman"/>
          <w:color w:val="000000" w:themeColor="text1" w:themeTint="FF" w:themeShade="FF"/>
        </w:rPr>
        <w:t xml:space="preserve"> may deal with a variety of psychological qualities and the problems that come along with them.</w:t>
      </w:r>
    </w:p>
    <w:p w:rsidRPr="0067301E" w:rsidR="0067301E" w:rsidP="2F6B72D4" w:rsidRDefault="0067301E" w14:paraId="3B637B7C" w14:textId="62C983BA">
      <w:pPr>
        <w:ind w:left="-15" w:right="2"/>
        <w:rPr>
          <w:rFonts w:cs="Times New Roman"/>
          <w:color w:val="000000" w:themeColor="text1"/>
        </w:rPr>
      </w:pPr>
      <w:r w:rsidRPr="2F6B72D4" w:rsidR="229018BE">
        <w:rPr>
          <w:rFonts w:cs="Times New Roman"/>
          <w:color w:val="000000" w:themeColor="text1" w:themeTint="FF" w:themeShade="FF"/>
        </w:rPr>
        <w:t xml:space="preserve">To investigate the impact that psychology has had on the social and healthcare challenges that exist at this time of a global epidemic, the essay </w:t>
      </w:r>
      <w:r w:rsidRPr="2F6B72D4" w:rsidR="229018BE">
        <w:rPr>
          <w:rFonts w:cs="Times New Roman"/>
          <w:color w:val="000000" w:themeColor="text1" w:themeTint="FF" w:themeShade="FF"/>
        </w:rPr>
        <w:t>must</w:t>
      </w:r>
      <w:r w:rsidRPr="2F6B72D4" w:rsidR="229018BE">
        <w:rPr>
          <w:rFonts w:cs="Times New Roman"/>
          <w:color w:val="000000" w:themeColor="text1" w:themeTint="FF" w:themeShade="FF"/>
        </w:rPr>
        <w:t xml:space="preserve"> incorporate a wide range of psychological theories. This approach will also place an emphasis on a wide variety of psychological concepts and societal problems (Zhao et al., 2020). To appreciate psychological theories and health care </w:t>
      </w:r>
      <w:r w:rsidRPr="2F6B72D4" w:rsidR="229018BE">
        <w:rPr>
          <w:rFonts w:cs="Times New Roman"/>
          <w:color w:val="000000" w:themeColor="text1" w:themeTint="FF" w:themeShade="FF"/>
        </w:rPr>
        <w:t>practices</w:t>
      </w:r>
      <w:r w:rsidRPr="2F6B72D4" w:rsidR="229018BE">
        <w:rPr>
          <w:rFonts w:cs="Times New Roman"/>
          <w:color w:val="000000" w:themeColor="text1" w:themeTint="FF" w:themeShade="FF"/>
        </w:rPr>
        <w:t xml:space="preserve">, it is essential to have a firm grasp on the factors that lie behind the surface of human </w:t>
      </w:r>
      <w:r w:rsidRPr="2F6B72D4" w:rsidR="229018BE">
        <w:rPr>
          <w:rFonts w:cs="Times New Roman"/>
          <w:color w:val="000000" w:themeColor="text1" w:themeTint="FF" w:themeShade="FF"/>
        </w:rPr>
        <w:t>behavior</w:t>
      </w:r>
      <w:r w:rsidRPr="2F6B72D4" w:rsidR="229018BE">
        <w:rPr>
          <w:rFonts w:cs="Times New Roman"/>
          <w:color w:val="000000" w:themeColor="text1" w:themeTint="FF" w:themeShade="FF"/>
        </w:rPr>
        <w:t>.</w:t>
      </w:r>
    </w:p>
    <w:p w:rsidRPr="0067301E" w:rsidR="0067301E" w:rsidP="2F6B72D4" w:rsidRDefault="0067301E" w14:paraId="72850994" w14:textId="1087872F">
      <w:pPr>
        <w:ind w:left="-15" w:right="2"/>
        <w:rPr>
          <w:rFonts w:cs="Times New Roman"/>
          <w:color w:val="000000" w:themeColor="text1"/>
        </w:rPr>
      </w:pPr>
      <w:r w:rsidRPr="2F6B72D4" w:rsidR="229018BE">
        <w:rPr>
          <w:rFonts w:cs="Times New Roman"/>
          <w:color w:val="000000" w:themeColor="text1" w:themeTint="FF" w:themeShade="FF"/>
        </w:rPr>
        <w:t xml:space="preserve">Improving the working conditions of those employed in the healthcare industry is coming to be seen as an increasingly vital part of efforts to boost the overall performance of the healthcare system. It involves shifting from the old triple aim of enhancing patient experiences, raising population health, and decreasing costs to the quadruple goal of doing all those things simultaneously (Soto-Rubio, 2020). The idea of "second </w:t>
      </w:r>
      <w:r w:rsidRPr="2F6B72D4" w:rsidR="229018BE">
        <w:rPr>
          <w:rFonts w:cs="Times New Roman"/>
          <w:color w:val="000000" w:themeColor="text1" w:themeTint="FF" w:themeShade="FF"/>
        </w:rPr>
        <w:t>victimization</w:t>
      </w:r>
      <w:r w:rsidRPr="2F6B72D4" w:rsidR="229018BE">
        <w:rPr>
          <w:rFonts w:cs="Times New Roman"/>
          <w:color w:val="000000" w:themeColor="text1" w:themeTint="FF" w:themeShade="FF"/>
        </w:rPr>
        <w:t xml:space="preserve">" has a significant impact on the professional life of people who work in the healthcare industry. In the aftermath of a patient safety incident (PSI), a medical error, or any other </w:t>
      </w:r>
      <w:r w:rsidRPr="2F6B72D4" w:rsidR="229018BE">
        <w:rPr>
          <w:rFonts w:cs="Times New Roman"/>
          <w:color w:val="000000" w:themeColor="text1" w:themeTint="FF" w:themeShade="FF"/>
        </w:rPr>
        <w:t>unfavorable</w:t>
      </w:r>
      <w:r w:rsidRPr="2F6B72D4" w:rsidR="229018BE">
        <w:rPr>
          <w:rFonts w:cs="Times New Roman"/>
          <w:color w:val="000000" w:themeColor="text1" w:themeTint="FF" w:themeShade="FF"/>
        </w:rPr>
        <w:t xml:space="preserve"> event, members of the healthcare staff often become the second victims of their own emotions. It has been proved that their mental health influences patient safety as well as the culture of safety, and it is thought that they are suffering in silence.</w:t>
      </w:r>
    </w:p>
    <w:p w:rsidRPr="0067301E" w:rsidR="0067301E" w:rsidP="0067301E" w:rsidRDefault="0067301E" w14:paraId="74CD622E" w14:textId="77777777">
      <w:pPr>
        <w:ind w:left="-15" w:right="2"/>
        <w:rPr>
          <w:rFonts w:cs="Times New Roman"/>
          <w:color w:val="000000" w:themeColor="text1"/>
          <w:szCs w:val="24"/>
        </w:rPr>
      </w:pPr>
    </w:p>
    <w:p w:rsidRPr="0067301E" w:rsidR="0067301E" w:rsidP="1FE167F7" w:rsidRDefault="0067301E" w14:paraId="063C82D0" w14:textId="5AC29EF6">
      <w:pPr>
        <w:ind w:left="-15" w:right="2"/>
        <w:rPr>
          <w:rFonts w:cs="Times New Roman"/>
          <w:color w:val="000000" w:themeColor="text1"/>
        </w:rPr>
      </w:pPr>
      <w:r w:rsidRPr="1FE167F7">
        <w:rPr>
          <w:rFonts w:cs="Times New Roman"/>
          <w:color w:val="000000" w:themeColor="text1"/>
        </w:rPr>
        <w:t>According to polls, up to half of all people who work in the medical field will experience becoming a second victim at some point throughout their employment. It is possible that participation in an event will affect the quality of patient treatment that comes afterwards (Zhao et al., 2020). Repeat offenders must face the professional as well as emotional repercussions of their actions. Someone's poor self-esteem, fear of being sued or losing their excellent reputation, or any number of other factors might lead to them experiencing sadness (Mikkelsen and Olsen, 2018). According to the findings of several studies, second victims of a PSI go through the same range of emotions, despite the severity of the patient's injuries. According to the findings of the study, the effect of an event may be influenced by a variety of factors, including personal, organizational, and situational factors. It is of the utmost importance to decide if a medical professional accepts personal responsibility for the harm they do to their patients (Grover, 2018). Individual variables may include but are not limited to, gender, employment, experience, financial resources, and coping skills. Other individual characteristics may also play a role (De Simone, Planta and Cicotto, 2018). There are several aspects that need to be taken into consideration, such as the availability of support employees and the procedures or rules that are currently in place. According to Edrees and Federico, there is a need for more research on the link between an individual's performance and the culture of an organization.</w:t>
      </w:r>
    </w:p>
    <w:p w:rsidRPr="005F784E" w:rsidR="005D0110" w:rsidP="1FE167F7" w:rsidRDefault="0067301E" w14:paraId="7355B3E1" w14:textId="1C19733B">
      <w:pPr>
        <w:ind w:left="-15" w:right="2"/>
        <w:rPr>
          <w:rFonts w:cs="Times New Roman"/>
          <w:color w:val="000000" w:themeColor="text1"/>
        </w:rPr>
      </w:pPr>
      <w:r w:rsidRPr="2F6B72D4" w:rsidR="229018BE">
        <w:rPr>
          <w:rFonts w:cs="Times New Roman"/>
          <w:color w:val="000000" w:themeColor="text1" w:themeTint="FF" w:themeShade="FF"/>
        </w:rPr>
        <w:t xml:space="preserve">When it comes to addressing therapeutic concerns in the field of psychology, having competence in human behaviour is necessary. </w:t>
      </w:r>
      <w:r w:rsidRPr="2F6B72D4" w:rsidR="229018BE">
        <w:rPr>
          <w:rFonts w:cs="Times New Roman"/>
          <w:color w:val="000000" w:themeColor="text1" w:themeTint="FF" w:themeShade="FF"/>
        </w:rPr>
        <w:t>For</w:t>
      </w:r>
      <w:r w:rsidRPr="2F6B72D4" w:rsidR="229018BE">
        <w:rPr>
          <w:rFonts w:cs="Times New Roman"/>
          <w:color w:val="000000" w:themeColor="text1" w:themeTint="FF" w:themeShade="FF"/>
        </w:rPr>
        <w:t xml:space="preserve"> psychologists to understand how human brains evolved, they need to examine human brains. It will need to have a comprehensive understanding of human behaviour as well as the most common difficulties that people face. The stages of human growth are easily identifiable, and professionals in the medical field will make certain that each of these aspects receives the required attention (Haslam et al., 2018).</w:t>
      </w:r>
    </w:p>
    <w:p w:rsidRPr="005F784E" w:rsidR="00CB5C98" w:rsidP="005F784E" w:rsidRDefault="00541879" w14:paraId="39E2ABE9" w14:textId="77777777">
      <w:pPr>
        <w:pStyle w:val="Heading1"/>
        <w:rPr>
          <w:rFonts w:cs="Times New Roman"/>
          <w:color w:val="000000" w:themeColor="text1"/>
          <w:szCs w:val="24"/>
        </w:rPr>
      </w:pPr>
      <w:r w:rsidRPr="005F784E">
        <w:rPr>
          <w:rFonts w:cs="Times New Roman"/>
          <w:color w:val="000000" w:themeColor="text1"/>
          <w:szCs w:val="24"/>
        </w:rPr>
        <w:t>Psychodynamic psychology</w:t>
      </w:r>
    </w:p>
    <w:p w:rsidRPr="005F784E" w:rsidR="00EE7267" w:rsidP="1FE167F7" w:rsidRDefault="0067301E" w14:paraId="47E9D625" w14:textId="1F732CCC">
      <w:pPr>
        <w:rPr>
          <w:rFonts w:cs="Times New Roman"/>
          <w:color w:val="000000" w:themeColor="text1"/>
        </w:rPr>
      </w:pPr>
      <w:r w:rsidRPr="1FE167F7">
        <w:rPr>
          <w:rFonts w:cs="Times New Roman"/>
          <w:color w:val="000000" w:themeColor="text1"/>
        </w:rPr>
        <w:t>According to Garcia-Izquierdo (2018), Freud, Eriksson Jung, and Klein were among the individuals who made significant contributions to the development of this paradigm. From the year 1896 until the year 1939, when he passed away, Sigmund Freud was one of the most influential figures in Western psychology and society (Aggarwal, Dhaliwal and Nobi, 2018). Throughout his whole life, he was mesmerized by the internal struggles that lie underneath the surface of a person's behaviour. However, he does contend that some therapeutic procedures, such as "free association," "dream interpretation," and "transference," may aid in bringing some of these desires or ideas to the forefront of one's consciousness (Garca-Izquierdo et al., 2018). Even while it can be difficult for many nurses to view their patients from a psychodynamic perspective, doing so is already embedded in their day-to-day thoughts and experiences of the world.</w:t>
      </w:r>
    </w:p>
    <w:p w:rsidRPr="005F784E" w:rsidR="00EE7267" w:rsidP="1FE167F7" w:rsidRDefault="00541879" w14:paraId="70C934BC" w14:textId="3E918AE1">
      <w:pPr>
        <w:rPr>
          <w:rFonts w:cs="Times New Roman"/>
          <w:color w:val="000000" w:themeColor="text1"/>
        </w:rPr>
      </w:pPr>
      <w:r w:rsidRPr="1FE167F7">
        <w:rPr>
          <w:rFonts w:cs="Times New Roman"/>
          <w:color w:val="000000" w:themeColor="text1"/>
        </w:rPr>
        <w:t>Errors committed by Freud's students A guy marries a whiner. She is rushed to the hospital and makes a full recovery</w:t>
      </w:r>
      <w:r w:rsidRPr="1FE167F7" w:rsidR="00A50FA5">
        <w:rPr>
          <w:rFonts w:cs="Times New Roman"/>
          <w:color w:val="000000" w:themeColor="text1"/>
        </w:rPr>
        <w:t xml:space="preserve"> (</w:t>
      </w:r>
      <w:r w:rsidRPr="1FE167F7" w:rsidR="00A50FA5">
        <w:rPr>
          <w:rFonts w:cs="Times New Roman"/>
          <w:color w:val="000000" w:themeColor="text1"/>
          <w:shd w:val="clear" w:color="auto" w:fill="FFFFFF"/>
        </w:rPr>
        <w:t>Dall’Ora, 2020</w:t>
      </w:r>
      <w:r w:rsidRPr="1FE167F7" w:rsidR="00A50FA5">
        <w:rPr>
          <w:rFonts w:cs="Times New Roman"/>
          <w:color w:val="000000" w:themeColor="text1"/>
        </w:rPr>
        <w:t>)</w:t>
      </w:r>
      <w:r w:rsidRPr="1FE167F7">
        <w:rPr>
          <w:rFonts w:cs="Times New Roman"/>
          <w:color w:val="000000" w:themeColor="text1"/>
        </w:rPr>
        <w:t>. Rather than saying, "I'm happy to see you're feeling better," he says, "I'm sorry to see you're feeling better," which he wishes to convey. Instead of saying, 'I can see you now, Mr Stanley,' the nurse says, 'I can see you now, Mr Stud.'</w:t>
      </w:r>
    </w:p>
    <w:p w:rsidRPr="005F784E" w:rsidR="00EE7267" w:rsidP="1FE167F7" w:rsidRDefault="005F784E" w14:paraId="71F914B1" w14:textId="3CF93E45">
      <w:pPr>
        <w:rPr>
          <w:rFonts w:cs="Times New Roman"/>
          <w:color w:val="000000" w:themeColor="text1"/>
        </w:rPr>
      </w:pPr>
      <w:r w:rsidRPr="2F6B72D4" w:rsidR="517F404E">
        <w:rPr>
          <w:rFonts w:cs="Times New Roman"/>
          <w:color w:val="000000" w:themeColor="text1" w:themeTint="FF" w:themeShade="FF"/>
        </w:rPr>
        <w:t>These incidents show Freudian slips (parapraxes). According to Freud, a person's unconscious thoughts come to the surface when they say things, and those things are not what they meant to say. Eve</w:t>
      </w:r>
      <w:r w:rsidRPr="2F6B72D4" w:rsidR="517F404E">
        <w:rPr>
          <w:rFonts w:cs="Times New Roman"/>
          <w:color w:val="000000" w:themeColor="text1" w:themeTint="FF" w:themeShade="FF"/>
        </w:rPr>
        <w:t>ry deed is performed for a certain reason. Er</w:t>
      </w:r>
      <w:r w:rsidRPr="2F6B72D4" w:rsidR="517F404E">
        <w:rPr>
          <w:rFonts w:cs="Times New Roman"/>
          <w:color w:val="000000" w:themeColor="text1" w:themeTint="FF" w:themeShade="FF"/>
        </w:rPr>
        <w:t xml:space="preserve">rors of a Freudian kind are quite widespread in Western nations (Islam, </w:t>
      </w:r>
      <w:r w:rsidRPr="2F6B72D4" w:rsidR="517F404E">
        <w:rPr>
          <w:rFonts w:cs="Times New Roman"/>
          <w:color w:val="000000" w:themeColor="text1" w:themeTint="FF" w:themeShade="FF"/>
        </w:rPr>
        <w:t>Ahmed</w:t>
      </w:r>
      <w:r w:rsidRPr="2F6B72D4" w:rsidR="517F404E">
        <w:rPr>
          <w:rFonts w:cs="Times New Roman"/>
          <w:color w:val="000000" w:themeColor="text1" w:themeTint="FF" w:themeShade="FF"/>
        </w:rPr>
        <w:t xml:space="preserve"> and Ali, 2018). The ego, the id, and the superego are the three components that make up what Sigmund Freud referred to as the structure of the mind. Identifier Different personalities and modes of thought are innately embedded in everyone from birth (Foli, 2022). It makes up the vast bulk of the structure that is not consciously accessible in the brain. The sexual and aggressive urge that seeks rapid gratification is referred to as an individual's id. There is also the concept of psychic energy that can be used. Ego Even though this is the part of a person's personality or mental state that needs the greatest conscious awareness, it accounts for at least half of the total. Ego development continues throughout infancy, and it acts as a check on the impulses that are fostered by the surrounding environment. These desires are internalized by the superego (Zhao et al., 2020). Superego Around the age of five, children begin to develop their superego, which is also often referred to as the conscience. The superego motivates individuals to behave by society norms by invoking feelings of guilt and pride in them. Even though it is aware of itself in certain ways, the superego </w:t>
      </w:r>
      <w:r w:rsidRPr="2F6B72D4" w:rsidR="517F404E">
        <w:rPr>
          <w:rFonts w:cs="Times New Roman"/>
          <w:color w:val="000000" w:themeColor="text1" w:themeTint="FF" w:themeShade="FF"/>
        </w:rPr>
        <w:t>lives</w:t>
      </w:r>
      <w:r w:rsidRPr="2F6B72D4" w:rsidR="517F404E">
        <w:rPr>
          <w:rFonts w:cs="Times New Roman"/>
          <w:color w:val="000000" w:themeColor="text1" w:themeTint="FF" w:themeShade="FF"/>
        </w:rPr>
        <w:t xml:space="preserve"> in the preconscious and unconscious regions of the mind.</w:t>
      </w:r>
    </w:p>
    <w:p w:rsidRPr="005F784E" w:rsidR="00EE7267" w:rsidP="005F784E" w:rsidRDefault="00541879" w14:paraId="7B9BC900" w14:textId="77777777">
      <w:pPr>
        <w:pStyle w:val="Heading1"/>
        <w:rPr>
          <w:rFonts w:cs="Times New Roman"/>
          <w:color w:val="000000" w:themeColor="text1"/>
          <w:szCs w:val="24"/>
        </w:rPr>
      </w:pPr>
      <w:r w:rsidRPr="005F784E">
        <w:rPr>
          <w:rFonts w:cs="Times New Roman"/>
          <w:color w:val="000000" w:themeColor="text1"/>
          <w:szCs w:val="24"/>
        </w:rPr>
        <w:t>Cognitive psychology</w:t>
      </w:r>
    </w:p>
    <w:p w:rsidRPr="005F784E" w:rsidR="00EE7267" w:rsidP="1FE167F7" w:rsidRDefault="005F784E" w14:paraId="227B0B33" w14:textId="7AABC9F1">
      <w:pPr>
        <w:rPr>
          <w:rFonts w:cs="Times New Roman"/>
          <w:color w:val="000000" w:themeColor="text1"/>
        </w:rPr>
      </w:pPr>
      <w:r w:rsidRPr="1FE167F7">
        <w:rPr>
          <w:rFonts w:cs="Times New Roman"/>
          <w:color w:val="000000" w:themeColor="text1"/>
        </w:rPr>
        <w:t>Cognitive psychologists are of the opinion that behaviour can be taught and that every occurrence is the product of a stimulus and a reaction to that stimulus (Van der Heijden, Brown Mahoney and Xu, 2019). Psychologists who study the connection between motivation and reaction are especially interested in the time that passes between the stimulus and the response. This is since these psychologists are aware that not all pieces of information produce the expected intuitive response (Islam, Ahmed and Ali, 2018). Even though Piaget's theory of cognitive development is widely recognized as a valid framework for understanding how and where the material is stored and processed, the field of psychology continues to struggle to answer these questions (Feng et al., 2018). Our comprehension of the universe expands in tandem with the progress that is being made in the fields of bio and cognitive research (Sheehan et al., 2019). It is for this reason that cognitive psychologists often use metaphors to illustrate the abilities of the brain to process information, such as comparing the brain to a computer or other type of machine. When confronted with an issue, a computer employs a methodical strategy to figure out how to fix it (Havens, Gittell and Vasey, 2018). Some cognitive psychologists believe that it is possible to draw parallels between human behaviour and that of a hard disc and the software that goes along with it (Anasori, Bayighomog and Tanova, 2020).</w:t>
      </w:r>
    </w:p>
    <w:p w:rsidRPr="005F784E" w:rsidR="00EE7267" w:rsidP="1FE167F7" w:rsidRDefault="005F784E" w14:paraId="6569634A" w14:textId="080AD950">
      <w:pPr>
        <w:rPr>
          <w:rFonts w:cs="Times New Roman"/>
          <w:color w:val="000000" w:themeColor="text1"/>
        </w:rPr>
      </w:pPr>
      <w:r w:rsidRPr="2F6B72D4" w:rsidR="517F404E">
        <w:rPr>
          <w:rFonts w:cs="Times New Roman"/>
          <w:color w:val="000000" w:themeColor="text1" w:themeTint="FF" w:themeShade="FF"/>
        </w:rPr>
        <w:t xml:space="preserve">Activity Think back to a time when you </w:t>
      </w:r>
      <w:r w:rsidRPr="2F6B72D4" w:rsidR="517F404E">
        <w:rPr>
          <w:rFonts w:cs="Times New Roman"/>
          <w:color w:val="000000" w:themeColor="text1" w:themeTint="FF" w:themeShade="FF"/>
        </w:rPr>
        <w:t>weren't</w:t>
      </w:r>
      <w:r w:rsidRPr="2F6B72D4" w:rsidR="517F404E">
        <w:rPr>
          <w:rFonts w:cs="Times New Roman"/>
          <w:color w:val="000000" w:themeColor="text1" w:themeTint="FF" w:themeShade="FF"/>
        </w:rPr>
        <w:t xml:space="preserve"> feeling well and did not understand what was wrong with you. You most certainly went through the process of analyzing your symptoms and the likelihood of getting several different diseases. Weeping, chest pains, muscular aches and pains, and problems breathing are all symptoms of post-traumatic stress disorder (also known as PTSD) (Mikkelsen and Olsen, 2018). Several late nights spent dancing in a smoke-filled club, among other things, </w:t>
      </w:r>
      <w:r w:rsidRPr="2F6B72D4" w:rsidR="517F404E">
        <w:rPr>
          <w:rFonts w:cs="Times New Roman"/>
          <w:color w:val="000000" w:themeColor="text1" w:themeTint="FF" w:themeShade="FF"/>
        </w:rPr>
        <w:t>maybe one</w:t>
      </w:r>
      <w:r w:rsidRPr="2F6B72D4" w:rsidR="517F404E">
        <w:rPr>
          <w:rFonts w:cs="Times New Roman"/>
          <w:color w:val="000000" w:themeColor="text1" w:themeTint="FF" w:themeShade="FF"/>
        </w:rPr>
        <w:t xml:space="preserve"> of the triggers for these symptoms, according to Lorente, Vera, and </w:t>
      </w:r>
      <w:proofErr w:type="spellStart"/>
      <w:r w:rsidRPr="2F6B72D4" w:rsidR="517F404E">
        <w:rPr>
          <w:rFonts w:cs="Times New Roman"/>
          <w:color w:val="000000" w:themeColor="text1" w:themeTint="FF" w:themeShade="FF"/>
        </w:rPr>
        <w:t>Peiró</w:t>
      </w:r>
      <w:proofErr w:type="spellEnd"/>
      <w:r w:rsidRPr="2F6B72D4" w:rsidR="517F404E">
        <w:rPr>
          <w:rFonts w:cs="Times New Roman"/>
          <w:color w:val="000000" w:themeColor="text1" w:themeTint="FF" w:themeShade="FF"/>
        </w:rPr>
        <w:t xml:space="preserve"> (2021). I strongly suspect that this is information that is not new to you. o you. </w:t>
      </w:r>
      <w:r w:rsidRPr="2F6B72D4" w:rsidR="517F404E">
        <w:rPr>
          <w:rFonts w:cs="Times New Roman"/>
          <w:color w:val="000000" w:themeColor="text1" w:themeTint="FF" w:themeShade="FF"/>
        </w:rPr>
        <w:t>It's</w:t>
      </w:r>
      <w:r w:rsidRPr="2F6B72D4" w:rsidR="517F404E">
        <w:rPr>
          <w:rFonts w:cs="Times New Roman"/>
          <w:color w:val="000000" w:themeColor="text1" w:themeTint="FF" w:themeShade="FF"/>
        </w:rPr>
        <w:t xml:space="preserve"> possible that the doctor diagnosed you with glandular fever based on the describe symptoms you have described. According to Garcia-Izquierdo (2018), another </w:t>
      </w:r>
      <w:r w:rsidRPr="2F6B72D4" w:rsidR="517F404E">
        <w:rPr>
          <w:rFonts w:cs="Times New Roman"/>
          <w:color w:val="000000" w:themeColor="text1" w:themeTint="FF" w:themeShade="FF"/>
        </w:rPr>
        <w:t>possible explanation</w:t>
      </w:r>
      <w:r w:rsidRPr="2F6B72D4" w:rsidR="517F404E">
        <w:rPr>
          <w:rFonts w:cs="Times New Roman"/>
          <w:color w:val="000000" w:themeColor="text1" w:themeTint="FF" w:themeShade="FF"/>
        </w:rPr>
        <w:t xml:space="preserve"> for your symptoms is that they result from the setting in which they manifest. A computer would do a complete and insightful analysis of the signs and the probable causes, s, </w:t>
      </w:r>
      <w:r w:rsidRPr="2F6B72D4" w:rsidR="517F404E">
        <w:rPr>
          <w:rFonts w:cs="Times New Roman"/>
          <w:color w:val="000000" w:themeColor="text1" w:themeTint="FF" w:themeShade="FF"/>
        </w:rPr>
        <w:t>eliminating</w:t>
      </w:r>
      <w:r w:rsidRPr="2F6B72D4" w:rsidR="517F404E">
        <w:rPr>
          <w:rFonts w:cs="Times New Roman"/>
          <w:color w:val="000000" w:themeColor="text1" w:themeTint="FF" w:themeShade="FF"/>
        </w:rPr>
        <w:t xml:space="preserve"> some possibilities while elevating the significance of others because of its assessment. Cognitive psychologists have, in recent years been advocating for human thinking and decision-making that leads to healthy behaviours. As your knowledge increases, you will become more skilled at detecting the cause of your symptoms and treating them, just like a medical professional would (De Simone, Planta and icotto, 2018). To assess whether you should make another appointment with your primary care physician, it may be necessary for some circumstances to use an information-processing technique.</w:t>
      </w:r>
    </w:p>
    <w:p w:rsidRPr="005F784E" w:rsidR="00D14229" w:rsidP="005F784E" w:rsidRDefault="00D14229" w14:paraId="1712FDD4" w14:textId="77777777">
      <w:pPr>
        <w:spacing w:before="0" w:after="160"/>
        <w:ind w:firstLine="0"/>
        <w:jc w:val="left"/>
        <w:rPr>
          <w:rFonts w:cs="Times New Roman" w:eastAsiaTheme="majorEastAsia"/>
          <w:b/>
          <w:color w:val="000000" w:themeColor="text1"/>
          <w:szCs w:val="24"/>
        </w:rPr>
      </w:pPr>
    </w:p>
    <w:p w:rsidRPr="005F784E" w:rsidR="00D14229" w:rsidP="005F784E" w:rsidRDefault="00541879" w14:paraId="4EA06FBA" w14:textId="77777777">
      <w:pPr>
        <w:spacing w:before="0" w:after="160"/>
        <w:ind w:firstLine="0"/>
        <w:jc w:val="left"/>
        <w:rPr>
          <w:rFonts w:cs="Times New Roman" w:eastAsiaTheme="majorEastAsia"/>
          <w:b/>
          <w:color w:val="000000" w:themeColor="text1"/>
          <w:szCs w:val="24"/>
        </w:rPr>
      </w:pPr>
      <w:r w:rsidRPr="005F784E">
        <w:rPr>
          <w:rFonts w:cs="Times New Roman"/>
          <w:color w:val="000000" w:themeColor="text1"/>
          <w:szCs w:val="24"/>
        </w:rPr>
        <w:br w:type="page"/>
      </w:r>
    </w:p>
    <w:p w:rsidRPr="005F784E" w:rsidR="005D0110" w:rsidP="005F784E" w:rsidRDefault="00541879" w14:paraId="7BEB17DF" w14:textId="77777777">
      <w:pPr>
        <w:pStyle w:val="Heading1"/>
        <w:rPr>
          <w:rFonts w:cs="Times New Roman"/>
          <w:color w:val="000000" w:themeColor="text1"/>
          <w:szCs w:val="24"/>
        </w:rPr>
      </w:pPr>
      <w:r w:rsidRPr="005F784E">
        <w:rPr>
          <w:rFonts w:cs="Times New Roman"/>
          <w:color w:val="000000" w:themeColor="text1"/>
          <w:szCs w:val="24"/>
        </w:rPr>
        <w:t>References</w:t>
      </w:r>
    </w:p>
    <w:p w:rsidRPr="005F784E" w:rsidR="00743B48" w:rsidP="005F784E" w:rsidRDefault="00743B48" w14:paraId="120F7397" w14:textId="77777777">
      <w:pPr>
        <w:rPr>
          <w:rFonts w:cs="Times New Roman"/>
          <w:color w:val="000000" w:themeColor="text1"/>
          <w:szCs w:val="24"/>
          <w:shd w:val="clear" w:color="auto" w:fill="FFFFFF"/>
        </w:rPr>
      </w:pPr>
      <w:r w:rsidRPr="005F784E">
        <w:rPr>
          <w:rFonts w:cs="Times New Roman"/>
          <w:color w:val="000000" w:themeColor="text1"/>
          <w:szCs w:val="24"/>
          <w:shd w:val="clear" w:color="auto" w:fill="FFFFFF"/>
        </w:rPr>
        <w:t>Aggarwal, A., Dhaliwal, R.S. and Nobi, K., 2018. Impact of structural empowerment on organizational commitment: the mediating role of women’s psychological empowerment. </w:t>
      </w:r>
      <w:r w:rsidRPr="005F784E">
        <w:rPr>
          <w:rFonts w:cs="Times New Roman"/>
          <w:i/>
          <w:iCs/>
          <w:color w:val="000000" w:themeColor="text1"/>
          <w:szCs w:val="24"/>
          <w:shd w:val="clear" w:color="auto" w:fill="FFFFFF"/>
        </w:rPr>
        <w:t>Vision</w:t>
      </w:r>
      <w:r w:rsidRPr="005F784E">
        <w:rPr>
          <w:rFonts w:cs="Times New Roman"/>
          <w:color w:val="000000" w:themeColor="text1"/>
          <w:szCs w:val="24"/>
          <w:shd w:val="clear" w:color="auto" w:fill="FFFFFF"/>
        </w:rPr>
        <w:t>, </w:t>
      </w:r>
      <w:r w:rsidRPr="005F784E">
        <w:rPr>
          <w:rFonts w:cs="Times New Roman"/>
          <w:i/>
          <w:iCs/>
          <w:color w:val="000000" w:themeColor="text1"/>
          <w:szCs w:val="24"/>
          <w:shd w:val="clear" w:color="auto" w:fill="FFFFFF"/>
        </w:rPr>
        <w:t>22</w:t>
      </w:r>
      <w:r w:rsidRPr="005F784E">
        <w:rPr>
          <w:rFonts w:cs="Times New Roman"/>
          <w:color w:val="000000" w:themeColor="text1"/>
          <w:szCs w:val="24"/>
          <w:shd w:val="clear" w:color="auto" w:fill="FFFFFF"/>
        </w:rPr>
        <w:t>(3), pp.284-294.</w:t>
      </w:r>
    </w:p>
    <w:p w:rsidRPr="005F784E" w:rsidR="00743B48" w:rsidP="005F784E" w:rsidRDefault="00743B48" w14:paraId="75D225AB" w14:textId="77777777">
      <w:pPr>
        <w:rPr>
          <w:rFonts w:cs="Times New Roman"/>
          <w:color w:val="000000" w:themeColor="text1"/>
          <w:szCs w:val="24"/>
          <w:shd w:val="clear" w:color="auto" w:fill="FFFFFF"/>
        </w:rPr>
      </w:pPr>
      <w:r w:rsidRPr="005F784E">
        <w:rPr>
          <w:rFonts w:cs="Times New Roman"/>
          <w:color w:val="000000" w:themeColor="text1"/>
          <w:szCs w:val="24"/>
          <w:shd w:val="clear" w:color="auto" w:fill="FFFFFF"/>
        </w:rPr>
        <w:t>Anasori, E., Bayighomog, S.W. and Tanova, C., 2020. Workplace bullying, psychological distress, resilience, mindfulness, and emotional exhaustion. </w:t>
      </w:r>
      <w:r w:rsidRPr="005F784E">
        <w:rPr>
          <w:rFonts w:cs="Times New Roman"/>
          <w:i/>
          <w:iCs/>
          <w:color w:val="000000" w:themeColor="text1"/>
          <w:szCs w:val="24"/>
          <w:shd w:val="clear" w:color="auto" w:fill="FFFFFF"/>
        </w:rPr>
        <w:t>The Service Industries Journal</w:t>
      </w:r>
      <w:r w:rsidRPr="005F784E">
        <w:rPr>
          <w:rFonts w:cs="Times New Roman"/>
          <w:color w:val="000000" w:themeColor="text1"/>
          <w:szCs w:val="24"/>
          <w:shd w:val="clear" w:color="auto" w:fill="FFFFFF"/>
        </w:rPr>
        <w:t>, </w:t>
      </w:r>
      <w:r w:rsidRPr="005F784E">
        <w:rPr>
          <w:rFonts w:cs="Times New Roman"/>
          <w:i/>
          <w:iCs/>
          <w:color w:val="000000" w:themeColor="text1"/>
          <w:szCs w:val="24"/>
          <w:shd w:val="clear" w:color="auto" w:fill="FFFFFF"/>
        </w:rPr>
        <w:t>40</w:t>
      </w:r>
      <w:r w:rsidRPr="005F784E">
        <w:rPr>
          <w:rFonts w:cs="Times New Roman"/>
          <w:color w:val="000000" w:themeColor="text1"/>
          <w:szCs w:val="24"/>
          <w:shd w:val="clear" w:color="auto" w:fill="FFFFFF"/>
        </w:rPr>
        <w:t>(1-2), pp.65-89.</w:t>
      </w:r>
    </w:p>
    <w:p w:rsidRPr="005F784E" w:rsidR="00743B48" w:rsidP="005F784E" w:rsidRDefault="00743B48" w14:paraId="19FC0BB5" w14:textId="77777777">
      <w:pPr>
        <w:rPr>
          <w:rFonts w:cs="Times New Roman"/>
          <w:color w:val="000000" w:themeColor="text1"/>
          <w:szCs w:val="24"/>
          <w:shd w:val="clear" w:color="auto" w:fill="FFFFFF"/>
        </w:rPr>
      </w:pPr>
      <w:r w:rsidRPr="005F784E">
        <w:rPr>
          <w:rFonts w:cs="Times New Roman"/>
          <w:color w:val="000000" w:themeColor="text1"/>
          <w:szCs w:val="24"/>
          <w:shd w:val="clear" w:color="auto" w:fill="FFFFFF"/>
        </w:rPr>
        <w:t>Dall’Ora, C., Ball, J., Reinius, M. and Griffiths, P., 2020. Burnout in nursing: a theoretical review. </w:t>
      </w:r>
      <w:r w:rsidRPr="005F784E">
        <w:rPr>
          <w:rFonts w:cs="Times New Roman"/>
          <w:i/>
          <w:iCs/>
          <w:color w:val="000000" w:themeColor="text1"/>
          <w:szCs w:val="24"/>
          <w:shd w:val="clear" w:color="auto" w:fill="FFFFFF"/>
        </w:rPr>
        <w:t>Human resources for health</w:t>
      </w:r>
      <w:r w:rsidRPr="005F784E">
        <w:rPr>
          <w:rFonts w:cs="Times New Roman"/>
          <w:color w:val="000000" w:themeColor="text1"/>
          <w:szCs w:val="24"/>
          <w:shd w:val="clear" w:color="auto" w:fill="FFFFFF"/>
        </w:rPr>
        <w:t>, </w:t>
      </w:r>
      <w:r w:rsidRPr="005F784E">
        <w:rPr>
          <w:rFonts w:cs="Times New Roman"/>
          <w:i/>
          <w:iCs/>
          <w:color w:val="000000" w:themeColor="text1"/>
          <w:szCs w:val="24"/>
          <w:shd w:val="clear" w:color="auto" w:fill="FFFFFF"/>
        </w:rPr>
        <w:t>18</w:t>
      </w:r>
      <w:r w:rsidRPr="005F784E">
        <w:rPr>
          <w:rFonts w:cs="Times New Roman"/>
          <w:color w:val="000000" w:themeColor="text1"/>
          <w:szCs w:val="24"/>
          <w:shd w:val="clear" w:color="auto" w:fill="FFFFFF"/>
        </w:rPr>
        <w:t>(1), pp.1-17.</w:t>
      </w:r>
    </w:p>
    <w:p w:rsidRPr="005F784E" w:rsidR="00743B48" w:rsidP="2F6B72D4" w:rsidRDefault="00743B48" w14:paraId="7559D885" w14:textId="10FE357C">
      <w:pPr>
        <w:rPr>
          <w:rFonts w:cs="Times New Roman"/>
          <w:color w:val="000000" w:themeColor="text1"/>
          <w:shd w:val="clear" w:color="auto" w:fill="FFFFFF"/>
        </w:rPr>
      </w:pPr>
      <w:r w:rsidRPr="2F6B72D4" w:rsidR="1DA4BA85">
        <w:rPr>
          <w:rFonts w:cs="Times New Roman"/>
          <w:color w:val="000000" w:themeColor="text1"/>
          <w:shd w:val="clear" w:color="auto" w:fill="FFFFFF"/>
        </w:rPr>
        <w:t xml:space="preserve">De Simone, S., Planta, A. and </w:t>
      </w:r>
      <w:proofErr w:type="spellStart"/>
      <w:r w:rsidRPr="2F6B72D4" w:rsidR="1DA4BA85">
        <w:rPr>
          <w:rFonts w:cs="Times New Roman"/>
          <w:color w:val="000000" w:themeColor="text1"/>
          <w:shd w:val="clear" w:color="auto" w:fill="FFFFFF"/>
        </w:rPr>
        <w:t>Cicotto</w:t>
      </w:r>
      <w:proofErr w:type="spellEnd"/>
      <w:r w:rsidRPr="2F6B72D4" w:rsidR="1DA4BA85">
        <w:rPr>
          <w:rFonts w:cs="Times New Roman"/>
          <w:color w:val="000000" w:themeColor="text1"/>
          <w:shd w:val="clear" w:color="auto" w:fill="FFFFFF"/>
        </w:rPr>
        <w:t xml:space="preserve">, G., 2018. The role of job satisfaction, work engagement, self-efficacy and agentic </w:t>
      </w:r>
      <w:r w:rsidRPr="2F6B72D4" w:rsidR="1DA4BA85">
        <w:rPr>
          <w:rFonts w:cs="Times New Roman"/>
          <w:color w:val="000000" w:themeColor="text1"/>
          <w:shd w:val="clear" w:color="auto" w:fill="FFFFFF"/>
        </w:rPr>
        <w:t>abilities</w:t>
      </w:r>
      <w:r w:rsidRPr="2F6B72D4" w:rsidR="1DA4BA85">
        <w:rPr>
          <w:rFonts w:cs="Times New Roman"/>
          <w:color w:val="000000" w:themeColor="text1"/>
          <w:shd w:val="clear" w:color="auto" w:fill="FFFFFF"/>
        </w:rPr>
        <w:t xml:space="preserve"> on nurses' turnover intention and patient satisfaction. </w:t>
      </w:r>
      <w:r w:rsidRPr="2F6B72D4" w:rsidR="1DA4BA85">
        <w:rPr>
          <w:rFonts w:cs="Times New Roman"/>
          <w:i w:val="1"/>
          <w:iCs w:val="1"/>
          <w:color w:val="000000" w:themeColor="text1"/>
          <w:shd w:val="clear" w:color="auto" w:fill="FFFFFF"/>
        </w:rPr>
        <w:t>Applied Nursing Research</w:t>
      </w:r>
      <w:r w:rsidRPr="2F6B72D4" w:rsidR="1DA4BA85">
        <w:rPr>
          <w:rFonts w:cs="Times New Roman"/>
          <w:color w:val="000000" w:themeColor="text1"/>
          <w:shd w:val="clear" w:color="auto" w:fill="FFFFFF"/>
        </w:rPr>
        <w:t>, </w:t>
      </w:r>
      <w:r w:rsidRPr="2F6B72D4" w:rsidR="1DA4BA85">
        <w:rPr>
          <w:rFonts w:cs="Times New Roman"/>
          <w:i w:val="1"/>
          <w:iCs w:val="1"/>
          <w:color w:val="000000" w:themeColor="text1"/>
          <w:shd w:val="clear" w:color="auto" w:fill="FFFFFF"/>
        </w:rPr>
        <w:t>39</w:t>
      </w:r>
      <w:r w:rsidRPr="2F6B72D4" w:rsidR="1DA4BA85">
        <w:rPr>
          <w:rFonts w:cs="Times New Roman"/>
          <w:color w:val="000000" w:themeColor="text1"/>
          <w:shd w:val="clear" w:color="auto" w:fill="FFFFFF"/>
        </w:rPr>
        <w:t>, pp.130-140.</w:t>
      </w:r>
    </w:p>
    <w:p w:rsidRPr="005F784E" w:rsidR="00743B48" w:rsidP="00743B48" w:rsidRDefault="00743B48" w14:paraId="12D4683F" w14:textId="77777777">
      <w:pPr>
        <w:rPr>
          <w:rFonts w:cs="Times New Roman"/>
          <w:color w:val="000000" w:themeColor="text1"/>
          <w:szCs w:val="24"/>
          <w:shd w:val="clear" w:color="auto" w:fill="FFFFFF"/>
        </w:rPr>
      </w:pPr>
      <w:r w:rsidRPr="005F784E">
        <w:rPr>
          <w:rFonts w:cs="Times New Roman"/>
          <w:color w:val="000000" w:themeColor="text1"/>
          <w:szCs w:val="24"/>
          <w:shd w:val="clear" w:color="auto" w:fill="FFFFFF"/>
        </w:rPr>
        <w:t xml:space="preserve">Feng, D., Su, S., Wang, L. and Liu, F., 2018. The protective role of self‐esteem perceived social support and job satisfaction against psychological distress among Chinese nurses. </w:t>
      </w:r>
      <w:r w:rsidRPr="005F784E">
        <w:rPr>
          <w:rFonts w:cs="Times New Roman"/>
          <w:i/>
          <w:iCs/>
          <w:color w:val="000000" w:themeColor="text1"/>
          <w:szCs w:val="24"/>
          <w:shd w:val="clear" w:color="auto" w:fill="FFFFFF"/>
        </w:rPr>
        <w:t>Journal of Nursing Management</w:t>
      </w:r>
      <w:r w:rsidRPr="005F784E">
        <w:rPr>
          <w:rFonts w:cs="Times New Roman"/>
          <w:color w:val="000000" w:themeColor="text1"/>
          <w:szCs w:val="24"/>
          <w:shd w:val="clear" w:color="auto" w:fill="FFFFFF"/>
        </w:rPr>
        <w:t>, </w:t>
      </w:r>
      <w:r w:rsidRPr="005F784E">
        <w:rPr>
          <w:rFonts w:cs="Times New Roman"/>
          <w:i/>
          <w:iCs/>
          <w:color w:val="000000" w:themeColor="text1"/>
          <w:szCs w:val="24"/>
          <w:shd w:val="clear" w:color="auto" w:fill="FFFFFF"/>
        </w:rPr>
        <w:t>26</w:t>
      </w:r>
      <w:r w:rsidRPr="005F784E">
        <w:rPr>
          <w:rFonts w:cs="Times New Roman"/>
          <w:color w:val="000000" w:themeColor="text1"/>
          <w:szCs w:val="24"/>
          <w:shd w:val="clear" w:color="auto" w:fill="FFFFFF"/>
        </w:rPr>
        <w:t>(4), pp.366-372.</w:t>
      </w:r>
    </w:p>
    <w:p w:rsidRPr="005F784E" w:rsidR="00743B48" w:rsidP="005F784E" w:rsidRDefault="00743B48" w14:paraId="79AFEB29" w14:textId="77777777">
      <w:pPr>
        <w:ind w:left="720" w:hanging="720"/>
        <w:rPr>
          <w:rFonts w:cs="Times New Roman"/>
          <w:color w:val="000000" w:themeColor="text1"/>
          <w:szCs w:val="24"/>
          <w:shd w:val="clear" w:color="auto" w:fill="FFFFFF"/>
        </w:rPr>
      </w:pPr>
      <w:r w:rsidRPr="005F784E">
        <w:rPr>
          <w:rFonts w:cs="Times New Roman"/>
          <w:color w:val="000000" w:themeColor="text1"/>
          <w:szCs w:val="24"/>
          <w:shd w:val="clear" w:color="auto" w:fill="FFFFFF"/>
        </w:rPr>
        <w:t>Foli, K.J., 2022. A Middle-Range Theory of Nurses' Psychological Trauma. </w:t>
      </w:r>
      <w:r w:rsidRPr="005F784E">
        <w:rPr>
          <w:rFonts w:cs="Times New Roman"/>
          <w:i/>
          <w:iCs/>
          <w:color w:val="000000" w:themeColor="text1"/>
          <w:szCs w:val="24"/>
          <w:shd w:val="clear" w:color="auto" w:fill="FFFFFF"/>
        </w:rPr>
        <w:t>Advances in Nursing Science</w:t>
      </w:r>
      <w:r w:rsidRPr="005F784E">
        <w:rPr>
          <w:rFonts w:cs="Times New Roman"/>
          <w:color w:val="000000" w:themeColor="text1"/>
          <w:szCs w:val="24"/>
          <w:shd w:val="clear" w:color="auto" w:fill="FFFFFF"/>
        </w:rPr>
        <w:t>, </w:t>
      </w:r>
      <w:r w:rsidRPr="005F784E">
        <w:rPr>
          <w:rFonts w:cs="Times New Roman"/>
          <w:i/>
          <w:iCs/>
          <w:color w:val="000000" w:themeColor="text1"/>
          <w:szCs w:val="24"/>
          <w:shd w:val="clear" w:color="auto" w:fill="FFFFFF"/>
        </w:rPr>
        <w:t>45</w:t>
      </w:r>
      <w:r w:rsidRPr="005F784E">
        <w:rPr>
          <w:rFonts w:cs="Times New Roman"/>
          <w:color w:val="000000" w:themeColor="text1"/>
          <w:szCs w:val="24"/>
          <w:shd w:val="clear" w:color="auto" w:fill="FFFFFF"/>
        </w:rPr>
        <w:t>(1), pp.86-98.</w:t>
      </w:r>
    </w:p>
    <w:p w:rsidRPr="005F784E" w:rsidR="00743B48" w:rsidP="2F6B72D4" w:rsidRDefault="00743B48" w14:paraId="6CDD7F86" w14:textId="34F3AA43">
      <w:pPr>
        <w:ind w:left="720" w:hanging="720"/>
        <w:rPr>
          <w:rFonts w:cs="Times New Roman"/>
          <w:color w:val="000000" w:themeColor="text1"/>
          <w:shd w:val="clear" w:color="auto" w:fill="FFFFFF"/>
        </w:rPr>
      </w:pPr>
      <w:r w:rsidRPr="2F6B72D4" w:rsidR="1DA4BA85">
        <w:rPr>
          <w:rFonts w:cs="Times New Roman"/>
          <w:color w:val="000000" w:themeColor="text1"/>
          <w:shd w:val="clear" w:color="auto" w:fill="FFFFFF"/>
        </w:rPr>
        <w:t>García-Izquierdo, M., Ríos-</w:t>
      </w:r>
      <w:proofErr w:type="spellStart"/>
      <w:r w:rsidRPr="2F6B72D4" w:rsidR="1DA4BA85">
        <w:rPr>
          <w:rFonts w:cs="Times New Roman"/>
          <w:color w:val="000000" w:themeColor="text1"/>
          <w:shd w:val="clear" w:color="auto" w:fill="FFFFFF"/>
        </w:rPr>
        <w:t>Risquez</w:t>
      </w:r>
      <w:proofErr w:type="spellEnd"/>
      <w:r w:rsidRPr="2F6B72D4" w:rsidR="1DA4BA85">
        <w:rPr>
          <w:rFonts w:cs="Times New Roman"/>
          <w:color w:val="000000" w:themeColor="text1"/>
          <w:shd w:val="clear" w:color="auto" w:fill="FFFFFF"/>
        </w:rPr>
        <w:t xml:space="preserve">, M.I., Carrillo-García, C. and Sabuco-Tebar, E.D.L.Á., 2018. The moderating role of resilience in the relationship between academic burnout and the </w:t>
      </w:r>
      <w:r w:rsidRPr="2F6B72D4" w:rsidR="1DA4BA85">
        <w:rPr>
          <w:rFonts w:cs="Times New Roman"/>
          <w:color w:val="000000" w:themeColor="text1"/>
          <w:shd w:val="clear" w:color="auto" w:fill="FFFFFF"/>
        </w:rPr>
        <w:t>feeling</w:t>
      </w:r>
      <w:r w:rsidRPr="2F6B72D4" w:rsidR="1DA4BA85">
        <w:rPr>
          <w:rFonts w:cs="Times New Roman"/>
          <w:color w:val="000000" w:themeColor="text1"/>
          <w:shd w:val="clear" w:color="auto" w:fill="FFFFFF"/>
        </w:rPr>
        <w:t xml:space="preserve"> of psychological health in nursing students. </w:t>
      </w:r>
      <w:r w:rsidRPr="2F6B72D4" w:rsidR="1DA4BA85">
        <w:rPr>
          <w:rFonts w:cs="Times New Roman"/>
          <w:i w:val="1"/>
          <w:iCs w:val="1"/>
          <w:color w:val="000000" w:themeColor="text1"/>
          <w:shd w:val="clear" w:color="auto" w:fill="FFFFFF"/>
        </w:rPr>
        <w:t>Educational Psychology</w:t>
      </w:r>
      <w:r w:rsidRPr="2F6B72D4" w:rsidR="1DA4BA85">
        <w:rPr>
          <w:rFonts w:cs="Times New Roman"/>
          <w:color w:val="000000" w:themeColor="text1"/>
          <w:shd w:val="clear" w:color="auto" w:fill="FFFFFF"/>
        </w:rPr>
        <w:t>, </w:t>
      </w:r>
      <w:r w:rsidRPr="2F6B72D4" w:rsidR="1DA4BA85">
        <w:rPr>
          <w:rFonts w:cs="Times New Roman"/>
          <w:i w:val="1"/>
          <w:iCs w:val="1"/>
          <w:color w:val="000000" w:themeColor="text1"/>
          <w:shd w:val="clear" w:color="auto" w:fill="FFFFFF"/>
        </w:rPr>
        <w:t>38</w:t>
      </w:r>
      <w:r w:rsidRPr="2F6B72D4" w:rsidR="1DA4BA85">
        <w:rPr>
          <w:rFonts w:cs="Times New Roman"/>
          <w:color w:val="000000" w:themeColor="text1"/>
          <w:shd w:val="clear" w:color="auto" w:fill="FFFFFF"/>
        </w:rPr>
        <w:t>(8), pp.1068-1079.</w:t>
      </w:r>
    </w:p>
    <w:p w:rsidRPr="005F784E" w:rsidR="00743B48" w:rsidP="2F6B72D4" w:rsidRDefault="00743B48" w14:paraId="08722CCC" w14:textId="7146D393">
      <w:pPr>
        <w:rPr>
          <w:rFonts w:cs="Times New Roman"/>
          <w:color w:val="000000" w:themeColor="text1"/>
          <w:shd w:val="clear" w:color="auto" w:fill="FFFFFF"/>
        </w:rPr>
      </w:pPr>
      <w:r w:rsidRPr="2F6B72D4" w:rsidR="1DA4BA85">
        <w:rPr>
          <w:rFonts w:cs="Times New Roman"/>
          <w:color w:val="000000" w:themeColor="text1"/>
          <w:shd w:val="clear" w:color="auto" w:fill="FFFFFF"/>
        </w:rPr>
        <w:t>García-Izquierdo, M., Ríos-</w:t>
      </w:r>
      <w:proofErr w:type="spellStart"/>
      <w:r w:rsidRPr="2F6B72D4" w:rsidR="1DA4BA85">
        <w:rPr>
          <w:rFonts w:cs="Times New Roman"/>
          <w:color w:val="000000" w:themeColor="text1"/>
          <w:shd w:val="clear" w:color="auto" w:fill="FFFFFF"/>
        </w:rPr>
        <w:t>Risquez</w:t>
      </w:r>
      <w:proofErr w:type="spellEnd"/>
      <w:r w:rsidRPr="2F6B72D4" w:rsidR="1DA4BA85">
        <w:rPr>
          <w:rFonts w:cs="Times New Roman"/>
          <w:color w:val="000000" w:themeColor="text1"/>
          <w:shd w:val="clear" w:color="auto" w:fill="FFFFFF"/>
        </w:rPr>
        <w:t xml:space="preserve">, M.I., Carrillo-García, C. and Sabuco-Tebar, E.D.L.Á., 2018. The moderating role of resilience in the relationship between academic burnout and the </w:t>
      </w:r>
      <w:r w:rsidRPr="2F6B72D4" w:rsidR="1DA4BA85">
        <w:rPr>
          <w:rFonts w:cs="Times New Roman"/>
          <w:color w:val="000000" w:themeColor="text1"/>
          <w:shd w:val="clear" w:color="auto" w:fill="FFFFFF"/>
        </w:rPr>
        <w:t>feeling</w:t>
      </w:r>
      <w:r w:rsidRPr="2F6B72D4" w:rsidR="1DA4BA85">
        <w:rPr>
          <w:rFonts w:cs="Times New Roman"/>
          <w:color w:val="000000" w:themeColor="text1"/>
          <w:shd w:val="clear" w:color="auto" w:fill="FFFFFF"/>
        </w:rPr>
        <w:t xml:space="preserve"> of psychological health in nursing students. </w:t>
      </w:r>
      <w:r w:rsidRPr="2F6B72D4" w:rsidR="1DA4BA85">
        <w:rPr>
          <w:rFonts w:cs="Times New Roman"/>
          <w:i w:val="1"/>
          <w:iCs w:val="1"/>
          <w:color w:val="000000" w:themeColor="text1"/>
          <w:shd w:val="clear" w:color="auto" w:fill="FFFFFF"/>
        </w:rPr>
        <w:t>Educational Psychology</w:t>
      </w:r>
      <w:r w:rsidRPr="2F6B72D4" w:rsidR="1DA4BA85">
        <w:rPr>
          <w:rFonts w:cs="Times New Roman"/>
          <w:color w:val="000000" w:themeColor="text1"/>
          <w:shd w:val="clear" w:color="auto" w:fill="FFFFFF"/>
        </w:rPr>
        <w:t>, </w:t>
      </w:r>
      <w:r w:rsidRPr="2F6B72D4" w:rsidR="1DA4BA85">
        <w:rPr>
          <w:rFonts w:cs="Times New Roman"/>
          <w:i w:val="1"/>
          <w:iCs w:val="1"/>
          <w:color w:val="000000" w:themeColor="text1"/>
          <w:shd w:val="clear" w:color="auto" w:fill="FFFFFF"/>
        </w:rPr>
        <w:t>38</w:t>
      </w:r>
      <w:r w:rsidRPr="2F6B72D4" w:rsidR="1DA4BA85">
        <w:rPr>
          <w:rFonts w:cs="Times New Roman"/>
          <w:color w:val="000000" w:themeColor="text1"/>
          <w:shd w:val="clear" w:color="auto" w:fill="FFFFFF"/>
        </w:rPr>
        <w:t>(8), pp.1068-1079.</w:t>
      </w:r>
    </w:p>
    <w:p w:rsidRPr="005F784E" w:rsidR="00743B48" w:rsidP="005F784E" w:rsidRDefault="00743B48" w14:paraId="1F2D3DFE" w14:textId="77777777">
      <w:pPr>
        <w:rPr>
          <w:rFonts w:cs="Times New Roman"/>
          <w:color w:val="000000" w:themeColor="text1"/>
          <w:szCs w:val="24"/>
          <w:shd w:val="clear" w:color="auto" w:fill="FFFFFF"/>
        </w:rPr>
      </w:pPr>
      <w:r w:rsidRPr="005F784E">
        <w:rPr>
          <w:rFonts w:cs="Times New Roman"/>
          <w:color w:val="000000" w:themeColor="text1"/>
          <w:szCs w:val="24"/>
          <w:shd w:val="clear" w:color="auto" w:fill="FFFFFF"/>
        </w:rPr>
        <w:t>Grover, S.L., Teo, S.T., Pick, D., Roche, M. and Newton, C.J., 2018. Psychological capital as a personal resource in the JD-R model. </w:t>
      </w:r>
      <w:r w:rsidRPr="005F784E">
        <w:rPr>
          <w:rFonts w:cs="Times New Roman"/>
          <w:i/>
          <w:iCs/>
          <w:color w:val="000000" w:themeColor="text1"/>
          <w:szCs w:val="24"/>
          <w:shd w:val="clear" w:color="auto" w:fill="FFFFFF"/>
        </w:rPr>
        <w:t>Personnel Review</w:t>
      </w:r>
      <w:r w:rsidRPr="005F784E">
        <w:rPr>
          <w:rFonts w:cs="Times New Roman"/>
          <w:color w:val="000000" w:themeColor="text1"/>
          <w:szCs w:val="24"/>
          <w:shd w:val="clear" w:color="auto" w:fill="FFFFFF"/>
        </w:rPr>
        <w:t>.</w:t>
      </w:r>
    </w:p>
    <w:p w:rsidRPr="005F784E" w:rsidR="00743B48" w:rsidP="005F784E" w:rsidRDefault="00743B48" w14:paraId="25AFEF60" w14:textId="77777777">
      <w:pPr>
        <w:rPr>
          <w:rFonts w:cs="Times New Roman"/>
          <w:color w:val="000000" w:themeColor="text1"/>
          <w:szCs w:val="24"/>
          <w:shd w:val="clear" w:color="auto" w:fill="FFFFFF"/>
        </w:rPr>
      </w:pPr>
      <w:r w:rsidRPr="005F784E">
        <w:rPr>
          <w:rFonts w:cs="Times New Roman"/>
          <w:color w:val="000000" w:themeColor="text1"/>
          <w:szCs w:val="24"/>
          <w:shd w:val="clear" w:color="auto" w:fill="FFFFFF"/>
        </w:rPr>
        <w:t>Havens, D.S., Gittell, J.H. and Vasey, J., 2018. Impact of relational coordination on nurse job satisfaction, work engagement and burnout: Achieving the quadruple aim. </w:t>
      </w:r>
      <w:r w:rsidRPr="005F784E">
        <w:rPr>
          <w:rFonts w:cs="Times New Roman"/>
          <w:i/>
          <w:iCs/>
          <w:color w:val="000000" w:themeColor="text1"/>
          <w:szCs w:val="24"/>
          <w:shd w:val="clear" w:color="auto" w:fill="FFFFFF"/>
        </w:rPr>
        <w:t>JONA: The Journal of Nursing Administration</w:t>
      </w:r>
      <w:r w:rsidRPr="005F784E">
        <w:rPr>
          <w:rFonts w:cs="Times New Roman"/>
          <w:color w:val="000000" w:themeColor="text1"/>
          <w:szCs w:val="24"/>
          <w:shd w:val="clear" w:color="auto" w:fill="FFFFFF"/>
        </w:rPr>
        <w:t>, </w:t>
      </w:r>
      <w:r w:rsidRPr="005F784E">
        <w:rPr>
          <w:rFonts w:cs="Times New Roman"/>
          <w:i/>
          <w:iCs/>
          <w:color w:val="000000" w:themeColor="text1"/>
          <w:szCs w:val="24"/>
          <w:shd w:val="clear" w:color="auto" w:fill="FFFFFF"/>
        </w:rPr>
        <w:t>48</w:t>
      </w:r>
      <w:r w:rsidRPr="005F784E">
        <w:rPr>
          <w:rFonts w:cs="Times New Roman"/>
          <w:color w:val="000000" w:themeColor="text1"/>
          <w:szCs w:val="24"/>
          <w:shd w:val="clear" w:color="auto" w:fill="FFFFFF"/>
        </w:rPr>
        <w:t>(3), pp.132-140.</w:t>
      </w:r>
    </w:p>
    <w:p w:rsidRPr="005F784E" w:rsidR="00743B48" w:rsidP="005F784E" w:rsidRDefault="00743B48" w14:paraId="697EEEE5" w14:textId="77777777">
      <w:pPr>
        <w:rPr>
          <w:rFonts w:cs="Times New Roman"/>
          <w:color w:val="000000" w:themeColor="text1"/>
          <w:szCs w:val="24"/>
          <w:shd w:val="clear" w:color="auto" w:fill="FFFFFF"/>
        </w:rPr>
      </w:pPr>
      <w:r w:rsidRPr="005F784E">
        <w:rPr>
          <w:rFonts w:cs="Times New Roman"/>
          <w:color w:val="000000" w:themeColor="text1"/>
          <w:szCs w:val="24"/>
          <w:shd w:val="clear" w:color="auto" w:fill="FFFFFF"/>
        </w:rPr>
        <w:t>Islam, T., Ahmed, I. and Ali, G., 2018. Effects of ethical leadership on bullying and voice behavior among nurses: mediating role of organizational identification, poor working condition and workload. </w:t>
      </w:r>
      <w:r w:rsidRPr="005F784E">
        <w:rPr>
          <w:rFonts w:cs="Times New Roman"/>
          <w:i/>
          <w:iCs/>
          <w:color w:val="000000" w:themeColor="text1"/>
          <w:szCs w:val="24"/>
          <w:shd w:val="clear" w:color="auto" w:fill="FFFFFF"/>
        </w:rPr>
        <w:t>Leadership in Health Services</w:t>
      </w:r>
      <w:r w:rsidRPr="005F784E">
        <w:rPr>
          <w:rFonts w:cs="Times New Roman"/>
          <w:color w:val="000000" w:themeColor="text1"/>
          <w:szCs w:val="24"/>
          <w:shd w:val="clear" w:color="auto" w:fill="FFFFFF"/>
        </w:rPr>
        <w:t>.</w:t>
      </w:r>
    </w:p>
    <w:p w:rsidRPr="005F784E" w:rsidR="00743B48" w:rsidP="005F784E" w:rsidRDefault="00743B48" w14:paraId="459FA9CC" w14:textId="77777777">
      <w:pPr>
        <w:rPr>
          <w:rFonts w:cs="Times New Roman"/>
          <w:color w:val="000000" w:themeColor="text1"/>
          <w:szCs w:val="24"/>
          <w:shd w:val="clear" w:color="auto" w:fill="FFFFFF"/>
        </w:rPr>
      </w:pPr>
      <w:r w:rsidRPr="005F784E">
        <w:rPr>
          <w:rFonts w:cs="Times New Roman"/>
          <w:color w:val="000000" w:themeColor="text1"/>
          <w:szCs w:val="24"/>
          <w:shd w:val="clear" w:color="auto" w:fill="FFFFFF"/>
        </w:rPr>
        <w:t>Li, H., Shi, Y., Li, Y., Xing, Z., Wang, S., Ying, J., Zhang, M. and Sun, J., 2018. Relationship between nurse psychological empowerment and job satisfaction: A systematic review and meta‐analysis. </w:t>
      </w:r>
      <w:r w:rsidRPr="005F784E">
        <w:rPr>
          <w:rFonts w:cs="Times New Roman"/>
          <w:i/>
          <w:iCs/>
          <w:color w:val="000000" w:themeColor="text1"/>
          <w:szCs w:val="24"/>
          <w:shd w:val="clear" w:color="auto" w:fill="FFFFFF"/>
        </w:rPr>
        <w:t>Journal of advanced nursing</w:t>
      </w:r>
      <w:r w:rsidRPr="005F784E">
        <w:rPr>
          <w:rFonts w:cs="Times New Roman"/>
          <w:color w:val="000000" w:themeColor="text1"/>
          <w:szCs w:val="24"/>
          <w:shd w:val="clear" w:color="auto" w:fill="FFFFFF"/>
        </w:rPr>
        <w:t>, </w:t>
      </w:r>
      <w:r w:rsidRPr="005F784E">
        <w:rPr>
          <w:rFonts w:cs="Times New Roman"/>
          <w:i/>
          <w:iCs/>
          <w:color w:val="000000" w:themeColor="text1"/>
          <w:szCs w:val="24"/>
          <w:shd w:val="clear" w:color="auto" w:fill="FFFFFF"/>
        </w:rPr>
        <w:t>74</w:t>
      </w:r>
      <w:r w:rsidRPr="005F784E">
        <w:rPr>
          <w:rFonts w:cs="Times New Roman"/>
          <w:color w:val="000000" w:themeColor="text1"/>
          <w:szCs w:val="24"/>
          <w:shd w:val="clear" w:color="auto" w:fill="FFFFFF"/>
        </w:rPr>
        <w:t>(6), pp.1264-1277.</w:t>
      </w:r>
    </w:p>
    <w:p w:rsidRPr="005F784E" w:rsidR="00743B48" w:rsidP="2F6B72D4" w:rsidRDefault="00743B48" w14:paraId="1941D273" w14:textId="1E1CE584">
      <w:pPr>
        <w:ind w:left="720" w:hanging="720"/>
        <w:rPr>
          <w:rFonts w:cs="Times New Roman"/>
          <w:color w:val="000000" w:themeColor="text1"/>
          <w:shd w:val="clear" w:color="auto" w:fill="FFFFFF"/>
        </w:rPr>
      </w:pPr>
      <w:r w:rsidRPr="2F6B72D4" w:rsidR="1DA4BA85">
        <w:rPr>
          <w:rFonts w:cs="Times New Roman"/>
          <w:color w:val="000000" w:themeColor="text1"/>
          <w:shd w:val="clear" w:color="auto" w:fill="FFFFFF"/>
        </w:rPr>
        <w:t xml:space="preserve">Lorente, L., Vera, M. and </w:t>
      </w:r>
      <w:proofErr w:type="spellStart"/>
      <w:r w:rsidRPr="2F6B72D4" w:rsidR="1DA4BA85">
        <w:rPr>
          <w:rFonts w:cs="Times New Roman"/>
          <w:color w:val="000000" w:themeColor="text1"/>
          <w:shd w:val="clear" w:color="auto" w:fill="FFFFFF"/>
        </w:rPr>
        <w:t>Peiró</w:t>
      </w:r>
      <w:proofErr w:type="spellEnd"/>
      <w:r w:rsidRPr="2F6B72D4" w:rsidR="1DA4BA85">
        <w:rPr>
          <w:rFonts w:cs="Times New Roman"/>
          <w:color w:val="000000" w:themeColor="text1"/>
          <w:shd w:val="clear" w:color="auto" w:fill="FFFFFF"/>
        </w:rPr>
        <w:t xml:space="preserve">, T., 2021. </w:t>
      </w:r>
      <w:r w:rsidRPr="2F6B72D4" w:rsidR="1DA4BA85">
        <w:rPr>
          <w:rFonts w:cs="Times New Roman"/>
          <w:color w:val="000000" w:themeColor="text1"/>
          <w:shd w:val="clear" w:color="auto" w:fill="FFFFFF"/>
        </w:rPr>
        <w:t>Nurses'</w:t>
      </w:r>
      <w:r w:rsidRPr="2F6B72D4" w:rsidR="1DA4BA85">
        <w:rPr>
          <w:rFonts w:cs="Times New Roman"/>
          <w:color w:val="000000" w:themeColor="text1"/>
          <w:shd w:val="clear" w:color="auto" w:fill="FFFFFF"/>
        </w:rPr>
        <w:t xml:space="preserve"> stressors and psychological distress during the COVID‐19 pandemic: The mediating role of coping and resilience. </w:t>
      </w:r>
      <w:r w:rsidRPr="2F6B72D4" w:rsidR="1DA4BA85">
        <w:rPr>
          <w:rFonts w:cs="Times New Roman"/>
          <w:i w:val="1"/>
          <w:iCs w:val="1"/>
          <w:color w:val="000000" w:themeColor="text1"/>
          <w:shd w:val="clear" w:color="auto" w:fill="FFFFFF"/>
        </w:rPr>
        <w:t>Journal of Advanced Nursing</w:t>
      </w:r>
      <w:r w:rsidRPr="2F6B72D4" w:rsidR="1DA4BA85">
        <w:rPr>
          <w:rFonts w:cs="Times New Roman"/>
          <w:color w:val="000000" w:themeColor="text1"/>
          <w:shd w:val="clear" w:color="auto" w:fill="FFFFFF"/>
        </w:rPr>
        <w:t>, </w:t>
      </w:r>
      <w:r w:rsidRPr="2F6B72D4" w:rsidR="1DA4BA85">
        <w:rPr>
          <w:rFonts w:cs="Times New Roman"/>
          <w:i w:val="1"/>
          <w:iCs w:val="1"/>
          <w:color w:val="000000" w:themeColor="text1"/>
          <w:shd w:val="clear" w:color="auto" w:fill="FFFFFF"/>
        </w:rPr>
        <w:t>77</w:t>
      </w:r>
      <w:r w:rsidRPr="2F6B72D4" w:rsidR="1DA4BA85">
        <w:rPr>
          <w:rFonts w:cs="Times New Roman"/>
          <w:color w:val="000000" w:themeColor="text1"/>
          <w:shd w:val="clear" w:color="auto" w:fill="FFFFFF"/>
        </w:rPr>
        <w:t>(3), pp.1335-1344.</w:t>
      </w:r>
    </w:p>
    <w:p w:rsidRPr="005F784E" w:rsidR="00743B48" w:rsidP="005F784E" w:rsidRDefault="00743B48" w14:paraId="0D33495E" w14:textId="77777777">
      <w:pPr>
        <w:rPr>
          <w:rFonts w:cs="Times New Roman"/>
          <w:color w:val="000000" w:themeColor="text1"/>
          <w:szCs w:val="24"/>
          <w:shd w:val="clear" w:color="auto" w:fill="FFFFFF"/>
        </w:rPr>
      </w:pPr>
      <w:r w:rsidRPr="005F784E">
        <w:rPr>
          <w:rFonts w:cs="Times New Roman"/>
          <w:color w:val="000000" w:themeColor="text1"/>
          <w:szCs w:val="24"/>
          <w:shd w:val="clear" w:color="auto" w:fill="FFFFFF"/>
        </w:rPr>
        <w:t>Mikkelsen, A. and Olsen, E., 2018. The influence of change-oriented leadership on work performance and job satisfaction in hospitals–the mediating roles of learning demands and job involvement. </w:t>
      </w:r>
      <w:r w:rsidRPr="005F784E">
        <w:rPr>
          <w:rFonts w:cs="Times New Roman"/>
          <w:i/>
          <w:iCs/>
          <w:color w:val="000000" w:themeColor="text1"/>
          <w:szCs w:val="24"/>
          <w:shd w:val="clear" w:color="auto" w:fill="FFFFFF"/>
        </w:rPr>
        <w:t>Leadership in Health Services</w:t>
      </w:r>
      <w:r w:rsidRPr="005F784E">
        <w:rPr>
          <w:rFonts w:cs="Times New Roman"/>
          <w:color w:val="000000" w:themeColor="text1"/>
          <w:szCs w:val="24"/>
          <w:shd w:val="clear" w:color="auto" w:fill="FFFFFF"/>
        </w:rPr>
        <w:t>, </w:t>
      </w:r>
      <w:r w:rsidRPr="005F784E">
        <w:rPr>
          <w:rFonts w:cs="Times New Roman"/>
          <w:i/>
          <w:iCs/>
          <w:color w:val="000000" w:themeColor="text1"/>
          <w:szCs w:val="24"/>
          <w:shd w:val="clear" w:color="auto" w:fill="FFFFFF"/>
        </w:rPr>
        <w:t>32</w:t>
      </w:r>
      <w:r w:rsidRPr="005F784E">
        <w:rPr>
          <w:rFonts w:cs="Times New Roman"/>
          <w:color w:val="000000" w:themeColor="text1"/>
          <w:szCs w:val="24"/>
          <w:shd w:val="clear" w:color="auto" w:fill="FFFFFF"/>
        </w:rPr>
        <w:t>(1), pp.37-53.</w:t>
      </w:r>
    </w:p>
    <w:p w:rsidRPr="005F784E" w:rsidR="00743B48" w:rsidP="005F784E" w:rsidRDefault="00743B48" w14:paraId="0392487C" w14:textId="77777777">
      <w:pPr>
        <w:ind w:left="720" w:hanging="720"/>
        <w:rPr>
          <w:rFonts w:cs="Times New Roman"/>
          <w:color w:val="000000" w:themeColor="text1"/>
          <w:szCs w:val="24"/>
          <w:shd w:val="clear" w:color="auto" w:fill="FFFFFF"/>
        </w:rPr>
      </w:pPr>
      <w:r w:rsidRPr="005F784E">
        <w:rPr>
          <w:rFonts w:cs="Times New Roman"/>
          <w:color w:val="000000" w:themeColor="text1"/>
          <w:szCs w:val="24"/>
          <w:shd w:val="clear" w:color="auto" w:fill="FFFFFF"/>
        </w:rPr>
        <w:t>Sheehan, C., Tham, T.L., Holland, P. and Cooper, B., 2019. Psychological contract fulfilment, engagement and nurse professional turnover intention. </w:t>
      </w:r>
      <w:r w:rsidRPr="005F784E">
        <w:rPr>
          <w:rFonts w:cs="Times New Roman"/>
          <w:i/>
          <w:iCs/>
          <w:color w:val="000000" w:themeColor="text1"/>
          <w:szCs w:val="24"/>
          <w:shd w:val="clear" w:color="auto" w:fill="FFFFFF"/>
        </w:rPr>
        <w:t>International Journal of Manpower</w:t>
      </w:r>
      <w:r w:rsidRPr="005F784E">
        <w:rPr>
          <w:rFonts w:cs="Times New Roman"/>
          <w:color w:val="000000" w:themeColor="text1"/>
          <w:szCs w:val="24"/>
          <w:shd w:val="clear" w:color="auto" w:fill="FFFFFF"/>
        </w:rPr>
        <w:t>.</w:t>
      </w:r>
    </w:p>
    <w:p w:rsidRPr="005F784E" w:rsidR="00743B48" w:rsidP="005F784E" w:rsidRDefault="00743B48" w14:paraId="1DF36C67" w14:textId="77777777">
      <w:pPr>
        <w:ind w:left="720" w:hanging="720"/>
        <w:rPr>
          <w:rFonts w:cs="Times New Roman"/>
          <w:color w:val="000000" w:themeColor="text1"/>
          <w:szCs w:val="24"/>
          <w:shd w:val="clear" w:color="auto" w:fill="FFFFFF"/>
        </w:rPr>
      </w:pPr>
      <w:r w:rsidRPr="005F784E">
        <w:rPr>
          <w:rFonts w:cs="Times New Roman"/>
          <w:color w:val="000000" w:themeColor="text1"/>
          <w:szCs w:val="24"/>
          <w:shd w:val="clear" w:color="auto" w:fill="FFFFFF"/>
        </w:rPr>
        <w:t>Soto-Rubio, A., Giménez-Espert, M.D.C. and Prado-Gascó, V., 2020. Effect of emotional intelligence and psychosocial risks on burnout, job satisfaction, and nurses’ health during the covid-19 pandemic. </w:t>
      </w:r>
      <w:r w:rsidRPr="005F784E">
        <w:rPr>
          <w:rFonts w:cs="Times New Roman"/>
          <w:i/>
          <w:iCs/>
          <w:color w:val="000000" w:themeColor="text1"/>
          <w:szCs w:val="24"/>
          <w:shd w:val="clear" w:color="auto" w:fill="FFFFFF"/>
        </w:rPr>
        <w:t>International journal of environmental research and public health</w:t>
      </w:r>
      <w:r w:rsidRPr="005F784E">
        <w:rPr>
          <w:rFonts w:cs="Times New Roman"/>
          <w:color w:val="000000" w:themeColor="text1"/>
          <w:szCs w:val="24"/>
          <w:shd w:val="clear" w:color="auto" w:fill="FFFFFF"/>
        </w:rPr>
        <w:t>, </w:t>
      </w:r>
      <w:r w:rsidRPr="005F784E">
        <w:rPr>
          <w:rFonts w:cs="Times New Roman"/>
          <w:i/>
          <w:iCs/>
          <w:color w:val="000000" w:themeColor="text1"/>
          <w:szCs w:val="24"/>
          <w:shd w:val="clear" w:color="auto" w:fill="FFFFFF"/>
        </w:rPr>
        <w:t>17</w:t>
      </w:r>
      <w:r w:rsidRPr="005F784E">
        <w:rPr>
          <w:rFonts w:cs="Times New Roman"/>
          <w:color w:val="000000" w:themeColor="text1"/>
          <w:szCs w:val="24"/>
          <w:shd w:val="clear" w:color="auto" w:fill="FFFFFF"/>
        </w:rPr>
        <w:t>(21), p.7998.</w:t>
      </w:r>
    </w:p>
    <w:p w:rsidRPr="005F784E" w:rsidR="00743B48" w:rsidP="005F784E" w:rsidRDefault="00743B48" w14:paraId="1E927D78" w14:textId="77777777">
      <w:pPr>
        <w:rPr>
          <w:rFonts w:cs="Times New Roman"/>
          <w:color w:val="000000" w:themeColor="text1"/>
          <w:szCs w:val="24"/>
          <w:shd w:val="clear" w:color="auto" w:fill="FFFFFF"/>
        </w:rPr>
      </w:pPr>
      <w:r w:rsidRPr="005F784E">
        <w:rPr>
          <w:rFonts w:cs="Times New Roman"/>
          <w:color w:val="000000" w:themeColor="text1"/>
          <w:szCs w:val="24"/>
          <w:shd w:val="clear" w:color="auto" w:fill="FFFFFF"/>
        </w:rPr>
        <w:t>Soto-Rubio, A., Giménez-Espert, M.D.C. and Prado-Gascó, V., 2020. Effect of emotional intelligence and psychosocial risks on burnout, job satisfaction, and nurses’ health during the covid-19 pandemic. </w:t>
      </w:r>
      <w:r w:rsidRPr="005F784E">
        <w:rPr>
          <w:rFonts w:cs="Times New Roman"/>
          <w:i/>
          <w:iCs/>
          <w:color w:val="000000" w:themeColor="text1"/>
          <w:szCs w:val="24"/>
          <w:shd w:val="clear" w:color="auto" w:fill="FFFFFF"/>
        </w:rPr>
        <w:t>International journal of environmental research and public health</w:t>
      </w:r>
      <w:r w:rsidRPr="005F784E">
        <w:rPr>
          <w:rFonts w:cs="Times New Roman"/>
          <w:color w:val="000000" w:themeColor="text1"/>
          <w:szCs w:val="24"/>
          <w:shd w:val="clear" w:color="auto" w:fill="FFFFFF"/>
        </w:rPr>
        <w:t>, </w:t>
      </w:r>
      <w:r w:rsidRPr="005F784E">
        <w:rPr>
          <w:rFonts w:cs="Times New Roman"/>
          <w:i/>
          <w:iCs/>
          <w:color w:val="000000" w:themeColor="text1"/>
          <w:szCs w:val="24"/>
          <w:shd w:val="clear" w:color="auto" w:fill="FFFFFF"/>
        </w:rPr>
        <w:t>17</w:t>
      </w:r>
      <w:r w:rsidRPr="005F784E">
        <w:rPr>
          <w:rFonts w:cs="Times New Roman"/>
          <w:color w:val="000000" w:themeColor="text1"/>
          <w:szCs w:val="24"/>
          <w:shd w:val="clear" w:color="auto" w:fill="FFFFFF"/>
        </w:rPr>
        <w:t>(21), p.7998.</w:t>
      </w:r>
    </w:p>
    <w:p w:rsidRPr="005F784E" w:rsidR="00743B48" w:rsidP="005F784E" w:rsidRDefault="00743B48" w14:paraId="74E41418" w14:textId="77777777">
      <w:pPr>
        <w:rPr>
          <w:rFonts w:cs="Times New Roman"/>
          <w:color w:val="000000" w:themeColor="text1"/>
          <w:szCs w:val="24"/>
          <w:shd w:val="clear" w:color="auto" w:fill="FFFFFF"/>
        </w:rPr>
      </w:pPr>
      <w:r w:rsidRPr="005F784E">
        <w:rPr>
          <w:rFonts w:cs="Times New Roman"/>
          <w:color w:val="000000" w:themeColor="text1"/>
          <w:szCs w:val="24"/>
          <w:shd w:val="clear" w:color="auto" w:fill="FFFFFF"/>
        </w:rPr>
        <w:t>Van der Heijden, B., Brown Mahoney, C. and Xu, Y., 2019. Impact of job demands and resources on nurses’ burnout and occupational turnover intention towards an age-moderated mediation model for the nursing profession. </w:t>
      </w:r>
      <w:r w:rsidRPr="005F784E">
        <w:rPr>
          <w:rFonts w:cs="Times New Roman"/>
          <w:i/>
          <w:iCs/>
          <w:color w:val="000000" w:themeColor="text1"/>
          <w:szCs w:val="24"/>
          <w:shd w:val="clear" w:color="auto" w:fill="FFFFFF"/>
        </w:rPr>
        <w:t>International journal of environmental research and public health</w:t>
      </w:r>
      <w:r w:rsidRPr="005F784E">
        <w:rPr>
          <w:rFonts w:cs="Times New Roman"/>
          <w:color w:val="000000" w:themeColor="text1"/>
          <w:szCs w:val="24"/>
          <w:shd w:val="clear" w:color="auto" w:fill="FFFFFF"/>
        </w:rPr>
        <w:t>, </w:t>
      </w:r>
      <w:r w:rsidRPr="005F784E">
        <w:rPr>
          <w:rFonts w:cs="Times New Roman"/>
          <w:i/>
          <w:iCs/>
          <w:color w:val="000000" w:themeColor="text1"/>
          <w:szCs w:val="24"/>
          <w:shd w:val="clear" w:color="auto" w:fill="FFFFFF"/>
        </w:rPr>
        <w:t>16</w:t>
      </w:r>
      <w:r w:rsidRPr="005F784E">
        <w:rPr>
          <w:rFonts w:cs="Times New Roman"/>
          <w:color w:val="000000" w:themeColor="text1"/>
          <w:szCs w:val="24"/>
          <w:shd w:val="clear" w:color="auto" w:fill="FFFFFF"/>
        </w:rPr>
        <w:t>(11), p.2011.</w:t>
      </w:r>
    </w:p>
    <w:p w:rsidRPr="005F784E" w:rsidR="00743B48" w:rsidP="005F784E" w:rsidRDefault="00743B48" w14:paraId="6CE3E310" w14:textId="77777777">
      <w:pPr>
        <w:ind w:left="720" w:hanging="720"/>
        <w:rPr>
          <w:rFonts w:cs="Times New Roman"/>
          <w:color w:val="000000" w:themeColor="text1"/>
          <w:szCs w:val="24"/>
          <w:shd w:val="clear" w:color="auto" w:fill="FFFFFF"/>
        </w:rPr>
      </w:pPr>
      <w:r w:rsidRPr="005F784E">
        <w:rPr>
          <w:rFonts w:cs="Times New Roman"/>
          <w:color w:val="000000" w:themeColor="text1"/>
          <w:szCs w:val="24"/>
          <w:shd w:val="clear" w:color="auto" w:fill="FFFFFF"/>
        </w:rPr>
        <w:t>Zhao, F., Ahmed, F. and Faraz, N.A., 2020. Caring for the caregiver during COVID-19 outbreak: Does inclusive leadership improve psychological safety and curb psychological distress? A cross-sectional study. </w:t>
      </w:r>
      <w:r w:rsidRPr="005F784E">
        <w:rPr>
          <w:rFonts w:cs="Times New Roman"/>
          <w:i/>
          <w:iCs/>
          <w:color w:val="000000" w:themeColor="text1"/>
          <w:szCs w:val="24"/>
          <w:shd w:val="clear" w:color="auto" w:fill="FFFFFF"/>
        </w:rPr>
        <w:t>International Journal of Nursing Studies</w:t>
      </w:r>
      <w:r w:rsidRPr="005F784E">
        <w:rPr>
          <w:rFonts w:cs="Times New Roman"/>
          <w:color w:val="000000" w:themeColor="text1"/>
          <w:szCs w:val="24"/>
          <w:shd w:val="clear" w:color="auto" w:fill="FFFFFF"/>
        </w:rPr>
        <w:t>, </w:t>
      </w:r>
      <w:r w:rsidRPr="005F784E">
        <w:rPr>
          <w:rFonts w:cs="Times New Roman"/>
          <w:i/>
          <w:iCs/>
          <w:color w:val="000000" w:themeColor="text1"/>
          <w:szCs w:val="24"/>
          <w:shd w:val="clear" w:color="auto" w:fill="FFFFFF"/>
        </w:rPr>
        <w:t>110</w:t>
      </w:r>
      <w:r w:rsidRPr="005F784E">
        <w:rPr>
          <w:rFonts w:cs="Times New Roman"/>
          <w:color w:val="000000" w:themeColor="text1"/>
          <w:szCs w:val="24"/>
          <w:shd w:val="clear" w:color="auto" w:fill="FFFFFF"/>
        </w:rPr>
        <w:t>, p.103725.</w:t>
      </w:r>
    </w:p>
    <w:p w:rsidRPr="005F784E" w:rsidR="00743B48" w:rsidP="005F784E" w:rsidRDefault="00743B48" w14:paraId="7D8AD0DF" w14:textId="77777777">
      <w:pPr>
        <w:ind w:left="720" w:hanging="720"/>
        <w:rPr>
          <w:rFonts w:cs="Times New Roman"/>
          <w:color w:val="000000" w:themeColor="text1"/>
          <w:szCs w:val="24"/>
          <w:shd w:val="clear" w:color="auto" w:fill="FFFFFF"/>
        </w:rPr>
      </w:pPr>
      <w:r w:rsidRPr="005F784E">
        <w:rPr>
          <w:rFonts w:cs="Times New Roman"/>
          <w:color w:val="000000" w:themeColor="text1"/>
          <w:szCs w:val="24"/>
          <w:shd w:val="clear" w:color="auto" w:fill="FFFFFF"/>
        </w:rPr>
        <w:t xml:space="preserve">Zhou, J., Yang, Y., Qiu, X., Yang, X., Pan, H., Ban, B., Qiao, Z., Wang, L. and Wang, W., 2018. Serial multiple mediations of organisational commitment and job burnout in the relationship between psychological capital and anxiety in Chinese female nurses: A cross-sectional questionnaire survey. </w:t>
      </w:r>
      <w:r w:rsidRPr="005F784E">
        <w:rPr>
          <w:rFonts w:cs="Times New Roman"/>
          <w:i/>
          <w:iCs/>
          <w:color w:val="000000" w:themeColor="text1"/>
          <w:szCs w:val="24"/>
          <w:shd w:val="clear" w:color="auto" w:fill="FFFFFF"/>
        </w:rPr>
        <w:t>International journal of nursing studies</w:t>
      </w:r>
      <w:r w:rsidRPr="005F784E">
        <w:rPr>
          <w:rFonts w:cs="Times New Roman"/>
          <w:color w:val="000000" w:themeColor="text1"/>
          <w:szCs w:val="24"/>
          <w:shd w:val="clear" w:color="auto" w:fill="FFFFFF"/>
        </w:rPr>
        <w:t>, </w:t>
      </w:r>
      <w:r w:rsidRPr="005F784E">
        <w:rPr>
          <w:rFonts w:cs="Times New Roman"/>
          <w:i/>
          <w:iCs/>
          <w:color w:val="000000" w:themeColor="text1"/>
          <w:szCs w:val="24"/>
          <w:shd w:val="clear" w:color="auto" w:fill="FFFFFF"/>
        </w:rPr>
        <w:t>83</w:t>
      </w:r>
      <w:r w:rsidRPr="005F784E">
        <w:rPr>
          <w:rFonts w:cs="Times New Roman"/>
          <w:color w:val="000000" w:themeColor="text1"/>
          <w:szCs w:val="24"/>
          <w:shd w:val="clear" w:color="auto" w:fill="FFFFFF"/>
        </w:rPr>
        <w:t>, pp.75-82.</w:t>
      </w:r>
    </w:p>
    <w:p w:rsidRPr="005F784E" w:rsidR="005D0110" w:rsidP="005F784E" w:rsidRDefault="005D0110" w14:paraId="2160D4D1" w14:textId="362A37F8">
      <w:pPr>
        <w:rPr>
          <w:rFonts w:cs="Times New Roman"/>
          <w:color w:val="000000" w:themeColor="text1"/>
          <w:szCs w:val="24"/>
        </w:rPr>
      </w:pPr>
    </w:p>
    <w:sectPr w:rsidRPr="005F784E" w:rsidR="005D0110" w:rsidSect="00EE7267">
      <w:headerReference w:type="even" r:id="rId7"/>
      <w:headerReference w:type="first" r:id="rId8"/>
      <w:pgSz w:w="11900" w:h="16840" w:orient="portrait"/>
      <w:pgMar w:top="718" w:right="1432" w:bottom="2564" w:left="851"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830F1" w:rsidRDefault="002830F1" w14:paraId="0BD9C12C" w14:textId="77777777">
      <w:pPr>
        <w:spacing w:before="0" w:after="0" w:line="240" w:lineRule="auto"/>
      </w:pPr>
      <w:r>
        <w:separator/>
      </w:r>
    </w:p>
  </w:endnote>
  <w:endnote w:type="continuationSeparator" w:id="0">
    <w:p w:rsidR="002830F1" w:rsidRDefault="002830F1" w14:paraId="5DCC9324" w14:textId="77777777">
      <w:pPr>
        <w:spacing w:before="0" w:after="0" w:line="240" w:lineRule="auto"/>
      </w:pPr>
      <w:r>
        <w:continuationSeparator/>
      </w:r>
    </w:p>
  </w:endnote>
  <w:endnote w:type="continuationNotice" w:id="1">
    <w:p w:rsidR="00B9773C" w:rsidRDefault="00B9773C" w14:paraId="255ECE72" w14:textId="77777777">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w Cen MT">
    <w:panose1 w:val="00000000000000000000"/>
    <w:charset w:val="00"/>
    <w:family w:val="roman"/>
    <w:notTrueType/>
    <w:pitch w:val="default"/>
  </w:font>
  <w:font w:name="Meiryo">
    <w:altName w:val="メイリオ"/>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 Cen MT Condensed">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830F1" w:rsidRDefault="002830F1" w14:paraId="585E8A24" w14:textId="77777777">
      <w:pPr>
        <w:spacing w:before="0" w:after="0" w:line="240" w:lineRule="auto"/>
      </w:pPr>
      <w:r>
        <w:separator/>
      </w:r>
    </w:p>
  </w:footnote>
  <w:footnote w:type="continuationSeparator" w:id="0">
    <w:p w:rsidR="002830F1" w:rsidRDefault="002830F1" w14:paraId="4D48A4B4" w14:textId="77777777">
      <w:pPr>
        <w:spacing w:before="0" w:after="0" w:line="240" w:lineRule="auto"/>
      </w:pPr>
      <w:r>
        <w:continuationSeparator/>
      </w:r>
    </w:p>
  </w:footnote>
  <w:footnote w:type="continuationNotice" w:id="1">
    <w:p w:rsidR="00B9773C" w:rsidRDefault="00B9773C" w14:paraId="39833800" w14:textId="77777777">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p14">
  <w:p w:rsidR="005D0110" w:rsidRDefault="00541879" w14:paraId="3DF30133" w14:textId="77777777">
    <w:pPr>
      <w:spacing w:after="0" w:line="259" w:lineRule="auto"/>
      <w:ind w:left="-146" w:right="10468" w:firstLine="0"/>
      <w:jc w:val="left"/>
    </w:pPr>
    <w:r>
      <w:rPr>
        <w:noProof/>
        <w:sz w:val="22"/>
      </w:rPr>
      <mc:AlternateContent>
        <mc:Choice Requires="wpg">
          <w:drawing>
            <wp:anchor distT="0" distB="0" distL="114300" distR="114300" simplePos="0" relativeHeight="251658240" behindDoc="0" locked="0" layoutInCell="1" allowOverlap="1" wp14:anchorId="3BC32F75" wp14:editId="4A0063A9">
              <wp:simplePos x="0" y="0"/>
              <wp:positionH relativeFrom="page">
                <wp:posOffset>6645910</wp:posOffset>
              </wp:positionH>
              <wp:positionV relativeFrom="page">
                <wp:posOffset>449581</wp:posOffset>
              </wp:positionV>
              <wp:extent cx="910590" cy="173989"/>
              <wp:effectExtent l="0" t="0" r="0" b="0"/>
              <wp:wrapSquare wrapText="bothSides"/>
              <wp:docPr id="5924" name="Group 5924"/>
              <wp:cNvGraphicFramePr/>
              <a:graphic xmlns:a="http://schemas.openxmlformats.org/drawingml/2006/main">
                <a:graphicData uri="http://schemas.microsoft.com/office/word/2010/wordprocessingGroup">
                  <wpg:wgp>
                    <wpg:cNvGrpSpPr/>
                    <wpg:grpSpPr>
                      <a:xfrm>
                        <a:off x="0" y="0"/>
                        <a:ext cx="910590" cy="173989"/>
                        <a:chOff x="0" y="0"/>
                        <a:chExt cx="910590" cy="173989"/>
                      </a:xfrm>
                    </wpg:grpSpPr>
                    <wps:wsp>
                      <wps:cNvPr id="6029" name="Shape 6029"/>
                      <wps:cNvSpPr/>
                      <wps:spPr>
                        <a:xfrm>
                          <a:off x="0" y="0"/>
                          <a:ext cx="910590" cy="173989"/>
                        </a:xfrm>
                        <a:custGeom>
                          <a:avLst/>
                          <a:gdLst/>
                          <a:ahLst/>
                          <a:cxnLst/>
                          <a:rect l="0" t="0" r="0" b="0"/>
                          <a:pathLst>
                            <a:path w="910590" h="173989">
                              <a:moveTo>
                                <a:pt x="0" y="0"/>
                              </a:moveTo>
                              <a:lnTo>
                                <a:pt x="910590" y="0"/>
                              </a:lnTo>
                              <a:lnTo>
                                <a:pt x="910590" y="173989"/>
                              </a:lnTo>
                              <a:lnTo>
                                <a:pt x="0" y="173989"/>
                              </a:lnTo>
                              <a:lnTo>
                                <a:pt x="0" y="0"/>
                              </a:lnTo>
                            </a:path>
                          </a:pathLst>
                        </a:custGeom>
                        <a:ln w="0">
                          <a:miter lim="127000"/>
                        </a:ln>
                      </wps:spPr>
                      <wps:style>
                        <a:lnRef idx="0">
                          <a:srgbClr val="000000">
                            <a:alpha val="0"/>
                          </a:srgbClr>
                        </a:lnRef>
                        <a:fillRef idx="1">
                          <a:srgbClr val="A9D18E"/>
                        </a:fillRef>
                        <a:effectRef idx="0">
                          <a:scrgbClr r="0" g="0" b="0"/>
                        </a:effectRef>
                        <a:fontRef idx="none"/>
                      </wps:style>
                      <wps:bodyPr/>
                    </wps:wsp>
                  </wpg:wgp>
                </a:graphicData>
              </a:graphic>
            </wp:anchor>
          </w:drawing>
        </mc:Choice>
        <mc:Fallback xmlns:arto="http://schemas.microsoft.com/office/word/2006/arto" xmlns:a="http://schemas.openxmlformats.org/drawingml/2006/main">
          <w:pict>
            <v:group id="Group 5924" style="width:71.7pt;height:13.7pt;margin-top:35.4pt;margin-left:523.3pt;mso-position-horizontal-relative:page;mso-position-vertical-relative:page;position:absolute;z-index:251659264" coordsize="9105,1739" o:spid="_x0000_s2049">
              <v:shape id="Shape 6029" style="width:9105;height:1739;mso-wrap-style:square;position:absolute;visibility:visible;v-text-anchor:top" coordsize="910590,173989" o:spid="_x0000_s2050" fillcolor="#a9d18e" stroked="f" path="m,l910590,l910590,173989l,173989,,e">
                <v:stroke joinstyle="miter"/>
                <v:path textboxrect="0,0,910590,173989" arrowok="t"/>
              </v:shape>
              <w10:wrap type="square"/>
            </v:group>
          </w:pict>
        </mc:Fallback>
      </mc:AlternateContent>
    </w:r>
  </w:p>
  <w:p w:rsidR="005D0110" w:rsidRDefault="00541879" w14:paraId="2E81E87B" w14:textId="77777777">
    <w:r>
      <w:rPr>
        <w:noProof/>
        <w:sz w:val="22"/>
      </w:rPr>
      <mc:AlternateContent>
        <mc:Choice Requires="wpg">
          <w:drawing>
            <wp:anchor distT="0" distB="0" distL="114300" distR="114300" simplePos="0" relativeHeight="251658241" behindDoc="1" locked="0" layoutInCell="1" allowOverlap="1" wp14:anchorId="0BFC212A" wp14:editId="629108C5">
              <wp:simplePos x="0" y="0"/>
              <wp:positionH relativeFrom="page">
                <wp:posOffset>0</wp:posOffset>
              </wp:positionH>
              <wp:positionV relativeFrom="page">
                <wp:posOffset>0</wp:posOffset>
              </wp:positionV>
              <wp:extent cx="1" cy="1"/>
              <wp:effectExtent l="0" t="0" r="0" b="0"/>
              <wp:wrapNone/>
              <wp:docPr id="5926" name="Group 5926"/>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rto="http://schemas.microsoft.com/office/word/2006/arto" xmlns:a="http://schemas.openxmlformats.org/drawingml/2006/main"/>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30019" w:rsidRDefault="00541879" w14:paraId="1C02928C" w14:textId="77777777">
    <w:pPr>
      <w:pStyle w:val="Header"/>
      <w:jc w:val="right"/>
    </w:pPr>
    <w:r>
      <w:fldChar w:fldCharType="begin"/>
    </w:r>
    <w:r>
      <w:instrText xml:space="preserve"> PAGE   \* MERGEFORMAT </w:instrText>
    </w:r>
    <w:r>
      <w:fldChar w:fldCharType="separate"/>
    </w:r>
    <w:r w:rsidR="00B320C4">
      <w:rPr>
        <w:noProof/>
      </w:rPr>
      <w:t>1</w:t>
    </w:r>
    <w:r>
      <w:rPr>
        <w:noProof/>
      </w:rPr>
      <w:fldChar w:fldCharType="end"/>
    </w:r>
  </w:p>
  <w:p w:rsidR="005D0110" w:rsidRDefault="005D0110" w14:paraId="29BCC7EC" w14:textId="77777777"/>
</w:hdr>
</file>

<file path=word/intelligence.xml><?xml version="1.0" encoding="utf-8"?>
<int:Intelligence xmlns:int="http://schemas.microsoft.com/office/intelligence/2019/intelligence">
  <int:IntelligenceSettings/>
  <int:Manifest>
    <int:WordHash hashCode="v3jXqOAVqWKVSe" id="sPIvegki"/>
    <int:WordHash hashCode="jnvkEa2Jrek9FE" id="zFKMvrBj"/>
    <int:WordHash hashCode="VkTdGKZfZUwmSA" id="g1S1dsec"/>
    <int:WordHash hashCode="XSUiEPxXFZ9tOg" id="2mda3zvB"/>
    <int:WordHash hashCode="riUt/LCoYh+rsF" id="rOnWnr0B"/>
    <int:WordHash hashCode="NFJ2flRNZmawIv" id="szCDrzYn"/>
    <int:WordHash hashCode="kHKHDAv9KJs9hM" id="mb4DFSSc"/>
    <int:WordHash hashCode="fJ1kK0UXw5cNgB" id="OFJ3Fief"/>
    <int:WordHash hashCode="DWUCYEesxt7rR1" id="zIlAGk0j"/>
    <int:WordHash hashCode="V5QHbLP8y8lnhy" id="8cLAWD1X"/>
    <int:WordHash hashCode="FeshmoXcnEwzQ2" id="n9rZKmpe"/>
    <int:WordHash hashCode="ENcS5I5zwqdOEm" id="WmHvikWI"/>
    <int:WordHash hashCode="Nj6yJPb/jTxRY6" id="N24knujp"/>
    <int:WordHash hashCode="Yos4sYRULgvhg4" id="6PcICnUf"/>
    <int:WordHash hashCode="8osacA5GgF68/8" id="mTpPgD8p"/>
    <int:WordHash hashCode="kdDszd0DtKKm86" id="FDrf1sOZ"/>
    <int:WordHash hashCode="kv4UVae7TQCfC0" id="Iax4iPIO"/>
  </int:Manifest>
  <int:Observations>
    <int:Content id="sPIvegki">
      <int:Rejection type="LegacyProofing"/>
    </int:Content>
    <int:Content id="zFKMvrBj">
      <int:Rejection type="LegacyProofing"/>
    </int:Content>
    <int:Content id="g1S1dsec">
      <int:Rejection type="AugLoop_Text_Critique"/>
    </int:Content>
    <int:Content id="2mda3zvB">
      <int:Rejection type="LegacyProofing"/>
    </int:Content>
    <int:Content id="rOnWnr0B">
      <int:Rejection type="LegacyProofing"/>
    </int:Content>
    <int:Content id="szCDrzYn">
      <int:Rejection type="LegacyProofing"/>
    </int:Content>
    <int:Content id="mb4DFSSc">
      <int:Rejection type="LegacyProofing"/>
    </int:Content>
    <int:Content id="OFJ3Fief">
      <int:Rejection type="LegacyProofing"/>
    </int:Content>
    <int:Content id="zIlAGk0j">
      <int:Rejection type="LegacyProofing"/>
    </int:Content>
    <int:Content id="8cLAWD1X">
      <int:Rejection type="LegacyProofing"/>
    </int:Content>
    <int:Content id="n9rZKmpe">
      <int:Rejection type="LegacyProofing"/>
    </int:Content>
    <int:Content id="WmHvikWI">
      <int:Rejection type="LegacyProofing"/>
    </int:Content>
    <int:Content id="N24knujp">
      <int:Rejection type="LegacyProofing"/>
    </int:Content>
    <int:Content id="6PcICnUf">
      <int:Rejection type="LegacyProofing"/>
    </int:Content>
    <int:Content id="mTpPgD8p">
      <int:Rejection type="LegacyProofing"/>
    </int:Content>
    <int:Content id="FDrf1sOZ">
      <int:Rejection type="LegacyProofing"/>
    </int:Content>
    <int:Content id="Iax4iPIO">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828C1"/>
    <w:multiLevelType w:val="hybridMultilevel"/>
    <w:tmpl w:val="4C8AC3BE"/>
    <w:lvl w:ilvl="0" w:tplc="EDB28628">
      <w:start w:val="8"/>
      <w:numFmt w:val="decimal"/>
      <w:lvlText w:val="%1"/>
      <w:lvlJc w:val="left"/>
      <w:pPr>
        <w:ind w:left="1554"/>
      </w:pPr>
      <w:rPr>
        <w:rFonts w:ascii="Calibri" w:hAnsi="Calibri" w:eastAsia="Calibri" w:cs="Calibri"/>
        <w:b w:val="0"/>
        <w:i w:val="0"/>
        <w:strike w:val="0"/>
        <w:dstrike w:val="0"/>
        <w:color w:val="FFFFFF"/>
        <w:sz w:val="24"/>
        <w:szCs w:val="24"/>
        <w:u w:val="none" w:color="000000"/>
        <w:bdr w:val="none" w:color="auto" w:sz="0" w:space="0"/>
        <w:shd w:val="clear" w:color="auto" w:fill="auto"/>
        <w:vertAlign w:val="baseline"/>
      </w:rPr>
    </w:lvl>
    <w:lvl w:ilvl="1" w:tplc="3D8A2342">
      <w:start w:val="1"/>
      <w:numFmt w:val="lowerLetter"/>
      <w:lvlText w:val="%2"/>
      <w:lvlJc w:val="left"/>
      <w:pPr>
        <w:ind w:left="1080"/>
      </w:pPr>
      <w:rPr>
        <w:rFonts w:ascii="Calibri" w:hAnsi="Calibri" w:eastAsia="Calibri" w:cs="Calibri"/>
        <w:b w:val="0"/>
        <w:i w:val="0"/>
        <w:strike w:val="0"/>
        <w:dstrike w:val="0"/>
        <w:color w:val="FFFFFF"/>
        <w:sz w:val="24"/>
        <w:szCs w:val="24"/>
        <w:u w:val="none" w:color="000000"/>
        <w:bdr w:val="none" w:color="auto" w:sz="0" w:space="0"/>
        <w:shd w:val="clear" w:color="auto" w:fill="auto"/>
        <w:vertAlign w:val="baseline"/>
      </w:rPr>
    </w:lvl>
    <w:lvl w:ilvl="2" w:tplc="18E0A90C">
      <w:start w:val="1"/>
      <w:numFmt w:val="lowerRoman"/>
      <w:lvlText w:val="%3"/>
      <w:lvlJc w:val="left"/>
      <w:pPr>
        <w:ind w:left="1800"/>
      </w:pPr>
      <w:rPr>
        <w:rFonts w:ascii="Calibri" w:hAnsi="Calibri" w:eastAsia="Calibri" w:cs="Calibri"/>
        <w:b w:val="0"/>
        <w:i w:val="0"/>
        <w:strike w:val="0"/>
        <w:dstrike w:val="0"/>
        <w:color w:val="FFFFFF"/>
        <w:sz w:val="24"/>
        <w:szCs w:val="24"/>
        <w:u w:val="none" w:color="000000"/>
        <w:bdr w:val="none" w:color="auto" w:sz="0" w:space="0"/>
        <w:shd w:val="clear" w:color="auto" w:fill="auto"/>
        <w:vertAlign w:val="baseline"/>
      </w:rPr>
    </w:lvl>
    <w:lvl w:ilvl="3" w:tplc="B686EA48">
      <w:start w:val="1"/>
      <w:numFmt w:val="decimal"/>
      <w:lvlText w:val="%4"/>
      <w:lvlJc w:val="left"/>
      <w:pPr>
        <w:ind w:left="2520"/>
      </w:pPr>
      <w:rPr>
        <w:rFonts w:ascii="Calibri" w:hAnsi="Calibri" w:eastAsia="Calibri" w:cs="Calibri"/>
        <w:b w:val="0"/>
        <w:i w:val="0"/>
        <w:strike w:val="0"/>
        <w:dstrike w:val="0"/>
        <w:color w:val="FFFFFF"/>
        <w:sz w:val="24"/>
        <w:szCs w:val="24"/>
        <w:u w:val="none" w:color="000000"/>
        <w:bdr w:val="none" w:color="auto" w:sz="0" w:space="0"/>
        <w:shd w:val="clear" w:color="auto" w:fill="auto"/>
        <w:vertAlign w:val="baseline"/>
      </w:rPr>
    </w:lvl>
    <w:lvl w:ilvl="4" w:tplc="7F1271CE">
      <w:start w:val="1"/>
      <w:numFmt w:val="lowerLetter"/>
      <w:lvlText w:val="%5"/>
      <w:lvlJc w:val="left"/>
      <w:pPr>
        <w:ind w:left="3240"/>
      </w:pPr>
      <w:rPr>
        <w:rFonts w:ascii="Calibri" w:hAnsi="Calibri" w:eastAsia="Calibri" w:cs="Calibri"/>
        <w:b w:val="0"/>
        <w:i w:val="0"/>
        <w:strike w:val="0"/>
        <w:dstrike w:val="0"/>
        <w:color w:val="FFFFFF"/>
        <w:sz w:val="24"/>
        <w:szCs w:val="24"/>
        <w:u w:val="none" w:color="000000"/>
        <w:bdr w:val="none" w:color="auto" w:sz="0" w:space="0"/>
        <w:shd w:val="clear" w:color="auto" w:fill="auto"/>
        <w:vertAlign w:val="baseline"/>
      </w:rPr>
    </w:lvl>
    <w:lvl w:ilvl="5" w:tplc="4D2E644E">
      <w:start w:val="1"/>
      <w:numFmt w:val="lowerRoman"/>
      <w:lvlText w:val="%6"/>
      <w:lvlJc w:val="left"/>
      <w:pPr>
        <w:ind w:left="3960"/>
      </w:pPr>
      <w:rPr>
        <w:rFonts w:ascii="Calibri" w:hAnsi="Calibri" w:eastAsia="Calibri" w:cs="Calibri"/>
        <w:b w:val="0"/>
        <w:i w:val="0"/>
        <w:strike w:val="0"/>
        <w:dstrike w:val="0"/>
        <w:color w:val="FFFFFF"/>
        <w:sz w:val="24"/>
        <w:szCs w:val="24"/>
        <w:u w:val="none" w:color="000000"/>
        <w:bdr w:val="none" w:color="auto" w:sz="0" w:space="0"/>
        <w:shd w:val="clear" w:color="auto" w:fill="auto"/>
        <w:vertAlign w:val="baseline"/>
      </w:rPr>
    </w:lvl>
    <w:lvl w:ilvl="6" w:tplc="9DA0A898">
      <w:start w:val="1"/>
      <w:numFmt w:val="decimal"/>
      <w:lvlText w:val="%7"/>
      <w:lvlJc w:val="left"/>
      <w:pPr>
        <w:ind w:left="4680"/>
      </w:pPr>
      <w:rPr>
        <w:rFonts w:ascii="Calibri" w:hAnsi="Calibri" w:eastAsia="Calibri" w:cs="Calibri"/>
        <w:b w:val="0"/>
        <w:i w:val="0"/>
        <w:strike w:val="0"/>
        <w:dstrike w:val="0"/>
        <w:color w:val="FFFFFF"/>
        <w:sz w:val="24"/>
        <w:szCs w:val="24"/>
        <w:u w:val="none" w:color="000000"/>
        <w:bdr w:val="none" w:color="auto" w:sz="0" w:space="0"/>
        <w:shd w:val="clear" w:color="auto" w:fill="auto"/>
        <w:vertAlign w:val="baseline"/>
      </w:rPr>
    </w:lvl>
    <w:lvl w:ilvl="7" w:tplc="7816512A">
      <w:start w:val="1"/>
      <w:numFmt w:val="lowerLetter"/>
      <w:lvlText w:val="%8"/>
      <w:lvlJc w:val="left"/>
      <w:pPr>
        <w:ind w:left="5400"/>
      </w:pPr>
      <w:rPr>
        <w:rFonts w:ascii="Calibri" w:hAnsi="Calibri" w:eastAsia="Calibri" w:cs="Calibri"/>
        <w:b w:val="0"/>
        <w:i w:val="0"/>
        <w:strike w:val="0"/>
        <w:dstrike w:val="0"/>
        <w:color w:val="FFFFFF"/>
        <w:sz w:val="24"/>
        <w:szCs w:val="24"/>
        <w:u w:val="none" w:color="000000"/>
        <w:bdr w:val="none" w:color="auto" w:sz="0" w:space="0"/>
        <w:shd w:val="clear" w:color="auto" w:fill="auto"/>
        <w:vertAlign w:val="baseline"/>
      </w:rPr>
    </w:lvl>
    <w:lvl w:ilvl="8" w:tplc="31B200DC">
      <w:start w:val="1"/>
      <w:numFmt w:val="lowerRoman"/>
      <w:lvlText w:val="%9"/>
      <w:lvlJc w:val="left"/>
      <w:pPr>
        <w:ind w:left="6120"/>
      </w:pPr>
      <w:rPr>
        <w:rFonts w:ascii="Calibri" w:hAnsi="Calibri" w:eastAsia="Calibri" w:cs="Calibri"/>
        <w:b w:val="0"/>
        <w:i w:val="0"/>
        <w:strike w:val="0"/>
        <w:dstrike w:val="0"/>
        <w:color w:val="FFFFFF"/>
        <w:sz w:val="24"/>
        <w:szCs w:val="24"/>
        <w:u w:val="none" w:color="000000"/>
        <w:bdr w:val="none" w:color="auto" w:sz="0" w:space="0"/>
        <w:shd w:val="clear" w:color="auto" w:fill="auto"/>
        <w:vertAlign w:val="baseline"/>
      </w:rPr>
    </w:lvl>
  </w:abstractNum>
  <w:num w:numId="1" w16cid:durableId="2862779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trackRevisions w:val="false"/>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0110"/>
    <w:rsid w:val="00065D3B"/>
    <w:rsid w:val="001255F8"/>
    <w:rsid w:val="00130019"/>
    <w:rsid w:val="0023784A"/>
    <w:rsid w:val="002830F1"/>
    <w:rsid w:val="003B3C56"/>
    <w:rsid w:val="00402D1A"/>
    <w:rsid w:val="004E0060"/>
    <w:rsid w:val="00541879"/>
    <w:rsid w:val="00551E46"/>
    <w:rsid w:val="005D0110"/>
    <w:rsid w:val="005F784E"/>
    <w:rsid w:val="0067301E"/>
    <w:rsid w:val="00687D95"/>
    <w:rsid w:val="00707BEA"/>
    <w:rsid w:val="00743B48"/>
    <w:rsid w:val="007F54A3"/>
    <w:rsid w:val="0085507D"/>
    <w:rsid w:val="009B397A"/>
    <w:rsid w:val="00A0625D"/>
    <w:rsid w:val="00A332D6"/>
    <w:rsid w:val="00A50FA5"/>
    <w:rsid w:val="00B16B37"/>
    <w:rsid w:val="00B320C4"/>
    <w:rsid w:val="00B9773C"/>
    <w:rsid w:val="00C72F12"/>
    <w:rsid w:val="00CB5C98"/>
    <w:rsid w:val="00D14229"/>
    <w:rsid w:val="00E022C3"/>
    <w:rsid w:val="00EE7267"/>
    <w:rsid w:val="00F349D0"/>
    <w:rsid w:val="01E6BCA4"/>
    <w:rsid w:val="06932492"/>
    <w:rsid w:val="0A632B82"/>
    <w:rsid w:val="0A691FCF"/>
    <w:rsid w:val="0BAB8CA4"/>
    <w:rsid w:val="0D7AB37B"/>
    <w:rsid w:val="0FE60021"/>
    <w:rsid w:val="1400F24D"/>
    <w:rsid w:val="16ED105B"/>
    <w:rsid w:val="17B177EC"/>
    <w:rsid w:val="18FB6CA5"/>
    <w:rsid w:val="1A121485"/>
    <w:rsid w:val="1AC30B98"/>
    <w:rsid w:val="1B54815A"/>
    <w:rsid w:val="1BE5F71C"/>
    <w:rsid w:val="1DA4BA85"/>
    <w:rsid w:val="1E9906D5"/>
    <w:rsid w:val="1F6F7386"/>
    <w:rsid w:val="1FE167F7"/>
    <w:rsid w:val="2072DDB9"/>
    <w:rsid w:val="21AA9A81"/>
    <w:rsid w:val="21BB3EDB"/>
    <w:rsid w:val="229018BE"/>
    <w:rsid w:val="26318CD1"/>
    <w:rsid w:val="27547855"/>
    <w:rsid w:val="2830D953"/>
    <w:rsid w:val="29E53A99"/>
    <w:rsid w:val="2BE15EF2"/>
    <w:rsid w:val="2E91A287"/>
    <w:rsid w:val="2F231849"/>
    <w:rsid w:val="2F6B72D4"/>
    <w:rsid w:val="2F846860"/>
    <w:rsid w:val="30A753E4"/>
    <w:rsid w:val="315E3F44"/>
    <w:rsid w:val="31EFB506"/>
    <w:rsid w:val="32A31396"/>
    <w:rsid w:val="335D8BC6"/>
    <w:rsid w:val="339F5A8C"/>
    <w:rsid w:val="33AA0A99"/>
    <w:rsid w:val="372D92B6"/>
    <w:rsid w:val="37E47E16"/>
    <w:rsid w:val="3A721831"/>
    <w:rsid w:val="3C6B7066"/>
    <w:rsid w:val="3E15219F"/>
    <w:rsid w:val="3EA69761"/>
    <w:rsid w:val="40806E45"/>
    <w:rsid w:val="40A5E3E3"/>
    <w:rsid w:val="40BFA227"/>
    <w:rsid w:val="43C4F3C0"/>
    <w:rsid w:val="449B6071"/>
    <w:rsid w:val="4527A6FA"/>
    <w:rsid w:val="452CD633"/>
    <w:rsid w:val="47D9F19F"/>
    <w:rsid w:val="488AE8B2"/>
    <w:rsid w:val="489FB9F6"/>
    <w:rsid w:val="4930666A"/>
    <w:rsid w:val="496ED194"/>
    <w:rsid w:val="4A870D0B"/>
    <w:rsid w:val="4C41629E"/>
    <w:rsid w:val="4F3374F9"/>
    <w:rsid w:val="510D4BDD"/>
    <w:rsid w:val="517F404E"/>
    <w:rsid w:val="521F9307"/>
    <w:rsid w:val="52D67E67"/>
    <w:rsid w:val="52E722C1"/>
    <w:rsid w:val="5367F429"/>
    <w:rsid w:val="54B0554B"/>
    <w:rsid w:val="55D340CF"/>
    <w:rsid w:val="56AFA1CD"/>
    <w:rsid w:val="57EEE679"/>
    <w:rsid w:val="5A7FA8BD"/>
    <w:rsid w:val="5B36941D"/>
    <w:rsid w:val="5EA977E0"/>
    <w:rsid w:val="5F9810CF"/>
    <w:rsid w:val="60444C22"/>
    <w:rsid w:val="628A232A"/>
    <w:rsid w:val="64987F74"/>
    <w:rsid w:val="64EABFC3"/>
    <w:rsid w:val="66859405"/>
    <w:rsid w:val="671709C7"/>
    <w:rsid w:val="681C9F09"/>
    <w:rsid w:val="684EC68F"/>
    <w:rsid w:val="687EEC3A"/>
    <w:rsid w:val="6971B213"/>
    <w:rsid w:val="6A289D73"/>
    <w:rsid w:val="6EAF8FC3"/>
    <w:rsid w:val="6FD27B47"/>
    <w:rsid w:val="717C2C80"/>
    <w:rsid w:val="71AF665D"/>
    <w:rsid w:val="745F61E4"/>
    <w:rsid w:val="75A7C306"/>
    <w:rsid w:val="764E0A0C"/>
    <w:rsid w:val="76BFFE7D"/>
    <w:rsid w:val="774B7FF2"/>
    <w:rsid w:val="7791CA9F"/>
    <w:rsid w:val="77F06632"/>
    <w:rsid w:val="794ACC74"/>
    <w:rsid w:val="7A01B7D4"/>
    <w:rsid w:val="7A1E10FC"/>
    <w:rsid w:val="7B46F0CD"/>
    <w:rsid w:val="7C176931"/>
    <w:rsid w:val="7D1AD364"/>
    <w:rsid w:val="7E88AA24"/>
    <w:rsid w:val="7FA0E59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A3F876"/>
  <w15:docId w15:val="{12F31614-150C-4D3C-AFEE-F50D8E1EE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02D1A"/>
    <w:pPr>
      <w:spacing w:before="120" w:after="120" w:line="480" w:lineRule="auto"/>
      <w:ind w:firstLine="720"/>
      <w:jc w:val="both"/>
    </w:pPr>
    <w:rPr>
      <w:rFonts w:ascii="Times New Roman" w:hAnsi="Times New Roman" w:eastAsia="Calibri" w:cs="Calibri"/>
      <w:color w:val="000000"/>
      <w:sz w:val="24"/>
    </w:rPr>
  </w:style>
  <w:style w:type="paragraph" w:styleId="Heading1">
    <w:name w:val="heading 1"/>
    <w:basedOn w:val="Normal"/>
    <w:next w:val="Normal"/>
    <w:link w:val="Heading1Char"/>
    <w:uiPriority w:val="9"/>
    <w:qFormat/>
    <w:rsid w:val="0085507D"/>
    <w:pPr>
      <w:keepNext/>
      <w:keepLines/>
      <w:jc w:val="left"/>
      <w:outlineLvl w:val="0"/>
    </w:pPr>
    <w:rPr>
      <w:rFonts w:eastAsiaTheme="majorEastAsia" w:cstheme="majorBidi"/>
      <w:b/>
      <w:color w:val="auto"/>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Footer">
    <w:name w:val="footer"/>
    <w:basedOn w:val="Normal"/>
    <w:link w:val="FooterChar"/>
    <w:uiPriority w:val="99"/>
    <w:unhideWhenUsed/>
    <w:rsid w:val="00130019"/>
    <w:pPr>
      <w:tabs>
        <w:tab w:val="center" w:pos="4680"/>
        <w:tab w:val="right" w:pos="9360"/>
      </w:tabs>
      <w:spacing w:before="0" w:after="0" w:line="240" w:lineRule="auto"/>
    </w:pPr>
  </w:style>
  <w:style w:type="character" w:styleId="FooterChar" w:customStyle="1">
    <w:name w:val="Footer Char"/>
    <w:basedOn w:val="DefaultParagraphFont"/>
    <w:link w:val="Footer"/>
    <w:uiPriority w:val="99"/>
    <w:rsid w:val="00130019"/>
    <w:rPr>
      <w:rFonts w:ascii="Times New Roman" w:hAnsi="Times New Roman" w:eastAsia="Calibri" w:cs="Calibri"/>
      <w:color w:val="000000"/>
      <w:sz w:val="24"/>
    </w:rPr>
  </w:style>
  <w:style w:type="paragraph" w:styleId="Header">
    <w:name w:val="header"/>
    <w:basedOn w:val="Normal"/>
    <w:link w:val="HeaderChar"/>
    <w:uiPriority w:val="99"/>
    <w:unhideWhenUsed/>
    <w:rsid w:val="00130019"/>
    <w:pPr>
      <w:tabs>
        <w:tab w:val="center" w:pos="4680"/>
        <w:tab w:val="right" w:pos="9360"/>
      </w:tabs>
      <w:spacing w:before="0" w:after="0" w:line="240" w:lineRule="auto"/>
      <w:ind w:firstLine="0"/>
      <w:jc w:val="left"/>
    </w:pPr>
    <w:rPr>
      <w:rFonts w:cs="Times New Roman" w:asciiTheme="minorHAnsi" w:hAnsiTheme="minorHAnsi" w:eastAsiaTheme="minorEastAsia"/>
      <w:color w:val="auto"/>
      <w:sz w:val="22"/>
    </w:rPr>
  </w:style>
  <w:style w:type="character" w:styleId="HeaderChar" w:customStyle="1">
    <w:name w:val="Header Char"/>
    <w:basedOn w:val="DefaultParagraphFont"/>
    <w:link w:val="Header"/>
    <w:uiPriority w:val="99"/>
    <w:rsid w:val="00130019"/>
    <w:rPr>
      <w:rFonts w:cs="Times New Roman"/>
    </w:rPr>
  </w:style>
  <w:style w:type="character" w:styleId="Heading1Char" w:customStyle="1">
    <w:name w:val="Heading 1 Char"/>
    <w:basedOn w:val="DefaultParagraphFont"/>
    <w:link w:val="Heading1"/>
    <w:uiPriority w:val="9"/>
    <w:rsid w:val="0085507D"/>
    <w:rPr>
      <w:rFonts w:ascii="Times New Roman" w:hAnsi="Times New Roman" w:eastAsiaTheme="majorEastAsia" w:cstheme="majorBidi"/>
      <w:b/>
      <w:sz w:val="24"/>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openxmlformats.org/officeDocument/2006/relationships/header" Target="header2.xml" Id="rId8"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microsoft.com/office/2019/09/relationships/intelligence" Target="intelligence.xml" Id="R53635e7e08a742ea"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Integral">
  <a:themeElements>
    <a:clrScheme name="Integral">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B9F25"/>
      </a:hlink>
      <a:folHlink>
        <a:srgbClr val="B26B02"/>
      </a:folHlink>
    </a:clrScheme>
    <a:fontScheme name="Integral">
      <a:majorFont>
        <a:latin typeface="Tw Cen MT Condensed" panose="020B06060201040202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w Cen MT" panose="020B06020201040206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Integral">
      <a:fillStyleLst>
        <a:solidFill>
          <a:schemeClr val="phClr"/>
        </a:solidFill>
        <a:gradFill rotWithShape="1">
          <a:gsLst>
            <a:gs pos="0">
              <a:schemeClr val="phClr">
                <a:tint val="83000"/>
                <a:satMod val="100000"/>
                <a:lumMod val="100000"/>
              </a:schemeClr>
            </a:gs>
            <a:gs pos="100000">
              <a:schemeClr val="phClr">
                <a:tint val="61000"/>
                <a:satMod val="150000"/>
                <a:lumMod val="100000"/>
              </a:schemeClr>
            </a:gs>
          </a:gsLst>
          <a:path path="circle">
            <a:fillToRect l="100000" t="100000" r="100000" b="100000"/>
          </a:path>
        </a:gradFill>
        <a:gradFill rotWithShape="1">
          <a:gsLst>
            <a:gs pos="0">
              <a:schemeClr val="phClr">
                <a:tint val="100000"/>
                <a:shade val="85000"/>
                <a:satMod val="100000"/>
                <a:lumMod val="100000"/>
              </a:schemeClr>
            </a:gs>
            <a:gs pos="100000">
              <a:schemeClr val="phClr">
                <a:tint val="90000"/>
                <a:shade val="100000"/>
                <a:satMod val="150000"/>
                <a:lumMod val="100000"/>
              </a:schemeClr>
            </a:gs>
          </a:gsLst>
          <a:path path="circle">
            <a:fillToRect l="100000" t="100000" r="100000" b="100000"/>
          </a:path>
        </a:gradFill>
      </a:fillStyleLst>
      <a:lnStyleLst>
        <a:ln w="9525" cap="flat" cmpd="sng" algn="ctr">
          <a:solidFill>
            <a:schemeClr val="phClr"/>
          </a:solidFill>
          <a:prstDash val="solid"/>
        </a:ln>
        <a:ln w="15875"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outerShdw blurRad="50800" dist="12700" dir="5400000" algn="ctr" rotWithShape="0">
              <a:srgbClr val="000000">
                <a:alpha val="50000"/>
              </a:srgbClr>
            </a:outerShdw>
          </a:effectLst>
        </a:effectStyle>
        <a:effectStyle>
          <a:effectLst>
            <a:outerShdw blurRad="76200" dist="25400" dir="5400000" algn="ctr" rotWithShape="0">
              <a:srgbClr val="000000">
                <a:alpha val="60000"/>
              </a:srgbClr>
            </a:outerShdw>
          </a:effectLst>
          <a:scene3d>
            <a:camera prst="orthographicFront">
              <a:rot lat="0" lon="0" rev="0"/>
            </a:camera>
            <a:lightRig rig="flat" dir="t">
              <a:rot lat="0" lon="0" rev="3600000"/>
            </a:lightRig>
          </a:scene3d>
          <a:sp3d contourW="12700" prstMaterial="flat">
            <a:bevelT w="38100" h="44450" prst="angle"/>
            <a:contourClr>
              <a:schemeClr val="phClr">
                <a:shade val="35000"/>
                <a:satMod val="160000"/>
              </a:schemeClr>
            </a:contourClr>
          </a:sp3d>
        </a:effectStyle>
      </a:effectStyleLst>
      <a:bgFillStyleLst>
        <a:solidFill>
          <a:schemeClr val="phClr"/>
        </a:solidFill>
        <a:solidFill>
          <a:schemeClr val="phClr">
            <a:tint val="95000"/>
            <a:shade val="85000"/>
            <a:satMod val="125000"/>
          </a:schemeClr>
        </a:solidFill>
        <a:blipFill rotWithShape="1">
          <a:blip xmlns:r="http://schemas.openxmlformats.org/officeDocument/2006/relationships" r:embed="rId1">
            <a:duotone>
              <a:schemeClr val="phClr">
                <a:tint val="95000"/>
                <a:shade val="74000"/>
                <a:satMod val="230000"/>
              </a:schemeClr>
              <a:schemeClr val="phClr">
                <a:tint val="92000"/>
                <a:shade val="69000"/>
                <a:satMod val="250000"/>
              </a:schemeClr>
            </a:duotone>
          </a:blip>
          <a:tile tx="0" ty="0" sx="40000" sy="40000" flip="none" algn="tl"/>
        </a:blipFill>
      </a:bgFillStyleLst>
    </a:fmtScheme>
  </a:themeElements>
  <a:objectDefaults/>
  <a:extraClrSchemeLst/>
  <a:extLst>
    <a:ext uri="{05A4C25C-085E-4340-85A3-A5531E510DB2}">
      <thm15:themeFamily xmlns:thm15="http://schemas.microsoft.com/office/thememl/2012/main" name="Integral" id="{3577F8C9-A904-41D8-97D2-FD898F53F20E}" vid="{682D6EBE-8D36-4FF2-9DB3-F3D8D7B6715D}"/>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Windows User</dc:creator>
  <keywords/>
  <lastModifiedBy>Sharon Roberts (2114727)</lastModifiedBy>
  <revision>6</revision>
  <dcterms:created xsi:type="dcterms:W3CDTF">2022-05-13T16:24:00.0000000Z</dcterms:created>
  <dcterms:modified xsi:type="dcterms:W3CDTF">2022-05-13T16:41:55.4692626Z</dcterms:modified>
</coreProperties>
</file>