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712F4" w14:textId="77777777" w:rsidR="00782D96" w:rsidRDefault="00782D96" w:rsidP="00782D96">
      <w:pPr>
        <w:pStyle w:val="Normal1"/>
        <w:spacing w:line="360" w:lineRule="auto"/>
        <w:jc w:val="center"/>
        <w:rPr>
          <w:rFonts w:ascii="Times New Roman" w:eastAsia="Times New Roman" w:hAnsi="Times New Roman" w:cs="Times New Roman"/>
          <w:b/>
          <w:color w:val="0E101A"/>
          <w:sz w:val="24"/>
          <w:szCs w:val="24"/>
        </w:rPr>
      </w:pPr>
    </w:p>
    <w:p w14:paraId="6519A82D" w14:textId="77777777" w:rsidR="00782D96" w:rsidRDefault="00782D96" w:rsidP="00782D96">
      <w:pPr>
        <w:pStyle w:val="Normal1"/>
        <w:spacing w:line="360" w:lineRule="auto"/>
        <w:jc w:val="center"/>
        <w:rPr>
          <w:rFonts w:ascii="Times New Roman" w:eastAsia="Times New Roman" w:hAnsi="Times New Roman" w:cs="Times New Roman"/>
          <w:b/>
          <w:color w:val="0E101A"/>
          <w:sz w:val="24"/>
          <w:szCs w:val="24"/>
        </w:rPr>
      </w:pPr>
    </w:p>
    <w:p w14:paraId="083931B6" w14:textId="77777777" w:rsidR="00782D96" w:rsidRDefault="00782D96" w:rsidP="00782D96">
      <w:pPr>
        <w:pStyle w:val="Normal1"/>
        <w:spacing w:line="360" w:lineRule="auto"/>
        <w:jc w:val="center"/>
        <w:rPr>
          <w:rFonts w:ascii="Times New Roman" w:eastAsia="Times New Roman" w:hAnsi="Times New Roman" w:cs="Times New Roman"/>
          <w:b/>
          <w:color w:val="0E101A"/>
          <w:sz w:val="24"/>
          <w:szCs w:val="24"/>
        </w:rPr>
      </w:pPr>
    </w:p>
    <w:p w14:paraId="246E89FF" w14:textId="77777777" w:rsidR="00782D96" w:rsidRDefault="00782D96" w:rsidP="00782D96">
      <w:pPr>
        <w:pStyle w:val="Normal1"/>
        <w:spacing w:line="360" w:lineRule="auto"/>
        <w:jc w:val="center"/>
        <w:rPr>
          <w:rFonts w:ascii="Times New Roman" w:eastAsia="Times New Roman" w:hAnsi="Times New Roman" w:cs="Times New Roman"/>
          <w:b/>
          <w:color w:val="0E101A"/>
          <w:sz w:val="24"/>
          <w:szCs w:val="24"/>
        </w:rPr>
      </w:pPr>
    </w:p>
    <w:p w14:paraId="7B7C57B3" w14:textId="77777777" w:rsidR="00782D96" w:rsidRDefault="00782D96" w:rsidP="00782D96">
      <w:pPr>
        <w:pStyle w:val="Normal1"/>
        <w:spacing w:line="360" w:lineRule="auto"/>
        <w:jc w:val="center"/>
        <w:rPr>
          <w:rFonts w:ascii="Times New Roman" w:eastAsia="Times New Roman" w:hAnsi="Times New Roman" w:cs="Times New Roman"/>
          <w:b/>
          <w:color w:val="0E101A"/>
          <w:sz w:val="24"/>
          <w:szCs w:val="24"/>
        </w:rPr>
      </w:pPr>
    </w:p>
    <w:p w14:paraId="695E737B" w14:textId="77777777" w:rsidR="00782D96" w:rsidRPr="00980565" w:rsidRDefault="00782D96" w:rsidP="00980565">
      <w:pPr>
        <w:pStyle w:val="Normal1"/>
        <w:spacing w:line="360" w:lineRule="auto"/>
        <w:rPr>
          <w:rFonts w:ascii="Times New Roman" w:eastAsia="Times New Roman" w:hAnsi="Times New Roman" w:cs="Times New Roman"/>
          <w:b/>
          <w:color w:val="0E101A"/>
          <w:sz w:val="60"/>
          <w:szCs w:val="60"/>
        </w:rPr>
      </w:pPr>
    </w:p>
    <w:p w14:paraId="20548D0D" w14:textId="77777777" w:rsidR="00CF051F" w:rsidRDefault="00782D96" w:rsidP="00E1599E">
      <w:pPr>
        <w:pStyle w:val="Normal1"/>
        <w:spacing w:line="360" w:lineRule="auto"/>
        <w:jc w:val="center"/>
        <w:rPr>
          <w:rFonts w:ascii="Times New Roman" w:eastAsia="Times New Roman" w:hAnsi="Times New Roman" w:cs="Times New Roman"/>
          <w:b/>
          <w:color w:val="0E101A"/>
          <w:sz w:val="60"/>
          <w:szCs w:val="60"/>
        </w:rPr>
      </w:pPr>
      <w:r w:rsidRPr="00980565">
        <w:rPr>
          <w:rFonts w:ascii="Times New Roman" w:eastAsia="Times New Roman" w:hAnsi="Times New Roman" w:cs="Times New Roman"/>
          <w:b/>
          <w:color w:val="0E101A"/>
          <w:sz w:val="60"/>
          <w:szCs w:val="60"/>
        </w:rPr>
        <w:t>BA Business Management</w:t>
      </w:r>
      <w:r w:rsidR="00E1599E" w:rsidRPr="00980565">
        <w:rPr>
          <w:rFonts w:ascii="Times New Roman" w:eastAsia="Times New Roman" w:hAnsi="Times New Roman" w:cs="Times New Roman"/>
          <w:b/>
          <w:color w:val="0E101A"/>
          <w:sz w:val="60"/>
          <w:szCs w:val="60"/>
        </w:rPr>
        <w:t xml:space="preserve"> </w:t>
      </w:r>
    </w:p>
    <w:p w14:paraId="5BA2A34E" w14:textId="210A30B9" w:rsidR="00782D96" w:rsidRPr="00980565" w:rsidRDefault="00E1599E" w:rsidP="00E1599E">
      <w:pPr>
        <w:pStyle w:val="Normal1"/>
        <w:spacing w:line="360" w:lineRule="auto"/>
        <w:jc w:val="center"/>
        <w:rPr>
          <w:rFonts w:ascii="Times New Roman" w:eastAsia="Times New Roman" w:hAnsi="Times New Roman" w:cs="Times New Roman"/>
          <w:b/>
          <w:color w:val="0E101A"/>
          <w:sz w:val="60"/>
          <w:szCs w:val="60"/>
        </w:rPr>
      </w:pPr>
      <w:r w:rsidRPr="00980565">
        <w:rPr>
          <w:rFonts w:ascii="Times New Roman" w:eastAsia="Times New Roman" w:hAnsi="Times New Roman" w:cs="Times New Roman"/>
          <w:b/>
          <w:color w:val="0E101A"/>
          <w:sz w:val="60"/>
          <w:szCs w:val="60"/>
        </w:rPr>
        <w:t xml:space="preserve"> </w:t>
      </w:r>
      <w:r w:rsidR="00782D96" w:rsidRPr="00CF051F">
        <w:rPr>
          <w:rFonts w:ascii="Times New Roman" w:eastAsia="Times New Roman" w:hAnsi="Times New Roman" w:cs="Times New Roman"/>
          <w:b/>
          <w:color w:val="0E101A"/>
          <w:sz w:val="40"/>
          <w:szCs w:val="40"/>
        </w:rPr>
        <w:t>LCBB6002</w:t>
      </w:r>
    </w:p>
    <w:p w14:paraId="2FE0A3FE" w14:textId="76B28443" w:rsidR="000F7DD7" w:rsidRDefault="000F7DD7" w:rsidP="000F7DD7">
      <w:pPr>
        <w:pStyle w:val="Normal1"/>
        <w:spacing w:line="360" w:lineRule="auto"/>
        <w:jc w:val="center"/>
        <w:rPr>
          <w:rFonts w:ascii="Times New Roman" w:eastAsia="Times New Roman" w:hAnsi="Times New Roman" w:cs="Times New Roman"/>
          <w:b/>
          <w:color w:val="0E101A"/>
          <w:sz w:val="24"/>
          <w:szCs w:val="24"/>
        </w:rPr>
      </w:pPr>
    </w:p>
    <w:p w14:paraId="53CE57F4" w14:textId="77777777" w:rsidR="000F7DD7" w:rsidRDefault="000F7DD7" w:rsidP="000F7DD7">
      <w:pPr>
        <w:pStyle w:val="Normal1"/>
        <w:spacing w:line="360" w:lineRule="auto"/>
        <w:jc w:val="center"/>
        <w:rPr>
          <w:rFonts w:ascii="Times New Roman" w:eastAsia="Times New Roman" w:hAnsi="Times New Roman" w:cs="Times New Roman"/>
          <w:b/>
          <w:color w:val="0E101A"/>
          <w:sz w:val="24"/>
          <w:szCs w:val="24"/>
        </w:rPr>
      </w:pPr>
    </w:p>
    <w:p w14:paraId="60CC51AB" w14:textId="77777777" w:rsidR="000F7DD7" w:rsidRDefault="000F7DD7" w:rsidP="000F7DD7">
      <w:pPr>
        <w:pStyle w:val="Normal1"/>
        <w:spacing w:line="360" w:lineRule="auto"/>
        <w:jc w:val="center"/>
        <w:rPr>
          <w:rFonts w:ascii="Times New Roman" w:eastAsia="Times New Roman" w:hAnsi="Times New Roman" w:cs="Times New Roman"/>
          <w:b/>
          <w:color w:val="0E101A"/>
          <w:sz w:val="24"/>
          <w:szCs w:val="24"/>
        </w:rPr>
      </w:pPr>
    </w:p>
    <w:p w14:paraId="793430AD" w14:textId="77777777" w:rsidR="000F7DD7" w:rsidRDefault="000F7DD7" w:rsidP="000F7DD7">
      <w:pPr>
        <w:pStyle w:val="Normal1"/>
        <w:spacing w:line="360" w:lineRule="auto"/>
        <w:jc w:val="center"/>
        <w:rPr>
          <w:rFonts w:ascii="Times New Roman" w:eastAsia="Times New Roman" w:hAnsi="Times New Roman" w:cs="Times New Roman"/>
          <w:b/>
          <w:color w:val="0E101A"/>
          <w:sz w:val="24"/>
          <w:szCs w:val="24"/>
        </w:rPr>
      </w:pPr>
    </w:p>
    <w:p w14:paraId="419C63F4" w14:textId="77777777" w:rsidR="000F7DD7" w:rsidRDefault="000F7DD7" w:rsidP="000F7DD7">
      <w:pPr>
        <w:pStyle w:val="Normal1"/>
        <w:spacing w:line="360" w:lineRule="auto"/>
        <w:jc w:val="center"/>
        <w:rPr>
          <w:rFonts w:ascii="Times New Roman" w:eastAsia="Times New Roman" w:hAnsi="Times New Roman" w:cs="Times New Roman"/>
          <w:b/>
          <w:color w:val="0E101A"/>
          <w:sz w:val="24"/>
          <w:szCs w:val="24"/>
        </w:rPr>
      </w:pPr>
    </w:p>
    <w:p w14:paraId="22A68839" w14:textId="77777777" w:rsidR="00126038" w:rsidRDefault="00782D96" w:rsidP="00782D96">
      <w:pPr>
        <w:pStyle w:val="Normal1"/>
        <w:spacing w:line="360" w:lineRule="auto"/>
        <w:jc w:val="center"/>
        <w:rPr>
          <w:rFonts w:ascii="Times New Roman" w:eastAsia="Times New Roman" w:hAnsi="Times New Roman" w:cs="Times New Roman"/>
          <w:b/>
          <w:color w:val="0E101A"/>
          <w:sz w:val="24"/>
          <w:szCs w:val="24"/>
        </w:rPr>
      </w:pPr>
      <w:r w:rsidRPr="00782D96">
        <w:rPr>
          <w:rFonts w:ascii="Times New Roman" w:eastAsia="Times New Roman" w:hAnsi="Times New Roman" w:cs="Times New Roman"/>
          <w:b/>
          <w:color w:val="0E101A"/>
          <w:sz w:val="24"/>
          <w:szCs w:val="24"/>
        </w:rPr>
        <w:t>Assignment Title:</w:t>
      </w:r>
      <w:r>
        <w:rPr>
          <w:rFonts w:ascii="Times New Roman" w:eastAsia="Times New Roman" w:hAnsi="Times New Roman" w:cs="Times New Roman"/>
          <w:b/>
          <w:color w:val="0E101A"/>
          <w:sz w:val="24"/>
          <w:szCs w:val="24"/>
        </w:rPr>
        <w:t xml:space="preserve"> </w:t>
      </w:r>
      <w:r w:rsidRPr="00782D96">
        <w:rPr>
          <w:rFonts w:ascii="Times New Roman" w:eastAsia="Times New Roman" w:hAnsi="Times New Roman" w:cs="Times New Roman"/>
          <w:b/>
          <w:color w:val="0E101A"/>
          <w:sz w:val="24"/>
          <w:szCs w:val="24"/>
        </w:rPr>
        <w:t>Component 1</w:t>
      </w:r>
    </w:p>
    <w:p w14:paraId="4F85CB7D" w14:textId="6109EB3F" w:rsidR="000E2E45" w:rsidRDefault="00782D96" w:rsidP="000F7DD7">
      <w:pPr>
        <w:pStyle w:val="Normal1"/>
        <w:spacing w:line="360" w:lineRule="auto"/>
        <w:jc w:val="center"/>
        <w:rPr>
          <w:rFonts w:ascii="Times New Roman" w:eastAsia="Times New Roman" w:hAnsi="Times New Roman" w:cs="Times New Roman"/>
          <w:b/>
          <w:color w:val="0E101A"/>
          <w:sz w:val="24"/>
          <w:szCs w:val="24"/>
        </w:rPr>
      </w:pPr>
      <w:r w:rsidRPr="00782D96">
        <w:rPr>
          <w:rFonts w:ascii="Times New Roman" w:eastAsia="Times New Roman" w:hAnsi="Times New Roman" w:cs="Times New Roman"/>
          <w:b/>
          <w:color w:val="0E101A"/>
          <w:sz w:val="24"/>
          <w:szCs w:val="24"/>
        </w:rPr>
        <w:t>Coursework: Written Report</w:t>
      </w:r>
    </w:p>
    <w:p w14:paraId="0E5D3F66" w14:textId="4234171B" w:rsidR="00CE19BD" w:rsidRDefault="007A1DE7" w:rsidP="00782D96">
      <w:pPr>
        <w:pStyle w:val="Normal1"/>
        <w:spacing w:line="360" w:lineRule="auto"/>
        <w:jc w:val="center"/>
        <w:rPr>
          <w:rFonts w:ascii="Times New Roman" w:eastAsia="Times New Roman" w:hAnsi="Times New Roman" w:cs="Times New Roman"/>
          <w:b/>
          <w:color w:val="0E101A"/>
          <w:sz w:val="24"/>
          <w:szCs w:val="24"/>
        </w:rPr>
      </w:pPr>
      <w:proofErr w:type="spellStart"/>
      <w:r>
        <w:rPr>
          <w:rFonts w:ascii="Times New Roman" w:eastAsia="Times New Roman" w:hAnsi="Times New Roman" w:cs="Times New Roman"/>
          <w:b/>
          <w:color w:val="0E101A"/>
          <w:sz w:val="24"/>
          <w:szCs w:val="24"/>
        </w:rPr>
        <w:t>Georgel</w:t>
      </w:r>
      <w:proofErr w:type="spellEnd"/>
      <w:r>
        <w:rPr>
          <w:rFonts w:ascii="Times New Roman" w:eastAsia="Times New Roman" w:hAnsi="Times New Roman" w:cs="Times New Roman"/>
          <w:b/>
          <w:color w:val="0E101A"/>
          <w:sz w:val="24"/>
          <w:szCs w:val="24"/>
        </w:rPr>
        <w:t xml:space="preserve"> Laurentiu Oprea</w:t>
      </w:r>
      <w:r w:rsidR="00554130">
        <w:rPr>
          <w:rFonts w:ascii="Times New Roman" w:eastAsia="Times New Roman" w:hAnsi="Times New Roman" w:cs="Times New Roman"/>
          <w:b/>
          <w:color w:val="0E101A"/>
          <w:sz w:val="24"/>
          <w:szCs w:val="24"/>
        </w:rPr>
        <w:t xml:space="preserve"> -</w:t>
      </w:r>
      <w:r>
        <w:rPr>
          <w:rFonts w:ascii="Times New Roman" w:eastAsia="Times New Roman" w:hAnsi="Times New Roman" w:cs="Times New Roman"/>
          <w:b/>
          <w:color w:val="0E101A"/>
          <w:sz w:val="24"/>
          <w:szCs w:val="24"/>
        </w:rPr>
        <w:t xml:space="preserve"> 2114879</w:t>
      </w:r>
    </w:p>
    <w:p w14:paraId="6F61C47E" w14:textId="0F9F2E3D" w:rsidR="004728D9" w:rsidRDefault="00782D96" w:rsidP="004728D9">
      <w:pPr>
        <w:pStyle w:val="Normal1"/>
        <w:spacing w:line="360" w:lineRule="auto"/>
        <w:jc w:val="center"/>
        <w:rPr>
          <w:rFonts w:ascii="Times New Roman" w:eastAsia="Times New Roman" w:hAnsi="Times New Roman" w:cs="Times New Roman"/>
          <w:b/>
          <w:color w:val="0E101A"/>
          <w:sz w:val="24"/>
          <w:szCs w:val="24"/>
          <w:highlight w:val="white"/>
        </w:rPr>
      </w:pPr>
      <w:r>
        <w:rPr>
          <w:rFonts w:ascii="Times New Roman" w:eastAsia="Times New Roman" w:hAnsi="Times New Roman" w:cs="Times New Roman"/>
          <w:b/>
          <w:color w:val="0E101A"/>
          <w:sz w:val="24"/>
          <w:szCs w:val="24"/>
          <w:highlight w:val="white"/>
        </w:rPr>
        <w:br w:type="column"/>
      </w:r>
      <w:r w:rsidR="004728D9">
        <w:rPr>
          <w:rFonts w:ascii="Times New Roman" w:eastAsia="Times New Roman" w:hAnsi="Times New Roman" w:cs="Times New Roman"/>
          <w:b/>
          <w:color w:val="0E101A"/>
          <w:sz w:val="24"/>
          <w:szCs w:val="24"/>
          <w:highlight w:val="white"/>
        </w:rPr>
        <w:lastRenderedPageBreak/>
        <w:t>Table of contents</w:t>
      </w:r>
    </w:p>
    <w:sdt>
      <w:sdtPr>
        <w:rPr>
          <w:rFonts w:ascii="Arial" w:eastAsia="Arial" w:hAnsi="Arial" w:cs="Arial"/>
          <w:color w:val="auto"/>
          <w:sz w:val="22"/>
          <w:szCs w:val="22"/>
          <w:lang w:val="en"/>
        </w:rPr>
        <w:id w:val="-789966370"/>
        <w:docPartObj>
          <w:docPartGallery w:val="Table of Contents"/>
          <w:docPartUnique/>
        </w:docPartObj>
      </w:sdtPr>
      <w:sdtEndPr>
        <w:rPr>
          <w:b/>
          <w:bCs/>
          <w:noProof/>
        </w:rPr>
      </w:sdtEndPr>
      <w:sdtContent>
        <w:p w14:paraId="2CFD68EF" w14:textId="0191895E" w:rsidR="004728D9" w:rsidRPr="004728D9" w:rsidRDefault="004728D9" w:rsidP="004728D9">
          <w:pPr>
            <w:pStyle w:val="TOCHeading"/>
            <w:spacing w:line="360" w:lineRule="auto"/>
            <w:jc w:val="both"/>
            <w:rPr>
              <w:rFonts w:ascii="Times New Roman" w:hAnsi="Times New Roman" w:cs="Times New Roman"/>
              <w:sz w:val="24"/>
              <w:szCs w:val="24"/>
            </w:rPr>
          </w:pPr>
        </w:p>
        <w:p w14:paraId="48AB99EB" w14:textId="77AFCD5B" w:rsidR="004728D9" w:rsidRPr="004728D9" w:rsidRDefault="004728D9" w:rsidP="004728D9">
          <w:pPr>
            <w:pStyle w:val="TOC1"/>
            <w:tabs>
              <w:tab w:val="right" w:leader="dot" w:pos="9350"/>
            </w:tabs>
            <w:spacing w:line="360" w:lineRule="auto"/>
            <w:jc w:val="both"/>
            <w:rPr>
              <w:rFonts w:ascii="Times New Roman" w:hAnsi="Times New Roman" w:cs="Times New Roman"/>
              <w:noProof/>
              <w:sz w:val="24"/>
              <w:szCs w:val="24"/>
            </w:rPr>
          </w:pPr>
          <w:r w:rsidRPr="004728D9">
            <w:rPr>
              <w:rFonts w:ascii="Times New Roman" w:hAnsi="Times New Roman" w:cs="Times New Roman"/>
              <w:sz w:val="24"/>
              <w:szCs w:val="24"/>
            </w:rPr>
            <w:fldChar w:fldCharType="begin"/>
          </w:r>
          <w:r w:rsidRPr="004728D9">
            <w:rPr>
              <w:rFonts w:ascii="Times New Roman" w:hAnsi="Times New Roman" w:cs="Times New Roman"/>
              <w:sz w:val="24"/>
              <w:szCs w:val="24"/>
            </w:rPr>
            <w:instrText xml:space="preserve"> TOC \o "1-3" \h \z \u </w:instrText>
          </w:r>
          <w:r w:rsidRPr="004728D9">
            <w:rPr>
              <w:rFonts w:ascii="Times New Roman" w:hAnsi="Times New Roman" w:cs="Times New Roman"/>
              <w:sz w:val="24"/>
              <w:szCs w:val="24"/>
            </w:rPr>
            <w:fldChar w:fldCharType="separate"/>
          </w:r>
          <w:hyperlink w:anchor="_Toc150003897" w:history="1">
            <w:r w:rsidRPr="004728D9">
              <w:rPr>
                <w:rStyle w:val="Hyperlink"/>
                <w:rFonts w:ascii="Times New Roman" w:hAnsi="Times New Roman" w:cs="Times New Roman"/>
                <w:noProof/>
                <w:sz w:val="24"/>
                <w:szCs w:val="24"/>
                <w:highlight w:val="white"/>
              </w:rPr>
              <w:t>Introduction</w:t>
            </w:r>
            <w:r w:rsidRPr="004728D9">
              <w:rPr>
                <w:rFonts w:ascii="Times New Roman" w:hAnsi="Times New Roman" w:cs="Times New Roman"/>
                <w:noProof/>
                <w:webHidden/>
                <w:sz w:val="24"/>
                <w:szCs w:val="24"/>
              </w:rPr>
              <w:tab/>
            </w:r>
            <w:r w:rsidRPr="004728D9">
              <w:rPr>
                <w:rFonts w:ascii="Times New Roman" w:hAnsi="Times New Roman" w:cs="Times New Roman"/>
                <w:noProof/>
                <w:webHidden/>
                <w:sz w:val="24"/>
                <w:szCs w:val="24"/>
              </w:rPr>
              <w:fldChar w:fldCharType="begin"/>
            </w:r>
            <w:r w:rsidRPr="004728D9">
              <w:rPr>
                <w:rFonts w:ascii="Times New Roman" w:hAnsi="Times New Roman" w:cs="Times New Roman"/>
                <w:noProof/>
                <w:webHidden/>
                <w:sz w:val="24"/>
                <w:szCs w:val="24"/>
              </w:rPr>
              <w:instrText xml:space="preserve"> PAGEREF _Toc150003897 \h </w:instrText>
            </w:r>
            <w:r w:rsidRPr="004728D9">
              <w:rPr>
                <w:rFonts w:ascii="Times New Roman" w:hAnsi="Times New Roman" w:cs="Times New Roman"/>
                <w:noProof/>
                <w:webHidden/>
                <w:sz w:val="24"/>
                <w:szCs w:val="24"/>
              </w:rPr>
            </w:r>
            <w:r w:rsidRPr="004728D9">
              <w:rPr>
                <w:rFonts w:ascii="Times New Roman" w:hAnsi="Times New Roman" w:cs="Times New Roman"/>
                <w:noProof/>
                <w:webHidden/>
                <w:sz w:val="24"/>
                <w:szCs w:val="24"/>
              </w:rPr>
              <w:fldChar w:fldCharType="separate"/>
            </w:r>
            <w:r w:rsidRPr="004728D9">
              <w:rPr>
                <w:rFonts w:ascii="Times New Roman" w:hAnsi="Times New Roman" w:cs="Times New Roman"/>
                <w:noProof/>
                <w:webHidden/>
                <w:sz w:val="24"/>
                <w:szCs w:val="24"/>
              </w:rPr>
              <w:t>3</w:t>
            </w:r>
            <w:r w:rsidRPr="004728D9">
              <w:rPr>
                <w:rFonts w:ascii="Times New Roman" w:hAnsi="Times New Roman" w:cs="Times New Roman"/>
                <w:noProof/>
                <w:webHidden/>
                <w:sz w:val="24"/>
                <w:szCs w:val="24"/>
              </w:rPr>
              <w:fldChar w:fldCharType="end"/>
            </w:r>
          </w:hyperlink>
        </w:p>
        <w:p w14:paraId="7A3CAC6D" w14:textId="295E5A2A" w:rsidR="004728D9" w:rsidRPr="004728D9" w:rsidRDefault="00D452EF" w:rsidP="004728D9">
          <w:pPr>
            <w:pStyle w:val="TOC1"/>
            <w:tabs>
              <w:tab w:val="right" w:leader="dot" w:pos="9350"/>
            </w:tabs>
            <w:spacing w:line="360" w:lineRule="auto"/>
            <w:jc w:val="both"/>
            <w:rPr>
              <w:rFonts w:ascii="Times New Roman" w:hAnsi="Times New Roman" w:cs="Times New Roman"/>
              <w:noProof/>
              <w:sz w:val="24"/>
              <w:szCs w:val="24"/>
            </w:rPr>
          </w:pPr>
          <w:hyperlink w:anchor="_Toc150003898" w:history="1">
            <w:r w:rsidR="004728D9" w:rsidRPr="004728D9">
              <w:rPr>
                <w:rStyle w:val="Hyperlink"/>
                <w:rFonts w:ascii="Times New Roman" w:hAnsi="Times New Roman" w:cs="Times New Roman"/>
                <w:noProof/>
                <w:sz w:val="24"/>
                <w:szCs w:val="24"/>
                <w:highlight w:val="white"/>
              </w:rPr>
              <w:t>Literature review</w:t>
            </w:r>
            <w:r w:rsidR="004728D9" w:rsidRPr="004728D9">
              <w:rPr>
                <w:rFonts w:ascii="Times New Roman" w:hAnsi="Times New Roman" w:cs="Times New Roman"/>
                <w:noProof/>
                <w:webHidden/>
                <w:sz w:val="24"/>
                <w:szCs w:val="24"/>
              </w:rPr>
              <w:tab/>
            </w:r>
            <w:r w:rsidR="004728D9" w:rsidRPr="004728D9">
              <w:rPr>
                <w:rFonts w:ascii="Times New Roman" w:hAnsi="Times New Roman" w:cs="Times New Roman"/>
                <w:noProof/>
                <w:webHidden/>
                <w:sz w:val="24"/>
                <w:szCs w:val="24"/>
              </w:rPr>
              <w:fldChar w:fldCharType="begin"/>
            </w:r>
            <w:r w:rsidR="004728D9" w:rsidRPr="004728D9">
              <w:rPr>
                <w:rFonts w:ascii="Times New Roman" w:hAnsi="Times New Roman" w:cs="Times New Roman"/>
                <w:noProof/>
                <w:webHidden/>
                <w:sz w:val="24"/>
                <w:szCs w:val="24"/>
              </w:rPr>
              <w:instrText xml:space="preserve"> PAGEREF _Toc150003898 \h </w:instrText>
            </w:r>
            <w:r w:rsidR="004728D9" w:rsidRPr="004728D9">
              <w:rPr>
                <w:rFonts w:ascii="Times New Roman" w:hAnsi="Times New Roman" w:cs="Times New Roman"/>
                <w:noProof/>
                <w:webHidden/>
                <w:sz w:val="24"/>
                <w:szCs w:val="24"/>
              </w:rPr>
            </w:r>
            <w:r w:rsidR="004728D9" w:rsidRPr="004728D9">
              <w:rPr>
                <w:rFonts w:ascii="Times New Roman" w:hAnsi="Times New Roman" w:cs="Times New Roman"/>
                <w:noProof/>
                <w:webHidden/>
                <w:sz w:val="24"/>
                <w:szCs w:val="24"/>
              </w:rPr>
              <w:fldChar w:fldCharType="separate"/>
            </w:r>
            <w:r w:rsidR="004728D9" w:rsidRPr="004728D9">
              <w:rPr>
                <w:rFonts w:ascii="Times New Roman" w:hAnsi="Times New Roman" w:cs="Times New Roman"/>
                <w:noProof/>
                <w:webHidden/>
                <w:sz w:val="24"/>
                <w:szCs w:val="24"/>
              </w:rPr>
              <w:t>3</w:t>
            </w:r>
            <w:r w:rsidR="004728D9" w:rsidRPr="004728D9">
              <w:rPr>
                <w:rFonts w:ascii="Times New Roman" w:hAnsi="Times New Roman" w:cs="Times New Roman"/>
                <w:noProof/>
                <w:webHidden/>
                <w:sz w:val="24"/>
                <w:szCs w:val="24"/>
              </w:rPr>
              <w:fldChar w:fldCharType="end"/>
            </w:r>
          </w:hyperlink>
        </w:p>
        <w:p w14:paraId="04AFCC8F" w14:textId="35CD6488" w:rsidR="004728D9" w:rsidRPr="004728D9" w:rsidRDefault="00D452EF" w:rsidP="004728D9">
          <w:pPr>
            <w:pStyle w:val="TOC1"/>
            <w:tabs>
              <w:tab w:val="right" w:leader="dot" w:pos="9350"/>
            </w:tabs>
            <w:spacing w:line="360" w:lineRule="auto"/>
            <w:jc w:val="both"/>
            <w:rPr>
              <w:rFonts w:ascii="Times New Roman" w:hAnsi="Times New Roman" w:cs="Times New Roman"/>
              <w:noProof/>
              <w:sz w:val="24"/>
              <w:szCs w:val="24"/>
            </w:rPr>
          </w:pPr>
          <w:hyperlink w:anchor="_Toc150003899" w:history="1">
            <w:r w:rsidR="004728D9" w:rsidRPr="004728D9">
              <w:rPr>
                <w:rStyle w:val="Hyperlink"/>
                <w:rFonts w:ascii="Times New Roman" w:hAnsi="Times New Roman" w:cs="Times New Roman"/>
                <w:noProof/>
                <w:sz w:val="24"/>
                <w:szCs w:val="24"/>
                <w:highlight w:val="white"/>
              </w:rPr>
              <w:t>Discussion and analysis</w:t>
            </w:r>
            <w:r w:rsidR="004728D9" w:rsidRPr="004728D9">
              <w:rPr>
                <w:rFonts w:ascii="Times New Roman" w:hAnsi="Times New Roman" w:cs="Times New Roman"/>
                <w:noProof/>
                <w:webHidden/>
                <w:sz w:val="24"/>
                <w:szCs w:val="24"/>
              </w:rPr>
              <w:tab/>
            </w:r>
            <w:r w:rsidR="004728D9" w:rsidRPr="004728D9">
              <w:rPr>
                <w:rFonts w:ascii="Times New Roman" w:hAnsi="Times New Roman" w:cs="Times New Roman"/>
                <w:noProof/>
                <w:webHidden/>
                <w:sz w:val="24"/>
                <w:szCs w:val="24"/>
              </w:rPr>
              <w:fldChar w:fldCharType="begin"/>
            </w:r>
            <w:r w:rsidR="004728D9" w:rsidRPr="004728D9">
              <w:rPr>
                <w:rFonts w:ascii="Times New Roman" w:hAnsi="Times New Roman" w:cs="Times New Roman"/>
                <w:noProof/>
                <w:webHidden/>
                <w:sz w:val="24"/>
                <w:szCs w:val="24"/>
              </w:rPr>
              <w:instrText xml:space="preserve"> PAGEREF _Toc150003899 \h </w:instrText>
            </w:r>
            <w:r w:rsidR="004728D9" w:rsidRPr="004728D9">
              <w:rPr>
                <w:rFonts w:ascii="Times New Roman" w:hAnsi="Times New Roman" w:cs="Times New Roman"/>
                <w:noProof/>
                <w:webHidden/>
                <w:sz w:val="24"/>
                <w:szCs w:val="24"/>
              </w:rPr>
            </w:r>
            <w:r w:rsidR="004728D9" w:rsidRPr="004728D9">
              <w:rPr>
                <w:rFonts w:ascii="Times New Roman" w:hAnsi="Times New Roman" w:cs="Times New Roman"/>
                <w:noProof/>
                <w:webHidden/>
                <w:sz w:val="24"/>
                <w:szCs w:val="24"/>
              </w:rPr>
              <w:fldChar w:fldCharType="separate"/>
            </w:r>
            <w:r w:rsidR="004728D9" w:rsidRPr="004728D9">
              <w:rPr>
                <w:rFonts w:ascii="Times New Roman" w:hAnsi="Times New Roman" w:cs="Times New Roman"/>
                <w:noProof/>
                <w:webHidden/>
                <w:sz w:val="24"/>
                <w:szCs w:val="24"/>
              </w:rPr>
              <w:t>5</w:t>
            </w:r>
            <w:r w:rsidR="004728D9" w:rsidRPr="004728D9">
              <w:rPr>
                <w:rFonts w:ascii="Times New Roman" w:hAnsi="Times New Roman" w:cs="Times New Roman"/>
                <w:noProof/>
                <w:webHidden/>
                <w:sz w:val="24"/>
                <w:szCs w:val="24"/>
              </w:rPr>
              <w:fldChar w:fldCharType="end"/>
            </w:r>
          </w:hyperlink>
        </w:p>
        <w:p w14:paraId="67474045" w14:textId="66B7B370" w:rsidR="004728D9" w:rsidRPr="004728D9" w:rsidRDefault="00D452EF" w:rsidP="004728D9">
          <w:pPr>
            <w:pStyle w:val="TOC1"/>
            <w:tabs>
              <w:tab w:val="right" w:leader="dot" w:pos="9350"/>
            </w:tabs>
            <w:spacing w:line="360" w:lineRule="auto"/>
            <w:jc w:val="both"/>
            <w:rPr>
              <w:rFonts w:ascii="Times New Roman" w:hAnsi="Times New Roman" w:cs="Times New Roman"/>
              <w:noProof/>
              <w:sz w:val="24"/>
              <w:szCs w:val="24"/>
            </w:rPr>
          </w:pPr>
          <w:hyperlink w:anchor="_Toc150003900" w:history="1">
            <w:r w:rsidR="004728D9" w:rsidRPr="004728D9">
              <w:rPr>
                <w:rStyle w:val="Hyperlink"/>
                <w:rFonts w:ascii="Times New Roman" w:hAnsi="Times New Roman" w:cs="Times New Roman"/>
                <w:noProof/>
                <w:sz w:val="24"/>
                <w:szCs w:val="24"/>
                <w:highlight w:val="white"/>
              </w:rPr>
              <w:t>Conclusion</w:t>
            </w:r>
            <w:r w:rsidR="004728D9" w:rsidRPr="004728D9">
              <w:rPr>
                <w:rFonts w:ascii="Times New Roman" w:hAnsi="Times New Roman" w:cs="Times New Roman"/>
                <w:noProof/>
                <w:webHidden/>
                <w:sz w:val="24"/>
                <w:szCs w:val="24"/>
              </w:rPr>
              <w:tab/>
            </w:r>
            <w:r w:rsidR="004728D9" w:rsidRPr="004728D9">
              <w:rPr>
                <w:rFonts w:ascii="Times New Roman" w:hAnsi="Times New Roman" w:cs="Times New Roman"/>
                <w:noProof/>
                <w:webHidden/>
                <w:sz w:val="24"/>
                <w:szCs w:val="24"/>
              </w:rPr>
              <w:fldChar w:fldCharType="begin"/>
            </w:r>
            <w:r w:rsidR="004728D9" w:rsidRPr="004728D9">
              <w:rPr>
                <w:rFonts w:ascii="Times New Roman" w:hAnsi="Times New Roman" w:cs="Times New Roman"/>
                <w:noProof/>
                <w:webHidden/>
                <w:sz w:val="24"/>
                <w:szCs w:val="24"/>
              </w:rPr>
              <w:instrText xml:space="preserve"> PAGEREF _Toc150003900 \h </w:instrText>
            </w:r>
            <w:r w:rsidR="004728D9" w:rsidRPr="004728D9">
              <w:rPr>
                <w:rFonts w:ascii="Times New Roman" w:hAnsi="Times New Roman" w:cs="Times New Roman"/>
                <w:noProof/>
                <w:webHidden/>
                <w:sz w:val="24"/>
                <w:szCs w:val="24"/>
              </w:rPr>
            </w:r>
            <w:r w:rsidR="004728D9" w:rsidRPr="004728D9">
              <w:rPr>
                <w:rFonts w:ascii="Times New Roman" w:hAnsi="Times New Roman" w:cs="Times New Roman"/>
                <w:noProof/>
                <w:webHidden/>
                <w:sz w:val="24"/>
                <w:szCs w:val="24"/>
              </w:rPr>
              <w:fldChar w:fldCharType="separate"/>
            </w:r>
            <w:r w:rsidR="004728D9" w:rsidRPr="004728D9">
              <w:rPr>
                <w:rFonts w:ascii="Times New Roman" w:hAnsi="Times New Roman" w:cs="Times New Roman"/>
                <w:noProof/>
                <w:webHidden/>
                <w:sz w:val="24"/>
                <w:szCs w:val="24"/>
              </w:rPr>
              <w:t>7</w:t>
            </w:r>
            <w:r w:rsidR="004728D9" w:rsidRPr="004728D9">
              <w:rPr>
                <w:rFonts w:ascii="Times New Roman" w:hAnsi="Times New Roman" w:cs="Times New Roman"/>
                <w:noProof/>
                <w:webHidden/>
                <w:sz w:val="24"/>
                <w:szCs w:val="24"/>
              </w:rPr>
              <w:fldChar w:fldCharType="end"/>
            </w:r>
          </w:hyperlink>
        </w:p>
        <w:p w14:paraId="33798B5B" w14:textId="27AA6563" w:rsidR="004728D9" w:rsidRPr="004728D9" w:rsidRDefault="00D452EF" w:rsidP="004728D9">
          <w:pPr>
            <w:pStyle w:val="TOC1"/>
            <w:tabs>
              <w:tab w:val="right" w:leader="dot" w:pos="9350"/>
            </w:tabs>
            <w:spacing w:line="360" w:lineRule="auto"/>
            <w:jc w:val="both"/>
            <w:rPr>
              <w:rFonts w:ascii="Times New Roman" w:hAnsi="Times New Roman" w:cs="Times New Roman"/>
              <w:noProof/>
              <w:sz w:val="24"/>
              <w:szCs w:val="24"/>
            </w:rPr>
          </w:pPr>
          <w:hyperlink w:anchor="_Toc150003901" w:history="1">
            <w:r w:rsidR="004728D9" w:rsidRPr="004728D9">
              <w:rPr>
                <w:rStyle w:val="Hyperlink"/>
                <w:rFonts w:ascii="Times New Roman" w:hAnsi="Times New Roman" w:cs="Times New Roman"/>
                <w:noProof/>
                <w:sz w:val="24"/>
                <w:szCs w:val="24"/>
              </w:rPr>
              <w:t>References</w:t>
            </w:r>
            <w:r w:rsidR="004728D9" w:rsidRPr="004728D9">
              <w:rPr>
                <w:rFonts w:ascii="Times New Roman" w:hAnsi="Times New Roman" w:cs="Times New Roman"/>
                <w:noProof/>
                <w:webHidden/>
                <w:sz w:val="24"/>
                <w:szCs w:val="24"/>
              </w:rPr>
              <w:tab/>
            </w:r>
            <w:r w:rsidR="004728D9" w:rsidRPr="004728D9">
              <w:rPr>
                <w:rFonts w:ascii="Times New Roman" w:hAnsi="Times New Roman" w:cs="Times New Roman"/>
                <w:noProof/>
                <w:webHidden/>
                <w:sz w:val="24"/>
                <w:szCs w:val="24"/>
              </w:rPr>
              <w:fldChar w:fldCharType="begin"/>
            </w:r>
            <w:r w:rsidR="004728D9" w:rsidRPr="004728D9">
              <w:rPr>
                <w:rFonts w:ascii="Times New Roman" w:hAnsi="Times New Roman" w:cs="Times New Roman"/>
                <w:noProof/>
                <w:webHidden/>
                <w:sz w:val="24"/>
                <w:szCs w:val="24"/>
              </w:rPr>
              <w:instrText xml:space="preserve"> PAGEREF _Toc150003901 \h </w:instrText>
            </w:r>
            <w:r w:rsidR="004728D9" w:rsidRPr="004728D9">
              <w:rPr>
                <w:rFonts w:ascii="Times New Roman" w:hAnsi="Times New Roman" w:cs="Times New Roman"/>
                <w:noProof/>
                <w:webHidden/>
                <w:sz w:val="24"/>
                <w:szCs w:val="24"/>
              </w:rPr>
            </w:r>
            <w:r w:rsidR="004728D9" w:rsidRPr="004728D9">
              <w:rPr>
                <w:rFonts w:ascii="Times New Roman" w:hAnsi="Times New Roman" w:cs="Times New Roman"/>
                <w:noProof/>
                <w:webHidden/>
                <w:sz w:val="24"/>
                <w:szCs w:val="24"/>
              </w:rPr>
              <w:fldChar w:fldCharType="separate"/>
            </w:r>
            <w:r w:rsidR="004728D9" w:rsidRPr="004728D9">
              <w:rPr>
                <w:rFonts w:ascii="Times New Roman" w:hAnsi="Times New Roman" w:cs="Times New Roman"/>
                <w:noProof/>
                <w:webHidden/>
                <w:sz w:val="24"/>
                <w:szCs w:val="24"/>
              </w:rPr>
              <w:t>8</w:t>
            </w:r>
            <w:r w:rsidR="004728D9" w:rsidRPr="004728D9">
              <w:rPr>
                <w:rFonts w:ascii="Times New Roman" w:hAnsi="Times New Roman" w:cs="Times New Roman"/>
                <w:noProof/>
                <w:webHidden/>
                <w:sz w:val="24"/>
                <w:szCs w:val="24"/>
              </w:rPr>
              <w:fldChar w:fldCharType="end"/>
            </w:r>
          </w:hyperlink>
        </w:p>
        <w:p w14:paraId="10AF60FC" w14:textId="4F005796" w:rsidR="004728D9" w:rsidRDefault="004728D9" w:rsidP="004728D9">
          <w:pPr>
            <w:spacing w:line="360" w:lineRule="auto"/>
            <w:jc w:val="both"/>
          </w:pPr>
          <w:r w:rsidRPr="004728D9">
            <w:rPr>
              <w:rFonts w:ascii="Times New Roman" w:hAnsi="Times New Roman" w:cs="Times New Roman"/>
              <w:b/>
              <w:bCs/>
              <w:noProof/>
              <w:sz w:val="24"/>
              <w:szCs w:val="24"/>
            </w:rPr>
            <w:fldChar w:fldCharType="end"/>
          </w:r>
        </w:p>
      </w:sdtContent>
    </w:sdt>
    <w:p w14:paraId="51C8E107" w14:textId="77777777" w:rsidR="004728D9" w:rsidRDefault="004728D9" w:rsidP="00782D96">
      <w:pPr>
        <w:pStyle w:val="Normal1"/>
        <w:spacing w:line="360" w:lineRule="auto"/>
        <w:jc w:val="both"/>
        <w:rPr>
          <w:rFonts w:ascii="Times New Roman" w:eastAsia="Times New Roman" w:hAnsi="Times New Roman" w:cs="Times New Roman"/>
          <w:b/>
          <w:color w:val="0E101A"/>
          <w:sz w:val="24"/>
          <w:szCs w:val="24"/>
          <w:highlight w:val="white"/>
        </w:rPr>
      </w:pPr>
    </w:p>
    <w:p w14:paraId="1EE433F4" w14:textId="77777777" w:rsidR="004728D9" w:rsidRDefault="004728D9" w:rsidP="00782D96">
      <w:pPr>
        <w:pStyle w:val="Normal1"/>
        <w:spacing w:line="360" w:lineRule="auto"/>
        <w:jc w:val="both"/>
        <w:rPr>
          <w:rFonts w:ascii="Times New Roman" w:eastAsia="Times New Roman" w:hAnsi="Times New Roman" w:cs="Times New Roman"/>
          <w:b/>
          <w:color w:val="0E101A"/>
          <w:sz w:val="24"/>
          <w:szCs w:val="24"/>
          <w:highlight w:val="white"/>
        </w:rPr>
      </w:pPr>
    </w:p>
    <w:p w14:paraId="00000001" w14:textId="22CEB77C" w:rsidR="008658E1" w:rsidRPr="00782D96" w:rsidRDefault="004728D9" w:rsidP="004728D9">
      <w:pPr>
        <w:pStyle w:val="Heading1"/>
        <w:rPr>
          <w:b w:val="0"/>
          <w:highlight w:val="white"/>
        </w:rPr>
      </w:pPr>
      <w:r>
        <w:rPr>
          <w:b w:val="0"/>
          <w:highlight w:val="white"/>
        </w:rPr>
        <w:br w:type="column"/>
      </w:r>
      <w:bookmarkStart w:id="0" w:name="_Toc150003897"/>
      <w:r w:rsidRPr="00782D96">
        <w:rPr>
          <w:highlight w:val="white"/>
        </w:rPr>
        <w:lastRenderedPageBreak/>
        <w:t>Introduction</w:t>
      </w:r>
      <w:bookmarkEnd w:id="0"/>
    </w:p>
    <w:p w14:paraId="00000002" w14:textId="77777777" w:rsidR="008658E1" w:rsidRPr="00782D96"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The assignment aims to focus on international financial management. This assignment will also evaluate the relevant theoretical framework as well as the model related to the international. It is also going to highlight the various types of effective strategies which help international corporations implement in their business operations to mitigate any type of challenges as well as address the challenges. It will also highlight how the IMF theories are effectively implemented in their business operation whic</w:t>
      </w:r>
      <w:r w:rsidRPr="00782D96">
        <w:rPr>
          <w:rFonts w:ascii="Times New Roman" w:eastAsia="Times New Roman" w:hAnsi="Times New Roman" w:cs="Times New Roman"/>
          <w:color w:val="0E101A"/>
          <w:sz w:val="24"/>
          <w:szCs w:val="24"/>
          <w:highlight w:val="white"/>
        </w:rPr>
        <w:t>h helps to allow the corporate finance to maintain flexibility on a global scale. It will also evaluate, apply as well as engage in critical discussion regarding diverse methods as well as techniques for the financing of a global enterprise. It will also evaluate as well as analyze diverse conceptual frameworks about corporate valuation, the global cost of capital as well as fiscal compositions with a discerning approach. International financial management (IFM) plays a crucial role in the field of multinat</w:t>
      </w:r>
      <w:r w:rsidRPr="00782D96">
        <w:rPr>
          <w:rFonts w:ascii="Times New Roman" w:eastAsia="Times New Roman" w:hAnsi="Times New Roman" w:cs="Times New Roman"/>
          <w:color w:val="0E101A"/>
          <w:sz w:val="24"/>
          <w:szCs w:val="24"/>
          <w:highlight w:val="white"/>
        </w:rPr>
        <w:t xml:space="preserve">ional corporations' operations in the global business. </w:t>
      </w:r>
    </w:p>
    <w:p w14:paraId="00000003" w14:textId="77777777" w:rsidR="008658E1" w:rsidRPr="00782D96" w:rsidRDefault="00D452EF" w:rsidP="004728D9">
      <w:pPr>
        <w:pStyle w:val="Heading1"/>
        <w:rPr>
          <w:highlight w:val="white"/>
        </w:rPr>
      </w:pPr>
      <w:bookmarkStart w:id="1" w:name="_Toc150003898"/>
      <w:r w:rsidRPr="00782D96">
        <w:rPr>
          <w:highlight w:val="white"/>
        </w:rPr>
        <w:t>Literature review</w:t>
      </w:r>
      <w:bookmarkEnd w:id="1"/>
      <w:r w:rsidRPr="00782D96">
        <w:rPr>
          <w:highlight w:val="white"/>
        </w:rPr>
        <w:t xml:space="preserve"> </w:t>
      </w:r>
    </w:p>
    <w:p w14:paraId="00000004" w14:textId="77777777" w:rsidR="008658E1"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 xml:space="preserve">International financial management (IFM) implies several types of theories as well as models which are necessary for understanding as well as managing foreign exchange risk. </w:t>
      </w:r>
      <w:r w:rsidRPr="00782D96">
        <w:rPr>
          <w:rFonts w:ascii="Times New Roman" w:eastAsia="Times New Roman" w:hAnsi="Times New Roman" w:cs="Times New Roman"/>
          <w:color w:val="0E101A"/>
          <w:sz w:val="24"/>
          <w:szCs w:val="24"/>
          <w:highlight w:val="white"/>
        </w:rPr>
        <w:t>Here are some effective models and theories related to the IFM:</w:t>
      </w:r>
    </w:p>
    <w:p w14:paraId="5867749A" w14:textId="77777777" w:rsidR="00687A38" w:rsidRPr="00782D96" w:rsidRDefault="00687A38" w:rsidP="00782D96">
      <w:pPr>
        <w:pStyle w:val="Normal1"/>
        <w:spacing w:line="360" w:lineRule="auto"/>
        <w:jc w:val="both"/>
        <w:rPr>
          <w:rFonts w:ascii="Times New Roman" w:eastAsia="Times New Roman" w:hAnsi="Times New Roman" w:cs="Times New Roman"/>
          <w:color w:val="0E101A"/>
          <w:sz w:val="24"/>
          <w:szCs w:val="24"/>
          <w:highlight w:val="white"/>
        </w:rPr>
      </w:pPr>
    </w:p>
    <w:p w14:paraId="00000005" w14:textId="77777777"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 xml:space="preserve">IRP (theory) </w:t>
      </w:r>
    </w:p>
    <w:p w14:paraId="00000006" w14:textId="77777777" w:rsidR="008658E1"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Interest rate parity (IRP) is a type of effective theory in which the forward exchange rate as well as the spot exchange rate differential is equivalent to the interest rate differentials between two countries. As per the theory the forward rate is expected to be equivalent to the spot exchange rate which is multiplied by the interest rate of the foreign country. Interest rates refer to the cost of money. Along with that relationship between exchange rates as well as the interest rate is commonly or well kn</w:t>
      </w:r>
      <w:r w:rsidRPr="00782D96">
        <w:rPr>
          <w:rFonts w:ascii="Times New Roman" w:eastAsia="Times New Roman" w:hAnsi="Times New Roman" w:cs="Times New Roman"/>
          <w:color w:val="0E101A"/>
          <w:sz w:val="24"/>
          <w:szCs w:val="24"/>
          <w:highlight w:val="white"/>
        </w:rPr>
        <w:t>own as the Interest Rate Parity as well and it could be illustrated under two conditions (Nirmali and Rajapakse, 2016).</w:t>
      </w:r>
    </w:p>
    <w:p w14:paraId="2657A5C0" w14:textId="77777777" w:rsidR="00687A38" w:rsidRDefault="00687A38" w:rsidP="00782D96">
      <w:pPr>
        <w:pStyle w:val="Normal1"/>
        <w:spacing w:line="360" w:lineRule="auto"/>
        <w:jc w:val="both"/>
        <w:rPr>
          <w:rFonts w:ascii="Times New Roman" w:eastAsia="Times New Roman" w:hAnsi="Times New Roman" w:cs="Times New Roman"/>
          <w:color w:val="0E101A"/>
          <w:sz w:val="24"/>
          <w:szCs w:val="24"/>
          <w:highlight w:val="white"/>
        </w:rPr>
      </w:pPr>
    </w:p>
    <w:p w14:paraId="10195291" w14:textId="77777777" w:rsidR="00687A38" w:rsidRDefault="00687A38" w:rsidP="00782D96">
      <w:pPr>
        <w:pStyle w:val="Normal1"/>
        <w:spacing w:line="360" w:lineRule="auto"/>
        <w:jc w:val="both"/>
        <w:rPr>
          <w:rFonts w:ascii="Times New Roman" w:eastAsia="Times New Roman" w:hAnsi="Times New Roman" w:cs="Times New Roman"/>
          <w:color w:val="0E101A"/>
          <w:sz w:val="24"/>
          <w:szCs w:val="24"/>
          <w:highlight w:val="white"/>
        </w:rPr>
      </w:pPr>
    </w:p>
    <w:p w14:paraId="181A2D69" w14:textId="77777777" w:rsidR="00687A38" w:rsidRDefault="00687A38" w:rsidP="00782D96">
      <w:pPr>
        <w:pStyle w:val="Normal1"/>
        <w:spacing w:line="360" w:lineRule="auto"/>
        <w:jc w:val="both"/>
        <w:rPr>
          <w:rFonts w:ascii="Times New Roman" w:eastAsia="Times New Roman" w:hAnsi="Times New Roman" w:cs="Times New Roman"/>
          <w:color w:val="0E101A"/>
          <w:sz w:val="24"/>
          <w:szCs w:val="24"/>
          <w:highlight w:val="white"/>
        </w:rPr>
      </w:pPr>
    </w:p>
    <w:p w14:paraId="7FD04C65" w14:textId="77777777" w:rsidR="00687A38" w:rsidRDefault="00687A38" w:rsidP="00782D96">
      <w:pPr>
        <w:pStyle w:val="Normal1"/>
        <w:spacing w:line="360" w:lineRule="auto"/>
        <w:jc w:val="both"/>
        <w:rPr>
          <w:rFonts w:ascii="Times New Roman" w:eastAsia="Times New Roman" w:hAnsi="Times New Roman" w:cs="Times New Roman"/>
          <w:color w:val="0E101A"/>
          <w:sz w:val="24"/>
          <w:szCs w:val="24"/>
          <w:highlight w:val="white"/>
        </w:rPr>
      </w:pPr>
    </w:p>
    <w:p w14:paraId="78D8E066" w14:textId="77777777" w:rsidR="00687A38" w:rsidRPr="00782D96" w:rsidRDefault="00687A38" w:rsidP="00782D96">
      <w:pPr>
        <w:pStyle w:val="Normal1"/>
        <w:spacing w:line="360" w:lineRule="auto"/>
        <w:jc w:val="both"/>
        <w:rPr>
          <w:rFonts w:ascii="Times New Roman" w:eastAsia="Times New Roman" w:hAnsi="Times New Roman" w:cs="Times New Roman"/>
          <w:color w:val="0E101A"/>
          <w:sz w:val="24"/>
          <w:szCs w:val="24"/>
          <w:highlight w:val="white"/>
        </w:rPr>
      </w:pPr>
    </w:p>
    <w:p w14:paraId="4753D54B" w14:textId="77777777" w:rsidR="00687A38" w:rsidRDefault="00687A38" w:rsidP="00782D96">
      <w:pPr>
        <w:pStyle w:val="Normal1"/>
        <w:spacing w:line="360" w:lineRule="auto"/>
        <w:jc w:val="both"/>
        <w:rPr>
          <w:rFonts w:ascii="Times New Roman" w:eastAsia="Times New Roman" w:hAnsi="Times New Roman" w:cs="Times New Roman"/>
          <w:b/>
          <w:color w:val="0E101A"/>
          <w:sz w:val="24"/>
          <w:szCs w:val="24"/>
          <w:highlight w:val="white"/>
        </w:rPr>
      </w:pPr>
    </w:p>
    <w:p w14:paraId="00000007" w14:textId="3325AC68"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Purchasing power parity (PPP)</w:t>
      </w:r>
    </w:p>
    <w:p w14:paraId="00000008" w14:textId="77777777" w:rsidR="008658E1"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 xml:space="preserve">PPP theory refers to the absence of transaction costs as well as any type of trade barriers, this theory also considers that the price levels between two nations need to be equal. Along with that once the currencies have been exchanged then the price of goods in every country will be equal. According to the theory, the exchange rate between two countries or nations will be adopted or adjusted over time to mirror alterations in their individual price levels, which is satiated by the </w:t>
      </w:r>
      <w:proofErr w:type="gramStart"/>
      <w:r w:rsidRPr="00782D96">
        <w:rPr>
          <w:rFonts w:ascii="Times New Roman" w:eastAsia="Times New Roman" w:hAnsi="Times New Roman" w:cs="Times New Roman"/>
          <w:color w:val="0E101A"/>
          <w:sz w:val="24"/>
          <w:szCs w:val="24"/>
          <w:highlight w:val="white"/>
        </w:rPr>
        <w:t>aforementioned law</w:t>
      </w:r>
      <w:proofErr w:type="gramEnd"/>
      <w:r w:rsidRPr="00782D96">
        <w:rPr>
          <w:rFonts w:ascii="Times New Roman" w:eastAsia="Times New Roman" w:hAnsi="Times New Roman" w:cs="Times New Roman"/>
          <w:color w:val="0E101A"/>
          <w:sz w:val="24"/>
          <w:szCs w:val="24"/>
          <w:highlight w:val="white"/>
        </w:rPr>
        <w:t xml:space="preserve"> of one price (</w:t>
      </w:r>
      <w:proofErr w:type="spellStart"/>
      <w:r w:rsidRPr="00782D96">
        <w:rPr>
          <w:rFonts w:ascii="Times New Roman" w:eastAsia="Times New Roman" w:hAnsi="Times New Roman" w:cs="Times New Roman"/>
          <w:color w:val="0E101A"/>
          <w:sz w:val="24"/>
          <w:szCs w:val="24"/>
          <w:highlight w:val="white"/>
        </w:rPr>
        <w:t>Muthucattu</w:t>
      </w:r>
      <w:proofErr w:type="spellEnd"/>
      <w:r w:rsidRPr="00782D96">
        <w:rPr>
          <w:rFonts w:ascii="Times New Roman" w:eastAsia="Times New Roman" w:hAnsi="Times New Roman" w:cs="Times New Roman"/>
          <w:color w:val="0E101A"/>
          <w:sz w:val="24"/>
          <w:szCs w:val="24"/>
          <w:highlight w:val="white"/>
        </w:rPr>
        <w:t xml:space="preserve"> </w:t>
      </w:r>
      <w:r w:rsidRPr="00782D96">
        <w:rPr>
          <w:rFonts w:ascii="Times New Roman" w:eastAsia="Times New Roman" w:hAnsi="Times New Roman" w:cs="Times New Roman"/>
          <w:i/>
          <w:color w:val="0E101A"/>
          <w:sz w:val="24"/>
          <w:szCs w:val="24"/>
          <w:highlight w:val="white"/>
        </w:rPr>
        <w:t>et al</w:t>
      </w:r>
      <w:r w:rsidRPr="00782D96">
        <w:rPr>
          <w:rFonts w:ascii="Times New Roman" w:eastAsia="Times New Roman" w:hAnsi="Times New Roman" w:cs="Times New Roman"/>
          <w:color w:val="0E101A"/>
          <w:sz w:val="24"/>
          <w:szCs w:val="24"/>
          <w:highlight w:val="white"/>
        </w:rPr>
        <w:t xml:space="preserve">. 2017).  </w:t>
      </w:r>
    </w:p>
    <w:p w14:paraId="5456AC4C" w14:textId="77777777" w:rsidR="00687A38" w:rsidRPr="00782D96" w:rsidRDefault="00687A38" w:rsidP="00782D96">
      <w:pPr>
        <w:pStyle w:val="Normal1"/>
        <w:spacing w:line="360" w:lineRule="auto"/>
        <w:jc w:val="both"/>
        <w:rPr>
          <w:rFonts w:ascii="Times New Roman" w:eastAsia="Times New Roman" w:hAnsi="Times New Roman" w:cs="Times New Roman"/>
          <w:color w:val="0E101A"/>
          <w:sz w:val="24"/>
          <w:szCs w:val="24"/>
          <w:highlight w:val="white"/>
        </w:rPr>
      </w:pPr>
    </w:p>
    <w:p w14:paraId="00000009" w14:textId="77777777"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Asset Market Model</w:t>
      </w:r>
    </w:p>
    <w:p w14:paraId="0000000A" w14:textId="77777777" w:rsidR="008658E1" w:rsidRDefault="00D452EF" w:rsidP="00782D96">
      <w:pPr>
        <w:pStyle w:val="Normal1"/>
        <w:spacing w:line="360" w:lineRule="auto"/>
        <w:jc w:val="both"/>
        <w:rPr>
          <w:rFonts w:ascii="Times New Roman" w:eastAsia="Times New Roman" w:hAnsi="Times New Roman" w:cs="Times New Roman"/>
          <w:color w:val="0E101A"/>
          <w:sz w:val="24"/>
          <w:szCs w:val="24"/>
        </w:rPr>
      </w:pPr>
      <w:r w:rsidRPr="00782D96">
        <w:rPr>
          <w:rFonts w:ascii="Times New Roman" w:eastAsia="Times New Roman" w:hAnsi="Times New Roman" w:cs="Times New Roman"/>
          <w:color w:val="0E101A"/>
          <w:sz w:val="24"/>
          <w:szCs w:val="24"/>
          <w:highlight w:val="white"/>
        </w:rPr>
        <w:t>Asset market model theory refers to the market role of the financial assets in the market, like stocks as well as the bonds which help to determine the exchange rates in the market. In simple terms, asset market models also determine the exchange rate between two currencies which is blanched according to the suppliers as well as the demands for the assets. It also increases the price efficiency, it has various types of advantages and disadvantages in the trading of the asset (Merl, 2022).</w:t>
      </w:r>
    </w:p>
    <w:p w14:paraId="13CCD06B" w14:textId="77777777" w:rsidR="00687A38" w:rsidRPr="00782D96" w:rsidRDefault="00687A38" w:rsidP="00782D96">
      <w:pPr>
        <w:pStyle w:val="Normal1"/>
        <w:spacing w:line="360" w:lineRule="auto"/>
        <w:jc w:val="both"/>
        <w:rPr>
          <w:rFonts w:ascii="Times New Roman" w:eastAsia="Times New Roman" w:hAnsi="Times New Roman" w:cs="Times New Roman"/>
          <w:sz w:val="24"/>
          <w:szCs w:val="24"/>
        </w:rPr>
      </w:pPr>
    </w:p>
    <w:p w14:paraId="0000000B" w14:textId="77777777" w:rsidR="008658E1" w:rsidRPr="00782D96" w:rsidRDefault="00D452EF" w:rsidP="00782D96">
      <w:pPr>
        <w:pStyle w:val="Normal1"/>
        <w:spacing w:line="360" w:lineRule="auto"/>
        <w:jc w:val="both"/>
        <w:rPr>
          <w:rFonts w:ascii="Times New Roman" w:eastAsia="Times New Roman" w:hAnsi="Times New Roman" w:cs="Times New Roman"/>
          <w:b/>
          <w:color w:val="222222"/>
          <w:sz w:val="24"/>
          <w:szCs w:val="24"/>
          <w:highlight w:val="white"/>
        </w:rPr>
      </w:pPr>
      <w:r w:rsidRPr="00782D96">
        <w:rPr>
          <w:rFonts w:ascii="Times New Roman" w:eastAsia="Times New Roman" w:hAnsi="Times New Roman" w:cs="Times New Roman"/>
          <w:b/>
          <w:color w:val="222222"/>
          <w:sz w:val="24"/>
          <w:szCs w:val="24"/>
          <w:highlight w:val="white"/>
        </w:rPr>
        <w:t>Foreign exchange risk and importance for multinational corporations</w:t>
      </w:r>
    </w:p>
    <w:p w14:paraId="0000000C" w14:textId="07D826FB" w:rsidR="008658E1" w:rsidRPr="00782D96" w:rsidRDefault="00D452EF" w:rsidP="00782D96">
      <w:pPr>
        <w:pStyle w:val="Normal1"/>
        <w:spacing w:line="360" w:lineRule="auto"/>
        <w:jc w:val="both"/>
        <w:rPr>
          <w:rFonts w:ascii="Times New Roman" w:eastAsia="Times New Roman" w:hAnsi="Times New Roman" w:cs="Times New Roman"/>
          <w:color w:val="222222"/>
          <w:sz w:val="24"/>
          <w:szCs w:val="24"/>
          <w:highlight w:val="white"/>
        </w:rPr>
      </w:pPr>
      <w:r w:rsidRPr="00782D96">
        <w:rPr>
          <w:rFonts w:ascii="Times New Roman" w:eastAsia="Times New Roman" w:hAnsi="Times New Roman" w:cs="Times New Roman"/>
          <w:color w:val="222222"/>
          <w:sz w:val="24"/>
          <w:szCs w:val="24"/>
          <w:highlight w:val="white"/>
        </w:rPr>
        <w:t xml:space="preserve">Foreign exchange risk refers to the various types of risk which arise from the movement in the base of the denomination currency rates as well as the currency rate. It is also </w:t>
      </w:r>
      <w:r w:rsidRPr="00782D96">
        <w:rPr>
          <w:rFonts w:ascii="Times New Roman" w:eastAsia="Times New Roman" w:hAnsi="Times New Roman" w:cs="Times New Roman"/>
          <w:color w:val="222222"/>
          <w:sz w:val="24"/>
          <w:szCs w:val="24"/>
          <w:highlight w:val="white"/>
        </w:rPr>
        <w:t>referred to as exchange rate, FX risk as well as currency risk (</w:t>
      </w:r>
      <w:proofErr w:type="spellStart"/>
      <w:r w:rsidRPr="00782D96">
        <w:rPr>
          <w:rFonts w:ascii="Times New Roman" w:eastAsia="Times New Roman" w:hAnsi="Times New Roman" w:cs="Times New Roman"/>
          <w:sz w:val="24"/>
          <w:szCs w:val="24"/>
        </w:rPr>
        <w:t>Corporatefinanceinstitute</w:t>
      </w:r>
      <w:proofErr w:type="spellEnd"/>
      <w:r w:rsidRPr="00782D96">
        <w:rPr>
          <w:rFonts w:ascii="Times New Roman" w:eastAsia="Times New Roman" w:hAnsi="Times New Roman" w:cs="Times New Roman"/>
          <w:sz w:val="24"/>
          <w:szCs w:val="24"/>
        </w:rPr>
        <w:t>, 2023).</w:t>
      </w:r>
      <w:r w:rsidRPr="00782D96">
        <w:rPr>
          <w:rFonts w:ascii="Times New Roman" w:eastAsia="Times New Roman" w:hAnsi="Times New Roman" w:cs="Times New Roman"/>
          <w:color w:val="222222"/>
          <w:sz w:val="24"/>
          <w:szCs w:val="24"/>
          <w:highlight w:val="white"/>
        </w:rPr>
        <w:t xml:space="preserve"> For example, A UK-based company is ready to sell an export to Australia, with the payment of 100,000 Australian dollars (A$) due in three months. Considering the exchange rate at the time of the </w:t>
      </w:r>
      <w:r w:rsidR="00782D96" w:rsidRPr="00782D96">
        <w:rPr>
          <w:rFonts w:ascii="Times New Roman" w:eastAsia="Times New Roman" w:hAnsi="Times New Roman" w:cs="Times New Roman"/>
          <w:color w:val="222222"/>
          <w:sz w:val="24"/>
          <w:szCs w:val="24"/>
          <w:highlight w:val="white"/>
        </w:rPr>
        <w:t>contract, which</w:t>
      </w:r>
      <w:r w:rsidRPr="00782D96">
        <w:rPr>
          <w:rFonts w:ascii="Times New Roman" w:eastAsia="Times New Roman" w:hAnsi="Times New Roman" w:cs="Times New Roman"/>
          <w:color w:val="222222"/>
          <w:sz w:val="24"/>
          <w:szCs w:val="24"/>
          <w:highlight w:val="white"/>
        </w:rPr>
        <w:t xml:space="preserve"> stands at A$/£1.80, the business organization anticipates receiving £55,556 for the transaction (</w:t>
      </w:r>
      <w:proofErr w:type="spellStart"/>
      <w:r w:rsidRPr="00782D96">
        <w:rPr>
          <w:rFonts w:ascii="Times New Roman" w:eastAsia="Times New Roman" w:hAnsi="Times New Roman" w:cs="Times New Roman"/>
          <w:sz w:val="24"/>
          <w:szCs w:val="24"/>
        </w:rPr>
        <w:t>Accaglobal</w:t>
      </w:r>
      <w:proofErr w:type="spellEnd"/>
      <w:r w:rsidRPr="00782D96">
        <w:rPr>
          <w:rFonts w:ascii="Times New Roman" w:eastAsia="Times New Roman" w:hAnsi="Times New Roman" w:cs="Times New Roman"/>
          <w:sz w:val="24"/>
          <w:szCs w:val="24"/>
        </w:rPr>
        <w:t>, 2023).</w:t>
      </w:r>
      <w:r w:rsidRPr="00782D96">
        <w:rPr>
          <w:rFonts w:ascii="Times New Roman" w:eastAsia="Times New Roman" w:hAnsi="Times New Roman" w:cs="Times New Roman"/>
          <w:color w:val="222222"/>
          <w:sz w:val="24"/>
          <w:szCs w:val="24"/>
          <w:highlight w:val="white"/>
        </w:rPr>
        <w:t xml:space="preserve"> Along with that multinational corporations which are operating the various types of cou</w:t>
      </w:r>
      <w:r w:rsidRPr="00782D96">
        <w:rPr>
          <w:rFonts w:ascii="Times New Roman" w:eastAsia="Times New Roman" w:hAnsi="Times New Roman" w:cs="Times New Roman"/>
          <w:color w:val="222222"/>
          <w:sz w:val="24"/>
          <w:szCs w:val="24"/>
          <w:highlight w:val="white"/>
        </w:rPr>
        <w:t xml:space="preserve">ntries, have major concerns about the issues which can impact their cost, profits as well as revenues. Foreign exchange risk has various types of importance for MNCs including it can impact the various types of benefits or profit through the overseas business operations. </w:t>
      </w:r>
    </w:p>
    <w:p w14:paraId="0000000D" w14:textId="77777777" w:rsidR="008658E1" w:rsidRPr="00782D96" w:rsidRDefault="00D452EF" w:rsidP="00782D96">
      <w:pPr>
        <w:pStyle w:val="Normal1"/>
        <w:spacing w:line="360" w:lineRule="auto"/>
        <w:jc w:val="both"/>
        <w:rPr>
          <w:rFonts w:ascii="Times New Roman" w:eastAsia="Times New Roman" w:hAnsi="Times New Roman" w:cs="Times New Roman"/>
          <w:color w:val="222222"/>
          <w:sz w:val="24"/>
          <w:szCs w:val="24"/>
          <w:highlight w:val="white"/>
        </w:rPr>
      </w:pPr>
      <w:r w:rsidRPr="00782D96">
        <w:rPr>
          <w:rFonts w:ascii="Times New Roman" w:eastAsia="Times New Roman" w:hAnsi="Times New Roman" w:cs="Times New Roman"/>
          <w:color w:val="222222"/>
          <w:sz w:val="24"/>
          <w:szCs w:val="24"/>
          <w:highlight w:val="white"/>
        </w:rPr>
        <w:t xml:space="preserve">When a multinational business organization operates in various countries time company faces various types of foreign exchange risks such as Translation risks, Transaction risks as well and economic risks.  </w:t>
      </w:r>
    </w:p>
    <w:p w14:paraId="2D35DCF3" w14:textId="77777777" w:rsidR="00687A38" w:rsidRDefault="00687A38" w:rsidP="00782D96">
      <w:pPr>
        <w:pStyle w:val="Normal1"/>
        <w:spacing w:line="360" w:lineRule="auto"/>
        <w:jc w:val="both"/>
        <w:rPr>
          <w:rFonts w:ascii="Times New Roman" w:eastAsia="Times New Roman" w:hAnsi="Times New Roman" w:cs="Times New Roman"/>
          <w:b/>
          <w:color w:val="0E101A"/>
          <w:sz w:val="24"/>
          <w:szCs w:val="24"/>
          <w:highlight w:val="white"/>
        </w:rPr>
      </w:pPr>
    </w:p>
    <w:p w14:paraId="0000000E" w14:textId="514C83CB" w:rsidR="008658E1"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 xml:space="preserve">Strategies for mitigating foreign exchange risks for multinational </w:t>
      </w:r>
      <w:proofErr w:type="gramStart"/>
      <w:r w:rsidR="00782D96" w:rsidRPr="00782D96">
        <w:rPr>
          <w:rFonts w:ascii="Times New Roman" w:eastAsia="Times New Roman" w:hAnsi="Times New Roman" w:cs="Times New Roman"/>
          <w:b/>
          <w:color w:val="0E101A"/>
          <w:sz w:val="24"/>
          <w:szCs w:val="24"/>
          <w:highlight w:val="white"/>
        </w:rPr>
        <w:t>corporations</w:t>
      </w:r>
      <w:proofErr w:type="gramEnd"/>
    </w:p>
    <w:p w14:paraId="3029DE93" w14:textId="77777777" w:rsidR="00687A38" w:rsidRPr="00782D96" w:rsidRDefault="00687A38" w:rsidP="00782D96">
      <w:pPr>
        <w:pStyle w:val="Normal1"/>
        <w:spacing w:line="360" w:lineRule="auto"/>
        <w:jc w:val="both"/>
        <w:rPr>
          <w:rFonts w:ascii="Times New Roman" w:eastAsia="Times New Roman" w:hAnsi="Times New Roman" w:cs="Times New Roman"/>
          <w:b/>
          <w:color w:val="0E101A"/>
          <w:sz w:val="24"/>
          <w:szCs w:val="24"/>
          <w:highlight w:val="white"/>
        </w:rPr>
      </w:pPr>
    </w:p>
    <w:p w14:paraId="0000000F" w14:textId="77777777"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 xml:space="preserve">Currency hedging </w:t>
      </w:r>
    </w:p>
    <w:p w14:paraId="00000010" w14:textId="7014D749" w:rsidR="008658E1"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 xml:space="preserve">Currency hedging is one of the effective strategies to mitigate any type of exchange rates in the operation of the business. This is used by multinational corporations to mitigate the foreign exchange risk. It also found that business organizations use currency derivatives such as various types of options as well as futures to hedge against </w:t>
      </w:r>
      <w:r w:rsidR="00687A38" w:rsidRPr="00782D96">
        <w:rPr>
          <w:rFonts w:ascii="Times New Roman" w:eastAsia="Times New Roman" w:hAnsi="Times New Roman" w:cs="Times New Roman"/>
          <w:color w:val="0E101A"/>
          <w:sz w:val="24"/>
          <w:szCs w:val="24"/>
          <w:highlight w:val="white"/>
        </w:rPr>
        <w:t>unfavorable</w:t>
      </w:r>
      <w:r w:rsidRPr="00782D96">
        <w:rPr>
          <w:rFonts w:ascii="Times New Roman" w:eastAsia="Times New Roman" w:hAnsi="Times New Roman" w:cs="Times New Roman"/>
          <w:color w:val="0E101A"/>
          <w:sz w:val="24"/>
          <w:szCs w:val="24"/>
          <w:highlight w:val="white"/>
        </w:rPr>
        <w:t xml:space="preserve"> exchange rate movements. Currency hedging also helped the multinational business organization to manage the risk by minimizing the currency fluctuations, it helped to reduce any type of financial risk as well as minimizing the large losses in the adverse effects of the currency (</w:t>
      </w:r>
      <w:proofErr w:type="spellStart"/>
      <w:r w:rsidRPr="00782D96">
        <w:rPr>
          <w:rFonts w:ascii="Times New Roman" w:eastAsia="Times New Roman" w:hAnsi="Times New Roman" w:cs="Times New Roman"/>
          <w:color w:val="0E101A"/>
          <w:sz w:val="24"/>
          <w:szCs w:val="24"/>
          <w:highlight w:val="white"/>
        </w:rPr>
        <w:t>Wallstreetmojo</w:t>
      </w:r>
      <w:proofErr w:type="spellEnd"/>
      <w:r w:rsidRPr="00782D96">
        <w:rPr>
          <w:rFonts w:ascii="Times New Roman" w:eastAsia="Times New Roman" w:hAnsi="Times New Roman" w:cs="Times New Roman"/>
          <w:color w:val="0E101A"/>
          <w:sz w:val="24"/>
          <w:szCs w:val="24"/>
          <w:highlight w:val="white"/>
        </w:rPr>
        <w:t>, 2023).</w:t>
      </w:r>
    </w:p>
    <w:p w14:paraId="775E7B94" w14:textId="77777777" w:rsidR="00687A38" w:rsidRPr="00782D96" w:rsidRDefault="00687A38" w:rsidP="00782D96">
      <w:pPr>
        <w:pStyle w:val="Normal1"/>
        <w:spacing w:line="360" w:lineRule="auto"/>
        <w:jc w:val="both"/>
        <w:rPr>
          <w:rFonts w:ascii="Times New Roman" w:eastAsia="Times New Roman" w:hAnsi="Times New Roman" w:cs="Times New Roman"/>
          <w:color w:val="0E101A"/>
          <w:sz w:val="24"/>
          <w:szCs w:val="24"/>
          <w:highlight w:val="white"/>
        </w:rPr>
      </w:pPr>
    </w:p>
    <w:p w14:paraId="00000011" w14:textId="77777777"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 xml:space="preserve">Transaction risk </w:t>
      </w:r>
    </w:p>
    <w:p w14:paraId="00000012" w14:textId="77777777" w:rsidR="008658E1"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 xml:space="preserve">Transaction risk is </w:t>
      </w:r>
      <w:r w:rsidRPr="00782D96">
        <w:rPr>
          <w:rFonts w:ascii="Times New Roman" w:eastAsia="Times New Roman" w:hAnsi="Times New Roman" w:cs="Times New Roman"/>
          <w:color w:val="0E101A"/>
          <w:sz w:val="24"/>
          <w:szCs w:val="24"/>
          <w:highlight w:val="white"/>
        </w:rPr>
        <w:t>when a business organization purchases products or services from the other country's suppliers. To mitigate the transaction risk multinational business organizations should have to use the diversifying in which diversifying the foreign currency unveiling. Moreover, regular people need to monitor the exchange rate as well as be more focused on the opportunities to refinance their debt when interest rates are decreasing (Bergman and Rosén, 2021).</w:t>
      </w:r>
    </w:p>
    <w:p w14:paraId="493FB03C" w14:textId="77777777" w:rsidR="00687A38" w:rsidRPr="00782D96" w:rsidRDefault="00687A38" w:rsidP="00782D96">
      <w:pPr>
        <w:pStyle w:val="Normal1"/>
        <w:spacing w:line="360" w:lineRule="auto"/>
        <w:jc w:val="both"/>
        <w:rPr>
          <w:rFonts w:ascii="Times New Roman" w:eastAsia="Times New Roman" w:hAnsi="Times New Roman" w:cs="Times New Roman"/>
          <w:color w:val="0E101A"/>
          <w:sz w:val="24"/>
          <w:szCs w:val="24"/>
          <w:highlight w:val="white"/>
        </w:rPr>
      </w:pPr>
    </w:p>
    <w:p w14:paraId="00000013" w14:textId="77777777"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 xml:space="preserve">Translation exposure management </w:t>
      </w:r>
    </w:p>
    <w:p w14:paraId="00000014" w14:textId="77777777" w:rsidR="008658E1"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 xml:space="preserve">To manage the translation risk, business organizations can use many types of accounting methods to manage their exposure in the market. Translation risk refers to the exchange rate risk associated with the business organization which is dealt with in the foreign currencies as well as the list of foreign assets on their balance sheets. The multinational business organization should have to use the SWAP forward contracts. </w:t>
      </w:r>
    </w:p>
    <w:p w14:paraId="07BEAC17" w14:textId="77777777" w:rsidR="00687A38" w:rsidRPr="00782D96" w:rsidRDefault="00687A38" w:rsidP="00782D96">
      <w:pPr>
        <w:pStyle w:val="Normal1"/>
        <w:spacing w:line="360" w:lineRule="auto"/>
        <w:jc w:val="both"/>
        <w:rPr>
          <w:rFonts w:ascii="Times New Roman" w:eastAsia="Times New Roman" w:hAnsi="Times New Roman" w:cs="Times New Roman"/>
          <w:color w:val="0E101A"/>
          <w:sz w:val="24"/>
          <w:szCs w:val="24"/>
          <w:highlight w:val="white"/>
        </w:rPr>
      </w:pPr>
    </w:p>
    <w:p w14:paraId="00000015" w14:textId="77777777"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 xml:space="preserve">Advantage Forward contracts </w:t>
      </w:r>
    </w:p>
    <w:p w14:paraId="00000016" w14:textId="77777777" w:rsidR="008658E1" w:rsidRPr="00782D96"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It is seen that a forward contract is a type of effective process which allows the business organization to manage themselves related to the exchange rate movements, it is one of the effective processes or methods of hedging foreign exchange risk.</w:t>
      </w:r>
    </w:p>
    <w:p w14:paraId="00000017" w14:textId="77777777" w:rsidR="008658E1" w:rsidRPr="00782D96"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 xml:space="preserve">Disadvantage </w:t>
      </w:r>
    </w:p>
    <w:p w14:paraId="00000018" w14:textId="77777777" w:rsidR="008658E1" w:rsidRPr="00782D96"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lastRenderedPageBreak/>
        <w:t xml:space="preserve">It has some disadvantages in the market that there are no interim cash flows, it is also seen that in this type of process, multinational businesses are not able to easily cancel their contracts related to the business. </w:t>
      </w:r>
    </w:p>
    <w:p w14:paraId="00000019" w14:textId="77777777" w:rsidR="008658E1" w:rsidRPr="00782D96" w:rsidRDefault="00D452EF" w:rsidP="004728D9">
      <w:pPr>
        <w:pStyle w:val="Heading1"/>
        <w:rPr>
          <w:highlight w:val="white"/>
        </w:rPr>
      </w:pPr>
      <w:bookmarkStart w:id="2" w:name="_Toc150003899"/>
      <w:r w:rsidRPr="00782D96">
        <w:rPr>
          <w:highlight w:val="white"/>
        </w:rPr>
        <w:t>Discussion and analysis</w:t>
      </w:r>
      <w:bookmarkEnd w:id="2"/>
    </w:p>
    <w:p w14:paraId="0000001A" w14:textId="77777777"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 xml:space="preserve">Effectiveness of the various types of strategies </w:t>
      </w:r>
    </w:p>
    <w:p w14:paraId="02282657" w14:textId="5E4573C0" w:rsidR="00687A38" w:rsidRPr="00782D96"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There are discussions about the various types of effectiveness of strategies related to currency hedging, translation transaction risk management and many more.</w:t>
      </w:r>
    </w:p>
    <w:p w14:paraId="0000001C" w14:textId="77777777"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 xml:space="preserve">Advantage of Currency hedging </w:t>
      </w:r>
    </w:p>
    <w:p w14:paraId="7628097F" w14:textId="40D5545D" w:rsidR="00687A38" w:rsidRPr="00782D96"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 xml:space="preserve">It is one of the effective strategies which allows the multinational business organization to </w:t>
      </w:r>
      <w:r w:rsidRPr="00782D96">
        <w:rPr>
          <w:rFonts w:ascii="Times New Roman" w:eastAsia="Times New Roman" w:hAnsi="Times New Roman" w:cs="Times New Roman"/>
          <w:color w:val="0E101A"/>
          <w:sz w:val="24"/>
          <w:szCs w:val="24"/>
          <w:highlight w:val="white"/>
        </w:rPr>
        <w:t>protect their investment, reduce the exposure as well as stabilize the profits and many more. It also helped to face international affairs related to overseas business (Ciorciari, 2019).</w:t>
      </w:r>
    </w:p>
    <w:p w14:paraId="0000001E" w14:textId="77777777"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 xml:space="preserve">Disadvantage Currency hedging </w:t>
      </w:r>
    </w:p>
    <w:p w14:paraId="0000001F" w14:textId="77777777" w:rsidR="008658E1" w:rsidRPr="00782D96"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 xml:space="preserve">It has the biggest disadvantage to managing the cost of the operation, it involves high cost or pricing in contracts to contracts for forwarding. </w:t>
      </w:r>
    </w:p>
    <w:p w14:paraId="00000020" w14:textId="77777777"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 xml:space="preserve">Transactional hedging </w:t>
      </w:r>
    </w:p>
    <w:p w14:paraId="00000021" w14:textId="77777777" w:rsidR="008658E1" w:rsidRPr="00782D96"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 xml:space="preserve">Transaction hedging strategies are used by multinational corporations </w:t>
      </w:r>
      <w:proofErr w:type="gramStart"/>
      <w:r w:rsidRPr="00782D96">
        <w:rPr>
          <w:rFonts w:ascii="Times New Roman" w:eastAsia="Times New Roman" w:hAnsi="Times New Roman" w:cs="Times New Roman"/>
          <w:color w:val="0E101A"/>
          <w:sz w:val="24"/>
          <w:szCs w:val="24"/>
          <w:highlight w:val="white"/>
        </w:rPr>
        <w:t>in order to</w:t>
      </w:r>
      <w:proofErr w:type="gramEnd"/>
      <w:r w:rsidRPr="00782D96">
        <w:rPr>
          <w:rFonts w:ascii="Times New Roman" w:eastAsia="Times New Roman" w:hAnsi="Times New Roman" w:cs="Times New Roman"/>
          <w:color w:val="0E101A"/>
          <w:sz w:val="24"/>
          <w:szCs w:val="24"/>
          <w:highlight w:val="white"/>
        </w:rPr>
        <w:t xml:space="preserve"> secure profits related to the operation of the business in this competitive business environment. It also helps to minimize the transaction costs related to the operation of the business. </w:t>
      </w:r>
    </w:p>
    <w:p w14:paraId="00000022" w14:textId="77777777"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 xml:space="preserve">Disadvantage of the Transactional hedging </w:t>
      </w:r>
    </w:p>
    <w:p w14:paraId="00000023" w14:textId="77777777" w:rsidR="008658E1" w:rsidRPr="00782D96"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 xml:space="preserve">It is found that transaction hedging is a type of very complex strategy which can raise various types of issues in operating the business in other countries. </w:t>
      </w:r>
    </w:p>
    <w:p w14:paraId="00000024" w14:textId="77777777"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 xml:space="preserve">Advantages of Natural Hedging </w:t>
      </w:r>
    </w:p>
    <w:p w14:paraId="00000025" w14:textId="77777777" w:rsidR="008658E1" w:rsidRPr="00782D96"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 xml:space="preserve">Natural hedging is one of the effective processes which helped the multinational business organization to minimize cost as it is a very effective and easy process which is easier to implement than hedging with forwards or derivatives.  </w:t>
      </w:r>
    </w:p>
    <w:p w14:paraId="00000026" w14:textId="77777777" w:rsidR="008658E1" w:rsidRPr="00782D96"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The disadvantage of the Natural hedge</w:t>
      </w:r>
    </w:p>
    <w:p w14:paraId="00000027" w14:textId="64C3DD4C" w:rsidR="008658E1"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 xml:space="preserve">One of the biggest disadvantages of the natural hedge is that it is not effectively able to protect the currency against currency risk if any type of changes </w:t>
      </w:r>
      <w:r w:rsidR="00782D96" w:rsidRPr="00782D96">
        <w:rPr>
          <w:rFonts w:ascii="Times New Roman" w:eastAsia="Times New Roman" w:hAnsi="Times New Roman" w:cs="Times New Roman"/>
          <w:color w:val="0E101A"/>
          <w:sz w:val="24"/>
          <w:szCs w:val="24"/>
          <w:highlight w:val="white"/>
        </w:rPr>
        <w:t>occurs</w:t>
      </w:r>
      <w:r w:rsidRPr="00782D96">
        <w:rPr>
          <w:rFonts w:ascii="Times New Roman" w:eastAsia="Times New Roman" w:hAnsi="Times New Roman" w:cs="Times New Roman"/>
          <w:color w:val="0E101A"/>
          <w:sz w:val="24"/>
          <w:szCs w:val="24"/>
          <w:highlight w:val="white"/>
        </w:rPr>
        <w:t xml:space="preserve"> in the market. </w:t>
      </w:r>
    </w:p>
    <w:p w14:paraId="026C2B74" w14:textId="77777777" w:rsidR="00687A38" w:rsidRDefault="00687A38" w:rsidP="00782D96">
      <w:pPr>
        <w:pStyle w:val="Normal1"/>
        <w:spacing w:line="360" w:lineRule="auto"/>
        <w:jc w:val="both"/>
        <w:rPr>
          <w:rFonts w:ascii="Times New Roman" w:eastAsia="Times New Roman" w:hAnsi="Times New Roman" w:cs="Times New Roman"/>
          <w:color w:val="0E101A"/>
          <w:sz w:val="24"/>
          <w:szCs w:val="24"/>
          <w:highlight w:val="white"/>
        </w:rPr>
      </w:pPr>
    </w:p>
    <w:p w14:paraId="437B2778" w14:textId="77777777" w:rsidR="00687A38" w:rsidRDefault="00687A38" w:rsidP="00782D96">
      <w:pPr>
        <w:pStyle w:val="Normal1"/>
        <w:spacing w:line="360" w:lineRule="auto"/>
        <w:jc w:val="both"/>
        <w:rPr>
          <w:rFonts w:ascii="Times New Roman" w:eastAsia="Times New Roman" w:hAnsi="Times New Roman" w:cs="Times New Roman"/>
          <w:color w:val="0E101A"/>
          <w:sz w:val="24"/>
          <w:szCs w:val="24"/>
          <w:highlight w:val="white"/>
        </w:rPr>
      </w:pPr>
    </w:p>
    <w:p w14:paraId="0ACCA815" w14:textId="77777777" w:rsidR="00687A38" w:rsidRPr="00782D96" w:rsidRDefault="00687A38" w:rsidP="00782D96">
      <w:pPr>
        <w:pStyle w:val="Normal1"/>
        <w:spacing w:line="360" w:lineRule="auto"/>
        <w:jc w:val="both"/>
        <w:rPr>
          <w:rFonts w:ascii="Times New Roman" w:eastAsia="Times New Roman" w:hAnsi="Times New Roman" w:cs="Times New Roman"/>
          <w:color w:val="222222"/>
          <w:sz w:val="24"/>
          <w:szCs w:val="24"/>
          <w:highlight w:val="white"/>
        </w:rPr>
      </w:pPr>
    </w:p>
    <w:p w14:paraId="00000028" w14:textId="187DA4FA" w:rsidR="008658E1" w:rsidRDefault="00D452EF" w:rsidP="00782D96">
      <w:pPr>
        <w:pStyle w:val="Normal1"/>
        <w:spacing w:line="360" w:lineRule="auto"/>
        <w:jc w:val="both"/>
        <w:rPr>
          <w:rFonts w:ascii="Times New Roman" w:eastAsia="Times New Roman" w:hAnsi="Times New Roman" w:cs="Times New Roman"/>
          <w:b/>
          <w:color w:val="0E101A"/>
          <w:sz w:val="24"/>
          <w:szCs w:val="24"/>
          <w:highlight w:val="white"/>
        </w:rPr>
      </w:pPr>
      <w:r w:rsidRPr="00782D96">
        <w:rPr>
          <w:rFonts w:ascii="Times New Roman" w:eastAsia="Times New Roman" w:hAnsi="Times New Roman" w:cs="Times New Roman"/>
          <w:b/>
          <w:color w:val="0E101A"/>
          <w:sz w:val="24"/>
          <w:szCs w:val="24"/>
          <w:highlight w:val="white"/>
        </w:rPr>
        <w:t>Example of the multinational corporations which successfully manage foreign exchange risk</w:t>
      </w:r>
      <w:r w:rsidR="00687A38">
        <w:rPr>
          <w:rFonts w:ascii="Times New Roman" w:eastAsia="Times New Roman" w:hAnsi="Times New Roman" w:cs="Times New Roman"/>
          <w:b/>
          <w:color w:val="0E101A"/>
          <w:sz w:val="24"/>
          <w:szCs w:val="24"/>
          <w:highlight w:val="white"/>
        </w:rPr>
        <w:t>:</w:t>
      </w:r>
    </w:p>
    <w:p w14:paraId="4566EC22" w14:textId="77777777" w:rsidR="00687A38" w:rsidRPr="00782D96" w:rsidRDefault="00687A38" w:rsidP="00782D96">
      <w:pPr>
        <w:pStyle w:val="Normal1"/>
        <w:spacing w:line="360" w:lineRule="auto"/>
        <w:jc w:val="both"/>
        <w:rPr>
          <w:rFonts w:ascii="Times New Roman" w:eastAsia="Times New Roman" w:hAnsi="Times New Roman" w:cs="Times New Roman"/>
          <w:b/>
          <w:color w:val="0E101A"/>
          <w:sz w:val="24"/>
          <w:szCs w:val="24"/>
          <w:highlight w:val="white"/>
        </w:rPr>
      </w:pPr>
    </w:p>
    <w:p w14:paraId="00000029" w14:textId="5D293450" w:rsidR="008658E1" w:rsidRPr="00782D96"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b/>
          <w:color w:val="0E101A"/>
          <w:sz w:val="24"/>
          <w:szCs w:val="24"/>
          <w:highlight w:val="white"/>
        </w:rPr>
        <w:t xml:space="preserve">Walmart </w:t>
      </w:r>
      <w:r w:rsidRPr="00782D96">
        <w:rPr>
          <w:rFonts w:ascii="Times New Roman" w:eastAsia="Times New Roman" w:hAnsi="Times New Roman" w:cs="Times New Roman"/>
          <w:color w:val="0E101A"/>
          <w:sz w:val="24"/>
          <w:szCs w:val="24"/>
          <w:highlight w:val="white"/>
        </w:rPr>
        <w:t xml:space="preserve">is one of the largest business organizations which operate their business in </w:t>
      </w:r>
      <w:r w:rsidRPr="00782D96">
        <w:rPr>
          <w:rFonts w:ascii="Times New Roman" w:eastAsia="Times New Roman" w:hAnsi="Times New Roman" w:cs="Times New Roman"/>
          <w:color w:val="0E101A"/>
          <w:sz w:val="24"/>
          <w:szCs w:val="24"/>
          <w:highlight w:val="white"/>
        </w:rPr>
        <w:t>various countries. It is found that business organizations successfully manage their business and their foreign exchange risk by implementing the natural hedge. The company has used the derivatives to hedge its exposure to manage the interest as well as the currency exchange rates. The company can also fix their currency exchange rate to manage its products' cost as well as its profitability (</w:t>
      </w:r>
      <w:proofErr w:type="spellStart"/>
      <w:r w:rsidR="00167C81">
        <w:rPr>
          <w:rFonts w:ascii="Times New Roman" w:eastAsia="Times New Roman" w:hAnsi="Times New Roman" w:cs="Times New Roman"/>
          <w:color w:val="0E101A"/>
          <w:sz w:val="24"/>
          <w:szCs w:val="24"/>
          <w:highlight w:val="white"/>
        </w:rPr>
        <w:t>C</w:t>
      </w:r>
      <w:r w:rsidRPr="00782D96">
        <w:rPr>
          <w:rFonts w:ascii="Times New Roman" w:eastAsia="Times New Roman" w:hAnsi="Times New Roman" w:cs="Times New Roman"/>
          <w:color w:val="0E101A"/>
          <w:sz w:val="24"/>
          <w:szCs w:val="24"/>
          <w:highlight w:val="white"/>
        </w:rPr>
        <w:t>orporate</w:t>
      </w:r>
      <w:r w:rsidR="00167C81">
        <w:rPr>
          <w:rFonts w:ascii="Times New Roman" w:eastAsia="Times New Roman" w:hAnsi="Times New Roman" w:cs="Times New Roman"/>
          <w:color w:val="0E101A"/>
          <w:sz w:val="24"/>
          <w:szCs w:val="24"/>
          <w:highlight w:val="white"/>
        </w:rPr>
        <w:t>.w</w:t>
      </w:r>
      <w:r w:rsidRPr="00782D96">
        <w:rPr>
          <w:rFonts w:ascii="Times New Roman" w:eastAsia="Times New Roman" w:hAnsi="Times New Roman" w:cs="Times New Roman"/>
          <w:color w:val="0E101A"/>
          <w:sz w:val="24"/>
          <w:szCs w:val="24"/>
          <w:highlight w:val="white"/>
        </w:rPr>
        <w:t>almart</w:t>
      </w:r>
      <w:proofErr w:type="spellEnd"/>
      <w:r w:rsidR="00167C81">
        <w:rPr>
          <w:rFonts w:ascii="Times New Roman" w:eastAsia="Times New Roman" w:hAnsi="Times New Roman" w:cs="Times New Roman"/>
          <w:color w:val="0E101A"/>
          <w:sz w:val="24"/>
          <w:szCs w:val="24"/>
          <w:highlight w:val="white"/>
        </w:rPr>
        <w:t>, 2023</w:t>
      </w:r>
      <w:r w:rsidRPr="00782D96">
        <w:rPr>
          <w:rFonts w:ascii="Times New Roman" w:eastAsia="Times New Roman" w:hAnsi="Times New Roman" w:cs="Times New Roman"/>
          <w:color w:val="0E101A"/>
          <w:sz w:val="24"/>
          <w:szCs w:val="24"/>
          <w:highlight w:val="white"/>
        </w:rPr>
        <w:t xml:space="preserve">). </w:t>
      </w:r>
    </w:p>
    <w:p w14:paraId="0000002A" w14:textId="77777777" w:rsidR="008658E1" w:rsidRPr="00782D96" w:rsidRDefault="00D452EF" w:rsidP="00782D96">
      <w:pPr>
        <w:pStyle w:val="Normal1"/>
        <w:spacing w:line="360" w:lineRule="auto"/>
        <w:jc w:val="both"/>
        <w:rPr>
          <w:rFonts w:ascii="Times New Roman" w:eastAsia="Times New Roman" w:hAnsi="Times New Roman" w:cs="Times New Roman"/>
          <w:color w:val="0E101A"/>
          <w:sz w:val="24"/>
          <w:szCs w:val="24"/>
          <w:highlight w:val="white"/>
        </w:rPr>
      </w:pPr>
      <w:r w:rsidRPr="00782D96">
        <w:rPr>
          <w:rFonts w:ascii="Times New Roman" w:eastAsia="Times New Roman" w:hAnsi="Times New Roman" w:cs="Times New Roman"/>
          <w:color w:val="0E101A"/>
          <w:sz w:val="24"/>
          <w:szCs w:val="24"/>
          <w:highlight w:val="white"/>
        </w:rPr>
        <w:t xml:space="preserve">The other example is the multinational business organization which effectively implements transactional hedging in their business operation to mitigate the foreign exchange risk related to the operation of the business. </w:t>
      </w:r>
      <w:r w:rsidRPr="00782D96">
        <w:rPr>
          <w:rFonts w:ascii="Times New Roman" w:eastAsia="Times New Roman" w:hAnsi="Times New Roman" w:cs="Times New Roman"/>
          <w:b/>
          <w:color w:val="0E101A"/>
          <w:sz w:val="24"/>
          <w:szCs w:val="24"/>
          <w:highlight w:val="white"/>
        </w:rPr>
        <w:t xml:space="preserve">Boeing </w:t>
      </w:r>
      <w:r w:rsidRPr="00782D96">
        <w:rPr>
          <w:rFonts w:ascii="Times New Roman" w:eastAsia="Times New Roman" w:hAnsi="Times New Roman" w:cs="Times New Roman"/>
          <w:color w:val="0E101A"/>
          <w:sz w:val="24"/>
          <w:szCs w:val="24"/>
          <w:highlight w:val="white"/>
        </w:rPr>
        <w:t>is one of the latest aerospace business organizations in the world. The company also uses currency hedging to reduce or mitigate the foreign exchange risk. It is also seen that companies are iterating with their customers as well as the suppliers whose primary currency is not the US dollar. It helped the company mitigate any type of risk related to the currency changes (Boeing, 2023).</w:t>
      </w:r>
    </w:p>
    <w:p w14:paraId="0000002B" w14:textId="77777777" w:rsidR="008658E1" w:rsidRPr="00782D96" w:rsidRDefault="00D452EF" w:rsidP="004728D9">
      <w:pPr>
        <w:pStyle w:val="Heading1"/>
        <w:rPr>
          <w:highlight w:val="white"/>
        </w:rPr>
      </w:pPr>
      <w:bookmarkStart w:id="3" w:name="_Toc150003900"/>
      <w:r w:rsidRPr="00782D96">
        <w:rPr>
          <w:highlight w:val="white"/>
        </w:rPr>
        <w:t>Conclusion</w:t>
      </w:r>
      <w:bookmarkEnd w:id="3"/>
      <w:r w:rsidRPr="00782D96">
        <w:rPr>
          <w:highlight w:val="white"/>
        </w:rPr>
        <w:t xml:space="preserve"> </w:t>
      </w:r>
    </w:p>
    <w:p w14:paraId="0000002C" w14:textId="77777777" w:rsidR="008658E1" w:rsidRPr="00782D96" w:rsidRDefault="00D452EF" w:rsidP="00782D96">
      <w:pPr>
        <w:pStyle w:val="Normal1"/>
        <w:spacing w:line="360" w:lineRule="auto"/>
        <w:jc w:val="both"/>
        <w:rPr>
          <w:rFonts w:ascii="Times New Roman" w:eastAsia="Times New Roman" w:hAnsi="Times New Roman" w:cs="Times New Roman"/>
          <w:color w:val="222222"/>
          <w:sz w:val="24"/>
          <w:szCs w:val="24"/>
          <w:highlight w:val="white"/>
        </w:rPr>
      </w:pPr>
      <w:r w:rsidRPr="00782D96">
        <w:rPr>
          <w:rFonts w:ascii="Times New Roman" w:eastAsia="Times New Roman" w:hAnsi="Times New Roman" w:cs="Times New Roman"/>
          <w:color w:val="0E101A"/>
          <w:sz w:val="24"/>
          <w:szCs w:val="24"/>
          <w:highlight w:val="white"/>
        </w:rPr>
        <w:t>To the above discussion, it has been concluded that foreign exchange risk is one of the vital concerns for the business organization. This assignment has been discussed about the various types of theories as well as the model related to the IFM. It has been discussed about the interest rate parity, purchasing power parity as well as the asset market model. These are all the theories and models which are implemented by business organizations to manage their foreign exchange risk. It also has been discussed a</w:t>
      </w:r>
      <w:r w:rsidRPr="00782D96">
        <w:rPr>
          <w:rFonts w:ascii="Times New Roman" w:eastAsia="Times New Roman" w:hAnsi="Times New Roman" w:cs="Times New Roman"/>
          <w:color w:val="0E101A"/>
          <w:sz w:val="24"/>
          <w:szCs w:val="24"/>
          <w:highlight w:val="white"/>
        </w:rPr>
        <w:t xml:space="preserve">bout the foreign exchange risk as well as the importance for the multinational corporation. It has been discussed about effective strategies to mitigate the foreign exchange risk by the multinational corporations. </w:t>
      </w:r>
    </w:p>
    <w:p w14:paraId="3BD5E4CF" w14:textId="77777777" w:rsidR="00782D96" w:rsidRDefault="00782D96" w:rsidP="00782D96">
      <w:pPr>
        <w:pStyle w:val="Normal1"/>
        <w:spacing w:line="360" w:lineRule="auto"/>
        <w:jc w:val="both"/>
        <w:rPr>
          <w:rFonts w:ascii="Times New Roman" w:eastAsia="Times New Roman" w:hAnsi="Times New Roman" w:cs="Times New Roman"/>
          <w:b/>
          <w:sz w:val="24"/>
          <w:szCs w:val="24"/>
        </w:rPr>
      </w:pPr>
    </w:p>
    <w:p w14:paraId="0000002F" w14:textId="17B7C03A" w:rsidR="008658E1" w:rsidRPr="00782D96" w:rsidRDefault="00782D96" w:rsidP="004728D9">
      <w:pPr>
        <w:pStyle w:val="Heading1"/>
      </w:pPr>
      <w:r>
        <w:br w:type="column"/>
      </w:r>
      <w:bookmarkStart w:id="4" w:name="_Toc150003901"/>
      <w:r w:rsidRPr="004728D9">
        <w:lastRenderedPageBreak/>
        <w:t>References</w:t>
      </w:r>
      <w:bookmarkEnd w:id="4"/>
      <w:r w:rsidRPr="00782D96">
        <w:t xml:space="preserve"> </w:t>
      </w:r>
    </w:p>
    <w:p w14:paraId="1DC5AE26" w14:textId="77777777" w:rsidR="00782D96" w:rsidRPr="00782D96" w:rsidRDefault="00782D96" w:rsidP="00782D96">
      <w:pPr>
        <w:pStyle w:val="Normal1"/>
        <w:spacing w:before="240" w:after="240" w:line="360" w:lineRule="auto"/>
        <w:jc w:val="both"/>
        <w:rPr>
          <w:rFonts w:ascii="Times New Roman" w:eastAsia="Times New Roman" w:hAnsi="Times New Roman" w:cs="Times New Roman"/>
          <w:sz w:val="24"/>
          <w:szCs w:val="24"/>
        </w:rPr>
      </w:pPr>
      <w:proofErr w:type="spellStart"/>
      <w:r w:rsidRPr="00782D96">
        <w:rPr>
          <w:rFonts w:ascii="Times New Roman" w:eastAsia="Times New Roman" w:hAnsi="Times New Roman" w:cs="Times New Roman"/>
          <w:sz w:val="24"/>
          <w:szCs w:val="24"/>
        </w:rPr>
        <w:t>Accaglobal</w:t>
      </w:r>
      <w:proofErr w:type="spellEnd"/>
      <w:r w:rsidRPr="00782D96">
        <w:rPr>
          <w:rFonts w:ascii="Times New Roman" w:eastAsia="Times New Roman" w:hAnsi="Times New Roman" w:cs="Times New Roman"/>
          <w:sz w:val="24"/>
          <w:szCs w:val="24"/>
        </w:rPr>
        <w:t xml:space="preserve">, (2023). </w:t>
      </w:r>
      <w:r w:rsidRPr="00782D96">
        <w:rPr>
          <w:rFonts w:ascii="Times New Roman" w:eastAsia="Times New Roman" w:hAnsi="Times New Roman" w:cs="Times New Roman"/>
          <w:i/>
          <w:sz w:val="24"/>
          <w:szCs w:val="24"/>
        </w:rPr>
        <w:t>Qualification | Students | ACCA Global</w:t>
      </w:r>
      <w:r w:rsidRPr="00782D96">
        <w:rPr>
          <w:rFonts w:ascii="Times New Roman" w:eastAsia="Times New Roman" w:hAnsi="Times New Roman" w:cs="Times New Roman"/>
          <w:sz w:val="24"/>
          <w:szCs w:val="24"/>
        </w:rPr>
        <w:t xml:space="preserve">. Available at: https://www.accaglobal.com/gb/en/student/exam-support-resources/fundamentals-exams-study-resources/f9/technical-articles/forex.html#:~:text=For%20example%2C%20in%20June%20a,100%2C000/1.8%20=%20%C2%A355%2C556 (Accessed: 04 November 2023). </w:t>
      </w:r>
    </w:p>
    <w:p w14:paraId="43B6B608" w14:textId="77777777" w:rsidR="00782D96" w:rsidRPr="00782D96" w:rsidRDefault="00782D96" w:rsidP="00782D96">
      <w:pPr>
        <w:pStyle w:val="Normal1"/>
        <w:spacing w:line="360" w:lineRule="auto"/>
        <w:jc w:val="both"/>
        <w:rPr>
          <w:rFonts w:ascii="Times New Roman" w:eastAsia="Times New Roman" w:hAnsi="Times New Roman" w:cs="Times New Roman"/>
          <w:sz w:val="24"/>
          <w:szCs w:val="24"/>
        </w:rPr>
      </w:pPr>
      <w:r w:rsidRPr="00782D96">
        <w:rPr>
          <w:rFonts w:ascii="Times New Roman" w:hAnsi="Times New Roman" w:cs="Times New Roman"/>
          <w:color w:val="222222"/>
          <w:sz w:val="24"/>
          <w:szCs w:val="24"/>
          <w:highlight w:val="white"/>
        </w:rPr>
        <w:t>Bergman, F. and Rosén, M., (2021). Strategies for mitigating foreign exchange risk.</w:t>
      </w:r>
      <w:hyperlink r:id="rId7">
        <w:r w:rsidRPr="00782D96">
          <w:rPr>
            <w:rFonts w:ascii="Times New Roman" w:eastAsia="Times New Roman" w:hAnsi="Times New Roman" w:cs="Times New Roman"/>
            <w:color w:val="1155CC"/>
            <w:sz w:val="24"/>
            <w:szCs w:val="24"/>
            <w:u w:val="single"/>
          </w:rPr>
          <w:t>https://lup.lub.lu.se/luur/download?func=downloadFile&amp;recordOId=9048231&amp;fileOId=9048236</w:t>
        </w:r>
      </w:hyperlink>
    </w:p>
    <w:p w14:paraId="53721CA8" w14:textId="77777777" w:rsidR="00782D96" w:rsidRPr="00782D96" w:rsidRDefault="00782D96" w:rsidP="00782D96">
      <w:pPr>
        <w:pStyle w:val="Normal1"/>
        <w:spacing w:before="240" w:after="240" w:line="360" w:lineRule="auto"/>
        <w:jc w:val="both"/>
        <w:rPr>
          <w:rFonts w:ascii="Times New Roman" w:eastAsia="Times New Roman" w:hAnsi="Times New Roman" w:cs="Times New Roman"/>
          <w:sz w:val="24"/>
          <w:szCs w:val="24"/>
        </w:rPr>
      </w:pPr>
      <w:r w:rsidRPr="00782D96">
        <w:rPr>
          <w:rFonts w:ascii="Times New Roman" w:eastAsia="Times New Roman" w:hAnsi="Times New Roman" w:cs="Times New Roman"/>
          <w:sz w:val="24"/>
          <w:szCs w:val="24"/>
        </w:rPr>
        <w:t xml:space="preserve">Boeing, (2023). </w:t>
      </w:r>
      <w:r w:rsidRPr="00782D96">
        <w:rPr>
          <w:rFonts w:ascii="Times New Roman" w:eastAsia="Times New Roman" w:hAnsi="Times New Roman" w:cs="Times New Roman"/>
          <w:i/>
          <w:sz w:val="24"/>
          <w:szCs w:val="24"/>
        </w:rPr>
        <w:t>Boeing Frontiers Online</w:t>
      </w:r>
      <w:r w:rsidRPr="00782D96">
        <w:rPr>
          <w:rFonts w:ascii="Times New Roman" w:eastAsia="Times New Roman" w:hAnsi="Times New Roman" w:cs="Times New Roman"/>
          <w:sz w:val="24"/>
          <w:szCs w:val="24"/>
        </w:rPr>
        <w:t xml:space="preserve">. Available at: https://www.boeing.com/news/frontiers/archive/2003/august/i_fof.html#:~:text=As%20a%20company%20that%20does%20business%20internationally%2C,fluctuations%2C%20Boeing%20normally%20turns%20to%20currency%20hedging. (Accessed: 04 November 2023). </w:t>
      </w:r>
    </w:p>
    <w:p w14:paraId="5BC24B5F" w14:textId="77777777" w:rsidR="00782D96" w:rsidRPr="00782D96" w:rsidRDefault="00782D96" w:rsidP="00782D96">
      <w:pPr>
        <w:pStyle w:val="Normal1"/>
        <w:spacing w:line="360" w:lineRule="auto"/>
        <w:jc w:val="both"/>
        <w:rPr>
          <w:rFonts w:ascii="Times New Roman" w:eastAsia="Times New Roman" w:hAnsi="Times New Roman" w:cs="Times New Roman"/>
          <w:sz w:val="24"/>
          <w:szCs w:val="24"/>
        </w:rPr>
      </w:pPr>
      <w:r w:rsidRPr="00782D96">
        <w:rPr>
          <w:rFonts w:ascii="Times New Roman" w:hAnsi="Times New Roman" w:cs="Times New Roman"/>
          <w:color w:val="222222"/>
          <w:sz w:val="24"/>
          <w:szCs w:val="24"/>
          <w:highlight w:val="white"/>
        </w:rPr>
        <w:t xml:space="preserve">Ciorciari, J.D., (2019). The variable effectiveness of hedging strategies. </w:t>
      </w:r>
      <w:r w:rsidRPr="00782D96">
        <w:rPr>
          <w:rFonts w:ascii="Times New Roman" w:hAnsi="Times New Roman" w:cs="Times New Roman"/>
          <w:i/>
          <w:color w:val="222222"/>
          <w:sz w:val="24"/>
          <w:szCs w:val="24"/>
          <w:highlight w:val="white"/>
        </w:rPr>
        <w:t>International Relations of the Asia-Pacific</w:t>
      </w:r>
      <w:r w:rsidRPr="00782D96">
        <w:rPr>
          <w:rFonts w:ascii="Times New Roman" w:hAnsi="Times New Roman" w:cs="Times New Roman"/>
          <w:color w:val="222222"/>
          <w:sz w:val="24"/>
          <w:szCs w:val="24"/>
          <w:highlight w:val="white"/>
        </w:rPr>
        <w:t xml:space="preserve">, </w:t>
      </w:r>
      <w:r w:rsidRPr="00782D96">
        <w:rPr>
          <w:rFonts w:ascii="Times New Roman" w:hAnsi="Times New Roman" w:cs="Times New Roman"/>
          <w:i/>
          <w:color w:val="222222"/>
          <w:sz w:val="24"/>
          <w:szCs w:val="24"/>
          <w:highlight w:val="white"/>
        </w:rPr>
        <w:t>19</w:t>
      </w:r>
      <w:r w:rsidRPr="00782D96">
        <w:rPr>
          <w:rFonts w:ascii="Times New Roman" w:hAnsi="Times New Roman" w:cs="Times New Roman"/>
          <w:color w:val="222222"/>
          <w:sz w:val="24"/>
          <w:szCs w:val="24"/>
          <w:highlight w:val="white"/>
        </w:rPr>
        <w:t>(3), pp.523-555.</w:t>
      </w:r>
      <w:hyperlink r:id="rId8">
        <w:r w:rsidRPr="00782D96">
          <w:rPr>
            <w:rFonts w:ascii="Times New Roman" w:eastAsia="Times New Roman" w:hAnsi="Times New Roman" w:cs="Times New Roman"/>
            <w:color w:val="1155CC"/>
            <w:sz w:val="24"/>
            <w:szCs w:val="24"/>
            <w:u w:val="single"/>
          </w:rPr>
          <w:t>https://academic.oup.com/irap/article-abstract/19/3/523/5490628?login=false</w:t>
        </w:r>
      </w:hyperlink>
    </w:p>
    <w:p w14:paraId="47D25C65" w14:textId="77777777" w:rsidR="00782D96" w:rsidRPr="00782D96" w:rsidRDefault="00782D96" w:rsidP="00782D96">
      <w:pPr>
        <w:pStyle w:val="Normal1"/>
        <w:spacing w:before="240" w:after="240" w:line="360" w:lineRule="auto"/>
        <w:jc w:val="both"/>
        <w:rPr>
          <w:rFonts w:ascii="Times New Roman" w:eastAsia="Times New Roman" w:hAnsi="Times New Roman" w:cs="Times New Roman"/>
          <w:sz w:val="24"/>
          <w:szCs w:val="24"/>
        </w:rPr>
      </w:pPr>
      <w:proofErr w:type="spellStart"/>
      <w:r w:rsidRPr="00782D96">
        <w:rPr>
          <w:rFonts w:ascii="Times New Roman" w:eastAsia="Times New Roman" w:hAnsi="Times New Roman" w:cs="Times New Roman"/>
          <w:sz w:val="24"/>
          <w:szCs w:val="24"/>
        </w:rPr>
        <w:t>Corporate.walmart</w:t>
      </w:r>
      <w:proofErr w:type="spellEnd"/>
      <w:r w:rsidRPr="00782D96">
        <w:rPr>
          <w:rFonts w:ascii="Times New Roman" w:eastAsia="Times New Roman" w:hAnsi="Times New Roman" w:cs="Times New Roman"/>
          <w:sz w:val="24"/>
          <w:szCs w:val="24"/>
        </w:rPr>
        <w:t xml:space="preserve">, (2023). </w:t>
      </w:r>
      <w:r w:rsidRPr="00782D96">
        <w:rPr>
          <w:rFonts w:ascii="Times New Roman" w:eastAsia="Times New Roman" w:hAnsi="Times New Roman" w:cs="Times New Roman"/>
          <w:i/>
          <w:sz w:val="24"/>
          <w:szCs w:val="24"/>
        </w:rPr>
        <w:t>2023 CDP Climate Submission - Walmart corporate</w:t>
      </w:r>
      <w:r w:rsidRPr="00782D96">
        <w:rPr>
          <w:rFonts w:ascii="Times New Roman" w:eastAsia="Times New Roman" w:hAnsi="Times New Roman" w:cs="Times New Roman"/>
          <w:sz w:val="24"/>
          <w:szCs w:val="24"/>
        </w:rPr>
        <w:t xml:space="preserve">. Available at: https://corporate.walmart.com/content/dam/corporate/documents/esgreport/our-esg-priorities/2023%20CDP%20Climate%20Submission.pdf (Accessed: 04 November 2023). </w:t>
      </w:r>
    </w:p>
    <w:p w14:paraId="6C2F6335" w14:textId="77777777" w:rsidR="00782D96" w:rsidRPr="00782D96" w:rsidRDefault="00782D96" w:rsidP="00782D96">
      <w:pPr>
        <w:pStyle w:val="Normal1"/>
        <w:spacing w:before="240" w:after="240" w:line="360" w:lineRule="auto"/>
        <w:jc w:val="both"/>
        <w:rPr>
          <w:rFonts w:ascii="Times New Roman" w:eastAsia="Times New Roman" w:hAnsi="Times New Roman" w:cs="Times New Roman"/>
          <w:sz w:val="24"/>
          <w:szCs w:val="24"/>
        </w:rPr>
      </w:pPr>
      <w:proofErr w:type="spellStart"/>
      <w:r w:rsidRPr="00782D96">
        <w:rPr>
          <w:rFonts w:ascii="Times New Roman" w:eastAsia="Times New Roman" w:hAnsi="Times New Roman" w:cs="Times New Roman"/>
          <w:sz w:val="24"/>
          <w:szCs w:val="24"/>
        </w:rPr>
        <w:t>Corporatefinanceinstitute</w:t>
      </w:r>
      <w:proofErr w:type="spellEnd"/>
      <w:r w:rsidRPr="00782D96">
        <w:rPr>
          <w:rFonts w:ascii="Times New Roman" w:eastAsia="Times New Roman" w:hAnsi="Times New Roman" w:cs="Times New Roman"/>
          <w:sz w:val="24"/>
          <w:szCs w:val="24"/>
        </w:rPr>
        <w:t xml:space="preserve">, (2023). </w:t>
      </w:r>
      <w:r w:rsidRPr="00782D96">
        <w:rPr>
          <w:rFonts w:ascii="Times New Roman" w:eastAsia="Times New Roman" w:hAnsi="Times New Roman" w:cs="Times New Roman"/>
          <w:i/>
          <w:sz w:val="24"/>
          <w:szCs w:val="24"/>
        </w:rPr>
        <w:t>Corporate Finance Institute</w:t>
      </w:r>
      <w:r w:rsidRPr="00782D96">
        <w:rPr>
          <w:rFonts w:ascii="Times New Roman" w:eastAsia="Times New Roman" w:hAnsi="Times New Roman" w:cs="Times New Roman"/>
          <w:sz w:val="24"/>
          <w:szCs w:val="24"/>
        </w:rPr>
        <w:t xml:space="preserve">. Available at: https://corporatefinanceinstitute.com/resources/foreign-exchange/foreign-exchange-risk/#:~:text=Foreign%20exchange%20risk%2C%20also%20known,the%20exchange%20rates%20between%20currencies (Accessed: 04 November 2023). </w:t>
      </w:r>
    </w:p>
    <w:p w14:paraId="70FDE442" w14:textId="77777777" w:rsidR="00782D96" w:rsidRPr="00782D96" w:rsidRDefault="00782D96" w:rsidP="00782D96">
      <w:pPr>
        <w:pStyle w:val="Normal1"/>
        <w:spacing w:line="360" w:lineRule="auto"/>
        <w:jc w:val="both"/>
        <w:rPr>
          <w:rFonts w:ascii="Times New Roman" w:eastAsia="Times New Roman" w:hAnsi="Times New Roman" w:cs="Times New Roman"/>
          <w:sz w:val="24"/>
          <w:szCs w:val="24"/>
        </w:rPr>
      </w:pPr>
      <w:r w:rsidRPr="00782D96">
        <w:rPr>
          <w:rFonts w:ascii="Times New Roman" w:eastAsia="Times New Roman" w:hAnsi="Times New Roman" w:cs="Times New Roman"/>
          <w:color w:val="222222"/>
          <w:sz w:val="24"/>
          <w:szCs w:val="24"/>
          <w:highlight w:val="white"/>
        </w:rPr>
        <w:t xml:space="preserve">Merl, R., (2022). Literature review of experimental asset markets with insiders. </w:t>
      </w:r>
      <w:r w:rsidRPr="00782D96">
        <w:rPr>
          <w:rFonts w:ascii="Times New Roman" w:eastAsia="Times New Roman" w:hAnsi="Times New Roman" w:cs="Times New Roman"/>
          <w:i/>
          <w:color w:val="222222"/>
          <w:sz w:val="24"/>
          <w:szCs w:val="24"/>
          <w:highlight w:val="white"/>
        </w:rPr>
        <w:t>Journal of Behavioral and Experimental Finance</w:t>
      </w:r>
      <w:r w:rsidRPr="00782D96">
        <w:rPr>
          <w:rFonts w:ascii="Times New Roman" w:eastAsia="Times New Roman" w:hAnsi="Times New Roman" w:cs="Times New Roman"/>
          <w:color w:val="222222"/>
          <w:sz w:val="24"/>
          <w:szCs w:val="24"/>
          <w:highlight w:val="white"/>
        </w:rPr>
        <w:t xml:space="preserve">, </w:t>
      </w:r>
      <w:r w:rsidRPr="00782D96">
        <w:rPr>
          <w:rFonts w:ascii="Times New Roman" w:eastAsia="Times New Roman" w:hAnsi="Times New Roman" w:cs="Times New Roman"/>
          <w:i/>
          <w:color w:val="222222"/>
          <w:sz w:val="24"/>
          <w:szCs w:val="24"/>
          <w:highlight w:val="white"/>
        </w:rPr>
        <w:t>33</w:t>
      </w:r>
      <w:r w:rsidRPr="00782D96">
        <w:rPr>
          <w:rFonts w:ascii="Times New Roman" w:eastAsia="Times New Roman" w:hAnsi="Times New Roman" w:cs="Times New Roman"/>
          <w:color w:val="222222"/>
          <w:sz w:val="24"/>
          <w:szCs w:val="24"/>
          <w:highlight w:val="white"/>
        </w:rPr>
        <w:t>, p.100596.</w:t>
      </w:r>
      <w:hyperlink r:id="rId9">
        <w:r w:rsidRPr="00782D96">
          <w:rPr>
            <w:rFonts w:ascii="Times New Roman" w:eastAsia="Times New Roman" w:hAnsi="Times New Roman" w:cs="Times New Roman"/>
            <w:color w:val="1155CC"/>
            <w:sz w:val="24"/>
            <w:szCs w:val="24"/>
            <w:u w:val="single"/>
          </w:rPr>
          <w:t>https://www.sciencedirect.com/science/article/pii/S2214635021001404</w:t>
        </w:r>
      </w:hyperlink>
    </w:p>
    <w:p w14:paraId="572AA97E" w14:textId="77777777" w:rsidR="00782D96" w:rsidRPr="00782D96" w:rsidRDefault="00782D96" w:rsidP="00782D96">
      <w:pPr>
        <w:pStyle w:val="Normal1"/>
        <w:spacing w:line="360" w:lineRule="auto"/>
        <w:jc w:val="both"/>
        <w:rPr>
          <w:rFonts w:ascii="Times New Roman" w:eastAsia="Times New Roman" w:hAnsi="Times New Roman" w:cs="Times New Roman"/>
          <w:sz w:val="24"/>
          <w:szCs w:val="24"/>
        </w:rPr>
      </w:pPr>
      <w:proofErr w:type="spellStart"/>
      <w:r w:rsidRPr="00782D96">
        <w:rPr>
          <w:rFonts w:ascii="Times New Roman" w:eastAsia="Times New Roman" w:hAnsi="Times New Roman" w:cs="Times New Roman"/>
          <w:color w:val="222222"/>
          <w:sz w:val="24"/>
          <w:szCs w:val="24"/>
          <w:highlight w:val="white"/>
        </w:rPr>
        <w:lastRenderedPageBreak/>
        <w:t>Muthucattu</w:t>
      </w:r>
      <w:proofErr w:type="spellEnd"/>
      <w:r w:rsidRPr="00782D96">
        <w:rPr>
          <w:rFonts w:ascii="Times New Roman" w:eastAsia="Times New Roman" w:hAnsi="Times New Roman" w:cs="Times New Roman"/>
          <w:color w:val="222222"/>
          <w:sz w:val="24"/>
          <w:szCs w:val="24"/>
          <w:highlight w:val="white"/>
        </w:rPr>
        <w:t xml:space="preserve">, T.P., Kimata, J.D. and Khan, M.G., (2017). Purchasing power parity theory and applications for Solomon Islands. </w:t>
      </w:r>
      <w:r w:rsidRPr="00782D96">
        <w:rPr>
          <w:rFonts w:ascii="Times New Roman" w:eastAsia="Times New Roman" w:hAnsi="Times New Roman" w:cs="Times New Roman"/>
          <w:i/>
          <w:color w:val="222222"/>
          <w:sz w:val="24"/>
          <w:szCs w:val="24"/>
          <w:highlight w:val="white"/>
        </w:rPr>
        <w:t>Journal of Economics and Public Finance</w:t>
      </w:r>
      <w:r w:rsidRPr="00782D96">
        <w:rPr>
          <w:rFonts w:ascii="Times New Roman" w:eastAsia="Times New Roman" w:hAnsi="Times New Roman" w:cs="Times New Roman"/>
          <w:color w:val="222222"/>
          <w:sz w:val="24"/>
          <w:szCs w:val="24"/>
          <w:highlight w:val="white"/>
        </w:rPr>
        <w:t xml:space="preserve">, </w:t>
      </w:r>
      <w:r w:rsidRPr="00782D96">
        <w:rPr>
          <w:rFonts w:ascii="Times New Roman" w:eastAsia="Times New Roman" w:hAnsi="Times New Roman" w:cs="Times New Roman"/>
          <w:i/>
          <w:color w:val="222222"/>
          <w:sz w:val="24"/>
          <w:szCs w:val="24"/>
          <w:highlight w:val="white"/>
        </w:rPr>
        <w:t>3</w:t>
      </w:r>
      <w:r w:rsidRPr="00782D96">
        <w:rPr>
          <w:rFonts w:ascii="Times New Roman" w:eastAsia="Times New Roman" w:hAnsi="Times New Roman" w:cs="Times New Roman"/>
          <w:color w:val="222222"/>
          <w:sz w:val="24"/>
          <w:szCs w:val="24"/>
          <w:highlight w:val="white"/>
        </w:rPr>
        <w:t xml:space="preserve">(4), </w:t>
      </w:r>
      <w:proofErr w:type="spellStart"/>
      <w:r w:rsidRPr="00782D96">
        <w:rPr>
          <w:rFonts w:ascii="Times New Roman" w:eastAsia="Times New Roman" w:hAnsi="Times New Roman" w:cs="Times New Roman"/>
          <w:color w:val="222222"/>
          <w:sz w:val="24"/>
          <w:szCs w:val="24"/>
          <w:highlight w:val="white"/>
        </w:rPr>
        <w:t>p.TBC.</w:t>
      </w:r>
      <w:hyperlink r:id="rId10">
        <w:r w:rsidRPr="00782D96">
          <w:rPr>
            <w:rFonts w:ascii="Times New Roman" w:eastAsia="Times New Roman" w:hAnsi="Times New Roman" w:cs="Times New Roman"/>
            <w:color w:val="1155CC"/>
            <w:sz w:val="24"/>
            <w:szCs w:val="24"/>
            <w:u w:val="single"/>
          </w:rPr>
          <w:t>https</w:t>
        </w:r>
        <w:proofErr w:type="spellEnd"/>
        <w:r w:rsidRPr="00782D96">
          <w:rPr>
            <w:rFonts w:ascii="Times New Roman" w:eastAsia="Times New Roman" w:hAnsi="Times New Roman" w:cs="Times New Roman"/>
            <w:color w:val="1155CC"/>
            <w:sz w:val="24"/>
            <w:szCs w:val="24"/>
            <w:u w:val="single"/>
          </w:rPr>
          <w:t>://repository.usp.ac.fj/10324/1/MGM_Khan_2017.pdf</w:t>
        </w:r>
      </w:hyperlink>
    </w:p>
    <w:p w14:paraId="1AB527CF" w14:textId="77777777" w:rsidR="00782D96" w:rsidRPr="00782D96" w:rsidRDefault="00782D96" w:rsidP="00782D96">
      <w:pPr>
        <w:pStyle w:val="Normal1"/>
        <w:spacing w:line="360" w:lineRule="auto"/>
        <w:jc w:val="both"/>
        <w:rPr>
          <w:rFonts w:ascii="Times New Roman" w:eastAsia="Times New Roman" w:hAnsi="Times New Roman" w:cs="Times New Roman"/>
          <w:sz w:val="24"/>
          <w:szCs w:val="24"/>
        </w:rPr>
      </w:pPr>
      <w:r w:rsidRPr="00782D96">
        <w:rPr>
          <w:rFonts w:ascii="Times New Roman" w:eastAsia="Times New Roman" w:hAnsi="Times New Roman" w:cs="Times New Roman"/>
          <w:color w:val="222222"/>
          <w:sz w:val="24"/>
          <w:szCs w:val="24"/>
          <w:highlight w:val="white"/>
        </w:rPr>
        <w:t>Nirmali, H. and Rajapakse, R.P.C.R., (2016). The Uncovered Interest rate Parity-A Literature Review.</w:t>
      </w:r>
      <w:hyperlink r:id="rId11">
        <w:r w:rsidRPr="00782D96">
          <w:rPr>
            <w:rFonts w:ascii="Times New Roman" w:eastAsia="Times New Roman" w:hAnsi="Times New Roman" w:cs="Times New Roman"/>
            <w:color w:val="1155CC"/>
            <w:sz w:val="24"/>
            <w:szCs w:val="24"/>
            <w:u w:val="single"/>
          </w:rPr>
          <w:t>http://dr.lib.sjp.ac.lk/bitstream/handle/123456789/5865/The%20Uncovered%20Interest%20rate%20Parity-%20A%20Literature%20Review.pdf?sequence=1</w:t>
        </w:r>
      </w:hyperlink>
    </w:p>
    <w:p w14:paraId="32C4EC4B" w14:textId="77777777" w:rsidR="00782D96" w:rsidRPr="00782D96" w:rsidRDefault="00782D96" w:rsidP="00782D96">
      <w:pPr>
        <w:pStyle w:val="Normal1"/>
        <w:spacing w:before="240" w:after="240" w:line="360" w:lineRule="auto"/>
        <w:jc w:val="both"/>
        <w:rPr>
          <w:rFonts w:ascii="Times New Roman" w:eastAsia="Times New Roman" w:hAnsi="Times New Roman" w:cs="Times New Roman"/>
          <w:sz w:val="24"/>
          <w:szCs w:val="24"/>
        </w:rPr>
      </w:pPr>
      <w:proofErr w:type="spellStart"/>
      <w:r w:rsidRPr="00782D96">
        <w:rPr>
          <w:rFonts w:ascii="Times New Roman" w:eastAsia="Times New Roman" w:hAnsi="Times New Roman" w:cs="Times New Roman"/>
          <w:sz w:val="24"/>
          <w:szCs w:val="24"/>
        </w:rPr>
        <w:t>Wallstreetmojo</w:t>
      </w:r>
      <w:proofErr w:type="spellEnd"/>
      <w:r w:rsidRPr="00782D96">
        <w:rPr>
          <w:rFonts w:ascii="Times New Roman" w:eastAsia="Times New Roman" w:hAnsi="Times New Roman" w:cs="Times New Roman"/>
          <w:sz w:val="24"/>
          <w:szCs w:val="24"/>
        </w:rPr>
        <w:t xml:space="preserve">, (2023). </w:t>
      </w:r>
      <w:r w:rsidRPr="00782D96">
        <w:rPr>
          <w:rFonts w:ascii="Times New Roman" w:eastAsia="Times New Roman" w:hAnsi="Times New Roman" w:cs="Times New Roman"/>
          <w:i/>
          <w:sz w:val="24"/>
          <w:szCs w:val="24"/>
        </w:rPr>
        <w:t>Currency hedge - what is it, strategies, examples, types, Pros</w:t>
      </w:r>
      <w:r w:rsidRPr="00782D96">
        <w:rPr>
          <w:rFonts w:ascii="Times New Roman" w:eastAsia="Times New Roman" w:hAnsi="Times New Roman" w:cs="Times New Roman"/>
          <w:sz w:val="24"/>
          <w:szCs w:val="24"/>
        </w:rPr>
        <w:t xml:space="preserve">. Available at: https://www.wallstreetmojo.com/currency-hedge/ (Accessed: 04 November 2023). </w:t>
      </w:r>
    </w:p>
    <w:sectPr w:rsidR="00782D96" w:rsidRPr="00782D96" w:rsidSect="00782D96">
      <w:headerReference w:type="default" r:id="rId12"/>
      <w:footerReference w:type="default" r:id="rId13"/>
      <w:headerReference w:type="firs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64D0C" w14:textId="77777777" w:rsidR="00656088" w:rsidRDefault="00656088" w:rsidP="00782D96">
      <w:pPr>
        <w:spacing w:line="240" w:lineRule="auto"/>
      </w:pPr>
      <w:r>
        <w:separator/>
      </w:r>
    </w:p>
  </w:endnote>
  <w:endnote w:type="continuationSeparator" w:id="0">
    <w:p w14:paraId="5D77D9D8" w14:textId="77777777" w:rsidR="00656088" w:rsidRDefault="00656088" w:rsidP="00782D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0308422"/>
      <w:docPartObj>
        <w:docPartGallery w:val="Page Numbers (Bottom of Page)"/>
        <w:docPartUnique/>
      </w:docPartObj>
    </w:sdtPr>
    <w:sdtEndPr>
      <w:rPr>
        <w:noProof/>
      </w:rPr>
    </w:sdtEndPr>
    <w:sdtContent>
      <w:p w14:paraId="7F4AEA52" w14:textId="0A450707" w:rsidR="00782D96" w:rsidRDefault="00782D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2099B" w14:textId="77777777" w:rsidR="00782D96" w:rsidRDefault="00782D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20295" w14:textId="77777777" w:rsidR="00656088" w:rsidRDefault="00656088" w:rsidP="00782D96">
      <w:pPr>
        <w:spacing w:line="240" w:lineRule="auto"/>
      </w:pPr>
      <w:r>
        <w:separator/>
      </w:r>
    </w:p>
  </w:footnote>
  <w:footnote w:type="continuationSeparator" w:id="0">
    <w:p w14:paraId="25294814" w14:textId="77777777" w:rsidR="00656088" w:rsidRDefault="00656088" w:rsidP="00782D9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CC5D4" w14:textId="518451AD" w:rsidR="00782D96" w:rsidRDefault="00782D96">
    <w:pPr>
      <w:pStyle w:val="Header"/>
    </w:pPr>
    <w:r>
      <w:rPr>
        <w:noProof/>
        <w:color w:val="000000"/>
        <w:bdr w:val="none" w:sz="0" w:space="0" w:color="auto" w:frame="1"/>
      </w:rPr>
      <w:drawing>
        <wp:inline distT="0" distB="0" distL="0" distR="0" wp14:anchorId="6BC38339" wp14:editId="2A0EBB6A">
          <wp:extent cx="1813560" cy="457200"/>
          <wp:effectExtent l="0" t="0" r="0" b="0"/>
          <wp:docPr id="1837520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3560" cy="457200"/>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AFAE7F" w14:textId="5769B4F0" w:rsidR="00782D96" w:rsidRDefault="00782D96">
    <w:pPr>
      <w:pStyle w:val="Header"/>
    </w:pPr>
    <w:r>
      <w:rPr>
        <w:noProof/>
        <w:color w:val="000000"/>
        <w:bdr w:val="none" w:sz="0" w:space="0" w:color="auto" w:frame="1"/>
      </w:rPr>
      <w:drawing>
        <wp:inline distT="0" distB="0" distL="0" distR="0" wp14:anchorId="47BB1338" wp14:editId="02D9B5E3">
          <wp:extent cx="1813560" cy="571500"/>
          <wp:effectExtent l="0" t="0" r="0" b="0"/>
          <wp:docPr id="1527340315" name="Picture 2"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40315" name="Picture 2" descr="A black and white 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3560" cy="57150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8E1"/>
    <w:rsid w:val="000E2E45"/>
    <w:rsid w:val="000F7DD7"/>
    <w:rsid w:val="00126038"/>
    <w:rsid w:val="00167C81"/>
    <w:rsid w:val="004728D9"/>
    <w:rsid w:val="00554130"/>
    <w:rsid w:val="00656088"/>
    <w:rsid w:val="00687A38"/>
    <w:rsid w:val="00782D96"/>
    <w:rsid w:val="007A1DE7"/>
    <w:rsid w:val="008658E1"/>
    <w:rsid w:val="00980565"/>
    <w:rsid w:val="00B66DE6"/>
    <w:rsid w:val="00BD7A15"/>
    <w:rsid w:val="00BF1E0B"/>
    <w:rsid w:val="00CE19BD"/>
    <w:rsid w:val="00CF051F"/>
    <w:rsid w:val="00D14EB4"/>
    <w:rsid w:val="00E1599E"/>
    <w:rsid w:val="00FF1C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7D55B"/>
  <w15:docId w15:val="{9B4BA342-C49D-4B56-9390-0D477F426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4728D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782D96"/>
    <w:pPr>
      <w:tabs>
        <w:tab w:val="center" w:pos="4513"/>
        <w:tab w:val="right" w:pos="9026"/>
      </w:tabs>
      <w:spacing w:line="240" w:lineRule="auto"/>
    </w:pPr>
  </w:style>
  <w:style w:type="character" w:customStyle="1" w:styleId="HeaderChar">
    <w:name w:val="Header Char"/>
    <w:basedOn w:val="DefaultParagraphFont"/>
    <w:link w:val="Header"/>
    <w:uiPriority w:val="99"/>
    <w:rsid w:val="00782D96"/>
  </w:style>
  <w:style w:type="paragraph" w:styleId="Footer">
    <w:name w:val="footer"/>
    <w:basedOn w:val="Normal"/>
    <w:link w:val="FooterChar"/>
    <w:uiPriority w:val="99"/>
    <w:unhideWhenUsed/>
    <w:rsid w:val="00782D96"/>
    <w:pPr>
      <w:tabs>
        <w:tab w:val="center" w:pos="4513"/>
        <w:tab w:val="right" w:pos="9026"/>
      </w:tabs>
      <w:spacing w:line="240" w:lineRule="auto"/>
    </w:pPr>
  </w:style>
  <w:style w:type="character" w:customStyle="1" w:styleId="FooterChar">
    <w:name w:val="Footer Char"/>
    <w:basedOn w:val="DefaultParagraphFont"/>
    <w:link w:val="Footer"/>
    <w:uiPriority w:val="99"/>
    <w:rsid w:val="00782D96"/>
  </w:style>
  <w:style w:type="paragraph" w:styleId="TOCHeading">
    <w:name w:val="TOC Heading"/>
    <w:basedOn w:val="Heading1"/>
    <w:next w:val="Normal"/>
    <w:uiPriority w:val="39"/>
    <w:unhideWhenUsed/>
    <w:qFormat/>
    <w:rsid w:val="004728D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728D9"/>
    <w:pPr>
      <w:spacing w:after="100"/>
    </w:pPr>
  </w:style>
  <w:style w:type="character" w:styleId="Hyperlink">
    <w:name w:val="Hyperlink"/>
    <w:basedOn w:val="DefaultParagraphFont"/>
    <w:uiPriority w:val="99"/>
    <w:unhideWhenUsed/>
    <w:rsid w:val="004728D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cademic.oup.com/irap/article-abstract/19/3/523/5490628?login=fals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lup.lub.lu.se/luur/download?func=downloadFile&amp;recordOId=9048231&amp;fileOId=9048236"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dr.lib.sjp.ac.lk/bitstream/handle/123456789/5865/The%20Uncovered%20Interest%20rate%20Parity-%20A%20Literature%20Review.pdf?sequence=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repository.usp.ac.fj/10324/1/MGM_Khan_2017.pdf" TargetMode="External"/><Relationship Id="rId4" Type="http://schemas.openxmlformats.org/officeDocument/2006/relationships/webSettings" Target="webSettings.xml"/><Relationship Id="rId9" Type="http://schemas.openxmlformats.org/officeDocument/2006/relationships/hyperlink" Target="https://www.sciencedirect.com/science/article/pii/S2214635021001404" TargetMode="Externa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E892AF-3EF0-405C-B3F6-5D6ED42E0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2049</Words>
  <Characters>11685</Characters>
  <Application>Microsoft Office Word</Application>
  <DocSecurity>0</DocSecurity>
  <Lines>97</Lines>
  <Paragraphs>27</Paragraphs>
  <ScaleCrop>false</ScaleCrop>
  <Company/>
  <LinksUpToDate>false</LinksUpToDate>
  <CharactersWithSpaces>13707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laurentiu oprea</dc:creator>
  <cp:lastModifiedBy>laurentiu oprea</cp:lastModifiedBy>
  <cp:revision>2</cp:revision>
  <dcterms:created xsi:type="dcterms:W3CDTF">2023-12-30T23:42:00Z</dcterms:created>
  <dcterms:modified xsi:type="dcterms:W3CDTF">2023-12-30T23:42:00Z</dcterms:modified>
</cp:coreProperties>
</file>