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71995" w14:textId="32390DBA" w:rsidR="002155E2" w:rsidRDefault="002155E2">
      <w:r>
        <w:t>Essay module</w:t>
      </w:r>
      <w:r>
        <w:tab/>
      </w:r>
      <w:r>
        <w:tab/>
      </w:r>
      <w:r>
        <w:tab/>
      </w:r>
      <w:r>
        <w:tab/>
      </w:r>
      <w:r>
        <w:tab/>
      </w:r>
      <w:r>
        <w:tab/>
      </w:r>
      <w:r>
        <w:tab/>
      </w:r>
      <w:r>
        <w:tab/>
      </w:r>
      <w:r>
        <w:tab/>
        <w:t xml:space="preserve">Paul </w:t>
      </w:r>
      <w:proofErr w:type="spellStart"/>
      <w:r>
        <w:t>Due</w:t>
      </w:r>
      <w:r w:rsidR="00E610A9">
        <w:t>rinckx</w:t>
      </w:r>
      <w:proofErr w:type="spellEnd"/>
    </w:p>
    <w:p w14:paraId="451DF3AE" w14:textId="75D2829D" w:rsidR="00E610A9" w:rsidRDefault="00484AD2">
      <w:pPr>
        <w:rPr>
          <w:sz w:val="28"/>
          <w:szCs w:val="28"/>
        </w:rPr>
      </w:pPr>
      <w:r w:rsidRPr="00484AD2">
        <w:rPr>
          <w:sz w:val="28"/>
          <w:szCs w:val="28"/>
        </w:rPr>
        <w:t xml:space="preserve">The objectification of women in art </w:t>
      </w:r>
    </w:p>
    <w:p w14:paraId="43AFDE22" w14:textId="77777777" w:rsidR="00904BDE" w:rsidRDefault="00904BDE" w:rsidP="00443A71"/>
    <w:p w14:paraId="3B2F7991" w14:textId="77777777" w:rsidR="00904BDE" w:rsidRDefault="00904BDE" w:rsidP="00443A71"/>
    <w:p w14:paraId="64B65973" w14:textId="77777777" w:rsidR="00904BDE" w:rsidRDefault="00904BDE" w:rsidP="00443A71"/>
    <w:p w14:paraId="0A0A934B" w14:textId="77777777" w:rsidR="00904BDE" w:rsidRDefault="00904BDE" w:rsidP="00443A71"/>
    <w:p w14:paraId="5E15A877" w14:textId="77777777" w:rsidR="00904BDE" w:rsidRDefault="00904BDE" w:rsidP="00443A71"/>
    <w:p w14:paraId="38013629" w14:textId="77777777" w:rsidR="00904BDE" w:rsidRDefault="00904BDE" w:rsidP="00443A71"/>
    <w:p w14:paraId="51585E43" w14:textId="77777777" w:rsidR="00FC3E37" w:rsidRDefault="00FC3E37" w:rsidP="00443A71"/>
    <w:p w14:paraId="19853009" w14:textId="77777777" w:rsidR="00FC3E37" w:rsidRDefault="00FC3E37" w:rsidP="00443A71"/>
    <w:p w14:paraId="35C61DC3" w14:textId="77777777" w:rsidR="00FC3E37" w:rsidRDefault="00FC3E37" w:rsidP="00443A71"/>
    <w:p w14:paraId="5705B466" w14:textId="77777777" w:rsidR="00FC3E37" w:rsidRDefault="00FC3E37" w:rsidP="00443A71"/>
    <w:p w14:paraId="6786CD25" w14:textId="77777777" w:rsidR="00904BDE" w:rsidRDefault="00904BDE" w:rsidP="00443A71"/>
    <w:p w14:paraId="6E24F41E" w14:textId="77777777" w:rsidR="00904BDE" w:rsidRDefault="00904BDE" w:rsidP="00443A71"/>
    <w:p w14:paraId="1D074999" w14:textId="2E586A9D" w:rsidR="00260F32" w:rsidRDefault="00260F32" w:rsidP="00443A71">
      <w:r>
        <w:t>Table of figures</w:t>
      </w:r>
    </w:p>
    <w:p w14:paraId="78EEB75C" w14:textId="0ED5EFCF" w:rsidR="00260F32" w:rsidRDefault="00260F32" w:rsidP="00260F32">
      <w:pPr>
        <w:rPr>
          <w:b/>
          <w:bCs/>
        </w:rPr>
      </w:pPr>
      <w:r>
        <w:t xml:space="preserve">Figure 1 - </w:t>
      </w:r>
      <w:r w:rsidRPr="00260F32">
        <w:rPr>
          <w:b/>
          <w:bCs/>
        </w:rPr>
        <w:t>Venus of Urbino</w:t>
      </w:r>
      <w:r w:rsidR="00E10A52">
        <w:rPr>
          <w:b/>
          <w:bCs/>
        </w:rPr>
        <w:t xml:space="preserve"> </w:t>
      </w:r>
      <w:r w:rsidRPr="00260F32">
        <w:rPr>
          <w:b/>
          <w:bCs/>
        </w:rPr>
        <w:t>Titian (Pieve di Cadore 1488/90 - Venice 1576)</w:t>
      </w:r>
    </w:p>
    <w:p w14:paraId="5F290480" w14:textId="655B70C7" w:rsidR="00E10A52" w:rsidRDefault="00E10A52" w:rsidP="00260F32">
      <w:pPr>
        <w:rPr>
          <w:b/>
          <w:bCs/>
        </w:rPr>
      </w:pPr>
      <w:r>
        <w:rPr>
          <w:b/>
          <w:bCs/>
        </w:rPr>
        <w:t xml:space="preserve">Figure 2 - </w:t>
      </w:r>
      <w:r w:rsidRPr="00E10A52">
        <w:rPr>
          <w:b/>
          <w:bCs/>
        </w:rPr>
        <w:t>La Grande Odalisque (1814) by Jean-Auguste-Dominique Ingres</w:t>
      </w:r>
    </w:p>
    <w:p w14:paraId="7918F3E7" w14:textId="7A80A429" w:rsidR="004912FC" w:rsidRDefault="004912FC" w:rsidP="004912FC">
      <w:pPr>
        <w:rPr>
          <w:b/>
          <w:bCs/>
          <w:i/>
          <w:iCs/>
        </w:rPr>
      </w:pPr>
      <w:r>
        <w:rPr>
          <w:b/>
          <w:bCs/>
        </w:rPr>
        <w:t xml:space="preserve">Figure 3 - </w:t>
      </w:r>
      <w:r w:rsidRPr="004912FC">
        <w:rPr>
          <w:b/>
          <w:bCs/>
        </w:rPr>
        <w:t>Hannah Wilke</w:t>
      </w:r>
      <w:r>
        <w:rPr>
          <w:b/>
          <w:bCs/>
        </w:rPr>
        <w:t xml:space="preserve"> </w:t>
      </w:r>
      <w:r w:rsidRPr="004912FC">
        <w:rPr>
          <w:b/>
          <w:bCs/>
          <w:i/>
          <w:iCs/>
        </w:rPr>
        <w:t xml:space="preserve">S.O.S. </w:t>
      </w:r>
      <w:proofErr w:type="spellStart"/>
      <w:r w:rsidRPr="004912FC">
        <w:rPr>
          <w:b/>
          <w:bCs/>
          <w:i/>
          <w:iCs/>
        </w:rPr>
        <w:t>Starification</w:t>
      </w:r>
      <w:proofErr w:type="spellEnd"/>
      <w:r w:rsidRPr="004912FC">
        <w:rPr>
          <w:b/>
          <w:bCs/>
          <w:i/>
          <w:iCs/>
        </w:rPr>
        <w:t xml:space="preserve"> (Object Series), 1974</w:t>
      </w:r>
    </w:p>
    <w:p w14:paraId="2978E2C4" w14:textId="47C45C12" w:rsidR="00981711" w:rsidRPr="004912FC" w:rsidRDefault="00981711" w:rsidP="004912FC">
      <w:pPr>
        <w:rPr>
          <w:b/>
          <w:bCs/>
        </w:rPr>
      </w:pPr>
      <w:r>
        <w:rPr>
          <w:b/>
          <w:bCs/>
          <w:i/>
          <w:iCs/>
        </w:rPr>
        <w:t xml:space="preserve">Figure 5 – “Do Women Have </w:t>
      </w:r>
      <w:proofErr w:type="gramStart"/>
      <w:r>
        <w:rPr>
          <w:b/>
          <w:bCs/>
          <w:i/>
          <w:iCs/>
        </w:rPr>
        <w:t>To</w:t>
      </w:r>
      <w:proofErr w:type="gramEnd"/>
      <w:r>
        <w:rPr>
          <w:b/>
          <w:bCs/>
          <w:i/>
          <w:iCs/>
        </w:rPr>
        <w:t xml:space="preserve"> Be Naked </w:t>
      </w:r>
      <w:proofErr w:type="gramStart"/>
      <w:r>
        <w:rPr>
          <w:b/>
          <w:bCs/>
          <w:i/>
          <w:iCs/>
        </w:rPr>
        <w:t>To</w:t>
      </w:r>
      <w:proofErr w:type="gramEnd"/>
      <w:r>
        <w:rPr>
          <w:b/>
          <w:bCs/>
          <w:i/>
          <w:iCs/>
        </w:rPr>
        <w:t xml:space="preserve"> Get </w:t>
      </w:r>
      <w:proofErr w:type="gramStart"/>
      <w:r>
        <w:rPr>
          <w:b/>
          <w:bCs/>
          <w:i/>
          <w:iCs/>
        </w:rPr>
        <w:t>Into</w:t>
      </w:r>
      <w:proofErr w:type="gramEnd"/>
      <w:r>
        <w:rPr>
          <w:b/>
          <w:bCs/>
          <w:i/>
          <w:iCs/>
        </w:rPr>
        <w:t xml:space="preserve"> </w:t>
      </w:r>
      <w:proofErr w:type="gramStart"/>
      <w:r>
        <w:rPr>
          <w:b/>
          <w:bCs/>
          <w:i/>
          <w:iCs/>
        </w:rPr>
        <w:t>The</w:t>
      </w:r>
      <w:proofErr w:type="gramEnd"/>
      <w:r>
        <w:rPr>
          <w:b/>
          <w:bCs/>
          <w:i/>
          <w:iCs/>
        </w:rPr>
        <w:t xml:space="preserve"> Met. Museum?” – Guerrilla Girls</w:t>
      </w:r>
    </w:p>
    <w:p w14:paraId="53F95F7D" w14:textId="4D51E019" w:rsidR="004912FC" w:rsidRPr="00260F32" w:rsidRDefault="004912FC" w:rsidP="00260F32">
      <w:pPr>
        <w:rPr>
          <w:b/>
          <w:bCs/>
        </w:rPr>
      </w:pPr>
    </w:p>
    <w:p w14:paraId="1B55B3F1" w14:textId="78FD4B84" w:rsidR="00260F32" w:rsidRDefault="00260F32" w:rsidP="00443A71"/>
    <w:p w14:paraId="64AED1AB" w14:textId="77777777" w:rsidR="00260F32" w:rsidRDefault="00260F32" w:rsidP="00443A71"/>
    <w:p w14:paraId="3F6246FB" w14:textId="77777777" w:rsidR="00260F32" w:rsidRDefault="00260F32" w:rsidP="00443A71"/>
    <w:p w14:paraId="0662632A" w14:textId="77777777" w:rsidR="00260F32" w:rsidRDefault="00260F32" w:rsidP="00443A71"/>
    <w:p w14:paraId="479B2DA4" w14:textId="77777777" w:rsidR="00260F32" w:rsidRDefault="00260F32" w:rsidP="00443A71"/>
    <w:p w14:paraId="5F9CE371" w14:textId="77777777" w:rsidR="00260F32" w:rsidRDefault="00260F32" w:rsidP="00443A71"/>
    <w:p w14:paraId="255E8984" w14:textId="77777777" w:rsidR="00260F32" w:rsidRDefault="00260F32" w:rsidP="00443A71"/>
    <w:p w14:paraId="25B7DD87" w14:textId="77777777" w:rsidR="00260F32" w:rsidRDefault="00260F32" w:rsidP="00443A71"/>
    <w:p w14:paraId="1818F92E" w14:textId="77777777" w:rsidR="00260F32" w:rsidRDefault="00260F32" w:rsidP="00443A71"/>
    <w:p w14:paraId="7EFB9C08" w14:textId="77777777" w:rsidR="00260F32" w:rsidRDefault="00260F32" w:rsidP="00443A71"/>
    <w:p w14:paraId="6684AFE6" w14:textId="77777777" w:rsidR="00260F32" w:rsidRDefault="00260F32" w:rsidP="00443A71"/>
    <w:p w14:paraId="05FAA522" w14:textId="77777777" w:rsidR="00260F32" w:rsidRDefault="00260F32" w:rsidP="00443A71"/>
    <w:p w14:paraId="6F1F6EA4" w14:textId="77777777" w:rsidR="00260F32" w:rsidRDefault="00260F32" w:rsidP="00443A71"/>
    <w:p w14:paraId="0DBAFB1E" w14:textId="77777777" w:rsidR="00260F32" w:rsidRDefault="00260F32" w:rsidP="00443A71"/>
    <w:p w14:paraId="18A4B1DD" w14:textId="77777777" w:rsidR="00260F32" w:rsidRDefault="00260F32" w:rsidP="00443A71"/>
    <w:p w14:paraId="4AAAE427" w14:textId="77777777" w:rsidR="00260F32" w:rsidRDefault="00260F32" w:rsidP="00443A71"/>
    <w:p w14:paraId="1E96AE6D" w14:textId="77777777" w:rsidR="00260F32" w:rsidRDefault="00260F32" w:rsidP="00443A71"/>
    <w:p w14:paraId="585A91B6" w14:textId="77777777" w:rsidR="00260F32" w:rsidRDefault="00260F32" w:rsidP="00443A71"/>
    <w:p w14:paraId="5AFA487B" w14:textId="77777777" w:rsidR="00260F32" w:rsidRDefault="00260F32" w:rsidP="00443A71"/>
    <w:p w14:paraId="0B1FF098" w14:textId="77777777" w:rsidR="00260F32" w:rsidRDefault="00260F32" w:rsidP="00443A71"/>
    <w:p w14:paraId="2BF535AF" w14:textId="77777777" w:rsidR="00260F32" w:rsidRDefault="00260F32" w:rsidP="00443A71"/>
    <w:p w14:paraId="6FDBDB72" w14:textId="77777777" w:rsidR="00260F32" w:rsidRDefault="00260F32" w:rsidP="00443A71"/>
    <w:p w14:paraId="58E5796A" w14:textId="77777777" w:rsidR="00260F32" w:rsidRDefault="00260F32" w:rsidP="00443A71"/>
    <w:p w14:paraId="327C1863" w14:textId="77777777" w:rsidR="00260F32" w:rsidRDefault="00260F32" w:rsidP="00443A71"/>
    <w:p w14:paraId="62921068" w14:textId="77777777" w:rsidR="00480683" w:rsidRDefault="00480683" w:rsidP="00443A71">
      <w:pPr>
        <w:rPr>
          <w:b/>
          <w:bCs/>
          <w:sz w:val="32"/>
          <w:szCs w:val="32"/>
        </w:rPr>
      </w:pPr>
    </w:p>
    <w:p w14:paraId="56230893" w14:textId="6ED45371" w:rsidR="00904BDE" w:rsidRDefault="00904BDE" w:rsidP="00443A71">
      <w:pPr>
        <w:rPr>
          <w:b/>
          <w:bCs/>
          <w:sz w:val="32"/>
          <w:szCs w:val="32"/>
        </w:rPr>
      </w:pPr>
      <w:r w:rsidRPr="00904BDE">
        <w:rPr>
          <w:b/>
          <w:bCs/>
          <w:sz w:val="32"/>
          <w:szCs w:val="32"/>
        </w:rPr>
        <w:t>Framed and Fragmented: Investigating the Objectification of Women in Art</w:t>
      </w:r>
    </w:p>
    <w:p w14:paraId="6380A2ED" w14:textId="3E1251D1" w:rsidR="00DA7C0B" w:rsidRPr="00DA7C0B" w:rsidRDefault="00DA7C0B" w:rsidP="00DA7C0B">
      <w:pPr>
        <w:rPr>
          <w:sz w:val="22"/>
          <w:szCs w:val="22"/>
        </w:rPr>
      </w:pPr>
      <w:r w:rsidRPr="00DA7C0B">
        <w:rPr>
          <w:sz w:val="22"/>
          <w:szCs w:val="22"/>
        </w:rPr>
        <w:t>The objectification of women in art is a deeply rooted issue within the history of the creative world. Over time, it has evolved into a systematic structure that has shaped the very nature of visual representation. From the early Renaissance to the modern digital age, women in art have predominantly been depicted as muses</w:t>
      </w:r>
      <w:r w:rsidR="00EC7221">
        <w:rPr>
          <w:sz w:val="22"/>
          <w:szCs w:val="22"/>
        </w:rPr>
        <w:t xml:space="preserve"> and </w:t>
      </w:r>
      <w:r w:rsidRPr="00DA7C0B">
        <w:rPr>
          <w:sz w:val="22"/>
          <w:szCs w:val="22"/>
        </w:rPr>
        <w:t xml:space="preserve">figures to be looked at, posed, adorned, and aestheticized for the gaze of, </w:t>
      </w:r>
      <w:proofErr w:type="gramStart"/>
      <w:r w:rsidRPr="00DA7C0B">
        <w:rPr>
          <w:sz w:val="22"/>
          <w:szCs w:val="22"/>
        </w:rPr>
        <w:t>more often than not</w:t>
      </w:r>
      <w:proofErr w:type="gramEnd"/>
      <w:r w:rsidRPr="00DA7C0B">
        <w:rPr>
          <w:sz w:val="22"/>
          <w:szCs w:val="22"/>
        </w:rPr>
        <w:t xml:space="preserve">, men. While feminist artists have long worked to deconstruct this bias, it remains a </w:t>
      </w:r>
      <w:r w:rsidR="00EC7221">
        <w:rPr>
          <w:sz w:val="22"/>
          <w:szCs w:val="22"/>
        </w:rPr>
        <w:t>real and persistent</w:t>
      </w:r>
      <w:r w:rsidRPr="00DA7C0B">
        <w:rPr>
          <w:sz w:val="22"/>
          <w:szCs w:val="22"/>
        </w:rPr>
        <w:t xml:space="preserve"> issue in contemporary art</w:t>
      </w:r>
      <w:r w:rsidR="00EC7221">
        <w:rPr>
          <w:sz w:val="22"/>
          <w:szCs w:val="22"/>
        </w:rPr>
        <w:t xml:space="preserve"> today</w:t>
      </w:r>
      <w:r w:rsidRPr="00DA7C0B">
        <w:rPr>
          <w:sz w:val="22"/>
          <w:szCs w:val="22"/>
        </w:rPr>
        <w:t>.</w:t>
      </w:r>
    </w:p>
    <w:p w14:paraId="3CD96388" w14:textId="7580E954" w:rsidR="00171E3A" w:rsidRDefault="00DA7C0B" w:rsidP="00443A71">
      <w:pPr>
        <w:rPr>
          <w:sz w:val="22"/>
          <w:szCs w:val="22"/>
        </w:rPr>
      </w:pPr>
      <w:r w:rsidRPr="00DA7C0B">
        <w:rPr>
          <w:sz w:val="22"/>
          <w:szCs w:val="22"/>
        </w:rPr>
        <w:t>In this essay, I will use key terms to trace the evolution of women's representation in art, exploring how women have not only been placed within frames but also metaphorically framed and objectified</w:t>
      </w:r>
      <w:r w:rsidR="00EC7221">
        <w:rPr>
          <w:sz w:val="22"/>
          <w:szCs w:val="22"/>
        </w:rPr>
        <w:t xml:space="preserve"> </w:t>
      </w:r>
      <w:r w:rsidRPr="00DA7C0B">
        <w:rPr>
          <w:sz w:val="22"/>
          <w:szCs w:val="22"/>
        </w:rPr>
        <w:t>as muses, symbols, and commodities to be consumed by the viewer. I will reflect on how contemporary artists challenge these inherited mo</w:t>
      </w:r>
      <w:r w:rsidR="00EC7221">
        <w:rPr>
          <w:sz w:val="22"/>
          <w:szCs w:val="22"/>
        </w:rPr>
        <w:t>u</w:t>
      </w:r>
      <w:r w:rsidRPr="00DA7C0B">
        <w:rPr>
          <w:sz w:val="22"/>
          <w:szCs w:val="22"/>
        </w:rPr>
        <w:t>lds and confront the traditional role of the woman-as-muse, and how this role is historically intertwined with objectification and commodification. This essay will conclude with a research question intended to guide further independent inquiry into the representation of women in visual culture.</w:t>
      </w:r>
    </w:p>
    <w:p w14:paraId="5322F184" w14:textId="07CF04A6" w:rsidR="00675837" w:rsidRDefault="00675837" w:rsidP="00443A71">
      <w:pPr>
        <w:rPr>
          <w:sz w:val="22"/>
          <w:szCs w:val="22"/>
        </w:rPr>
      </w:pPr>
    </w:p>
    <w:p w14:paraId="30F72005" w14:textId="09C87B0F" w:rsidR="00675837" w:rsidRDefault="00675837" w:rsidP="00443A71">
      <w:pPr>
        <w:rPr>
          <w:b/>
          <w:bCs/>
          <w:sz w:val="22"/>
          <w:szCs w:val="22"/>
        </w:rPr>
      </w:pPr>
      <w:r w:rsidRPr="00675837">
        <w:rPr>
          <w:b/>
          <w:bCs/>
          <w:sz w:val="22"/>
          <w:szCs w:val="22"/>
        </w:rPr>
        <w:t xml:space="preserve">Muse </w:t>
      </w:r>
    </w:p>
    <w:p w14:paraId="1B175406" w14:textId="46315D47" w:rsidR="00675837" w:rsidRPr="00675837" w:rsidRDefault="00675837" w:rsidP="00443A71">
      <w:pPr>
        <w:rPr>
          <w:sz w:val="22"/>
          <w:szCs w:val="22"/>
        </w:rPr>
      </w:pPr>
      <w:r>
        <w:rPr>
          <w:sz w:val="22"/>
          <w:szCs w:val="22"/>
        </w:rPr>
        <w:t xml:space="preserve">The representation of women as </w:t>
      </w:r>
      <w:proofErr w:type="gramStart"/>
      <w:r w:rsidR="00480683">
        <w:rPr>
          <w:sz w:val="22"/>
          <w:szCs w:val="22"/>
        </w:rPr>
        <w:t>muses</w:t>
      </w:r>
      <w:proofErr w:type="gramEnd"/>
      <w:r w:rsidR="008B685B">
        <w:rPr>
          <w:sz w:val="22"/>
          <w:szCs w:val="22"/>
        </w:rPr>
        <w:t xml:space="preserve"> dates back as far as Greek mythology,</w:t>
      </w:r>
      <w:r w:rsidR="002F6834">
        <w:rPr>
          <w:sz w:val="22"/>
          <w:szCs w:val="22"/>
        </w:rPr>
        <w:t xml:space="preserve"> where the nine muses were goddesses that inspired the arts, literature and science.</w:t>
      </w:r>
      <w:r w:rsidR="00480683">
        <w:rPr>
          <w:sz w:val="22"/>
          <w:szCs w:val="22"/>
        </w:rPr>
        <w:t xml:space="preserve"> While they held divine status, their role was primarily in inspiring others (particularly males).</w:t>
      </w:r>
      <w:r w:rsidR="00480683" w:rsidRPr="00480683">
        <w:rPr>
          <w:color w:val="000000"/>
          <w:shd w:val="clear" w:color="auto" w:fill="FFFFFF"/>
        </w:rPr>
        <w:t xml:space="preserve"> </w:t>
      </w:r>
      <w:r w:rsidR="00480683" w:rsidRPr="00480683">
        <w:rPr>
          <w:sz w:val="22"/>
          <w:szCs w:val="22"/>
        </w:rPr>
        <w:t>(Varsity Online, 2025)</w:t>
      </w:r>
      <w:r w:rsidR="002F6834">
        <w:rPr>
          <w:sz w:val="22"/>
          <w:szCs w:val="22"/>
        </w:rPr>
        <w:t xml:space="preserve"> </w:t>
      </w:r>
      <w:r w:rsidR="00480683">
        <w:rPr>
          <w:sz w:val="22"/>
          <w:szCs w:val="22"/>
        </w:rPr>
        <w:t xml:space="preserve">This set the precedent of </w:t>
      </w:r>
      <w:r w:rsidR="008B685B">
        <w:rPr>
          <w:sz w:val="22"/>
          <w:szCs w:val="22"/>
        </w:rPr>
        <w:t>wo</w:t>
      </w:r>
      <w:r w:rsidR="00480683">
        <w:rPr>
          <w:sz w:val="22"/>
          <w:szCs w:val="22"/>
        </w:rPr>
        <w:t xml:space="preserve">men being vessels </w:t>
      </w:r>
      <w:r w:rsidR="008B685B">
        <w:rPr>
          <w:sz w:val="22"/>
          <w:szCs w:val="22"/>
        </w:rPr>
        <w:t>who inspire male creativity</w:t>
      </w:r>
      <w:r w:rsidR="00480683">
        <w:rPr>
          <w:sz w:val="22"/>
          <w:szCs w:val="22"/>
        </w:rPr>
        <w:t xml:space="preserve"> rather than creators themselves</w:t>
      </w:r>
      <w:r w:rsidR="008B685B">
        <w:rPr>
          <w:sz w:val="22"/>
          <w:szCs w:val="22"/>
        </w:rPr>
        <w:t xml:space="preserve">. </w:t>
      </w:r>
      <w:r w:rsidR="00F36213">
        <w:rPr>
          <w:sz w:val="22"/>
          <w:szCs w:val="22"/>
        </w:rPr>
        <w:t>This ideal casts the woman as passive, object</w:t>
      </w:r>
      <w:r w:rsidR="00480683">
        <w:rPr>
          <w:sz w:val="22"/>
          <w:szCs w:val="22"/>
        </w:rPr>
        <w:t>s</w:t>
      </w:r>
      <w:r w:rsidR="00F36213">
        <w:rPr>
          <w:sz w:val="22"/>
          <w:szCs w:val="22"/>
        </w:rPr>
        <w:t xml:space="preserve"> that exist</w:t>
      </w:r>
      <w:r w:rsidR="00480683">
        <w:rPr>
          <w:sz w:val="22"/>
          <w:szCs w:val="22"/>
        </w:rPr>
        <w:t xml:space="preserve"> </w:t>
      </w:r>
      <w:r w:rsidR="00F36213">
        <w:rPr>
          <w:sz w:val="22"/>
          <w:szCs w:val="22"/>
        </w:rPr>
        <w:t>for the pleasure of the presumably male gaze. The woman as the muse exists to be seen</w:t>
      </w:r>
      <w:r w:rsidR="00480683">
        <w:rPr>
          <w:sz w:val="22"/>
          <w:szCs w:val="22"/>
        </w:rPr>
        <w:t>,</w:t>
      </w:r>
      <w:r w:rsidR="00F36213">
        <w:rPr>
          <w:sz w:val="22"/>
          <w:szCs w:val="22"/>
        </w:rPr>
        <w:t xml:space="preserve"> not to see herself</w:t>
      </w:r>
      <w:r w:rsidR="00480683">
        <w:rPr>
          <w:sz w:val="22"/>
          <w:szCs w:val="22"/>
        </w:rPr>
        <w:t>. H</w:t>
      </w:r>
      <w:r w:rsidR="00F36213">
        <w:rPr>
          <w:sz w:val="22"/>
          <w:szCs w:val="22"/>
        </w:rPr>
        <w:t xml:space="preserve">er body is often posed and perfected nude or semi-nude for the enjoyment of the viewer. </w:t>
      </w:r>
    </w:p>
    <w:p w14:paraId="6187E53F" w14:textId="2BC1FA4D" w:rsidR="00675837" w:rsidRDefault="3B0C0710" w:rsidP="00443A71">
      <w:pPr>
        <w:rPr>
          <w:sz w:val="22"/>
          <w:szCs w:val="22"/>
        </w:rPr>
      </w:pPr>
      <w:r>
        <w:rPr>
          <w:noProof/>
        </w:rPr>
        <w:lastRenderedPageBreak/>
        <w:drawing>
          <wp:anchor distT="0" distB="0" distL="114300" distR="114300" simplePos="0" relativeHeight="251658240" behindDoc="1" locked="0" layoutInCell="1" allowOverlap="1" wp14:anchorId="724623A3" wp14:editId="137AE160">
            <wp:simplePos x="0" y="0"/>
            <wp:positionH relativeFrom="margin">
              <wp:align>center</wp:align>
            </wp:positionH>
            <wp:positionV relativeFrom="paragraph">
              <wp:posOffset>45085</wp:posOffset>
            </wp:positionV>
            <wp:extent cx="3853815" cy="2753995"/>
            <wp:effectExtent l="0" t="0" r="0" b="8255"/>
            <wp:wrapTight wrapText="bothSides">
              <wp:wrapPolygon edited="0">
                <wp:start x="0" y="0"/>
                <wp:lineTo x="0" y="21515"/>
                <wp:lineTo x="21461" y="21515"/>
                <wp:lineTo x="21461" y="0"/>
                <wp:lineTo x="0" y="0"/>
              </wp:wrapPolygon>
            </wp:wrapTight>
            <wp:docPr id="1983532165" name="Picture 1" descr="Venus of Urbi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853815" cy="2753995"/>
                    </a:xfrm>
                    <a:prstGeom prst="rect">
                      <a:avLst/>
                    </a:prstGeom>
                  </pic:spPr>
                </pic:pic>
              </a:graphicData>
            </a:graphic>
          </wp:anchor>
        </w:drawing>
      </w:r>
    </w:p>
    <w:p w14:paraId="5ACD20E0" w14:textId="77777777" w:rsidR="005A7AE8" w:rsidRDefault="005A7AE8" w:rsidP="7137D317">
      <w:pPr>
        <w:rPr>
          <w:i/>
          <w:iCs/>
          <w:sz w:val="22"/>
          <w:szCs w:val="22"/>
        </w:rPr>
      </w:pPr>
    </w:p>
    <w:p w14:paraId="7DACAA2E" w14:textId="77777777" w:rsidR="005A7AE8" w:rsidRDefault="005A7AE8" w:rsidP="7137D317">
      <w:pPr>
        <w:rPr>
          <w:i/>
          <w:iCs/>
          <w:sz w:val="22"/>
          <w:szCs w:val="22"/>
        </w:rPr>
      </w:pPr>
    </w:p>
    <w:p w14:paraId="5F94C4EE" w14:textId="77777777" w:rsidR="005A7AE8" w:rsidRDefault="005A7AE8" w:rsidP="7137D317">
      <w:pPr>
        <w:rPr>
          <w:i/>
          <w:iCs/>
          <w:sz w:val="22"/>
          <w:szCs w:val="22"/>
        </w:rPr>
      </w:pPr>
    </w:p>
    <w:p w14:paraId="4B67D86E" w14:textId="77777777" w:rsidR="005A7AE8" w:rsidRDefault="005A7AE8" w:rsidP="7137D317">
      <w:pPr>
        <w:rPr>
          <w:i/>
          <w:iCs/>
          <w:sz w:val="22"/>
          <w:szCs w:val="22"/>
        </w:rPr>
      </w:pPr>
    </w:p>
    <w:p w14:paraId="563B659A" w14:textId="77777777" w:rsidR="005A7AE8" w:rsidRDefault="005A7AE8" w:rsidP="7137D317">
      <w:pPr>
        <w:rPr>
          <w:i/>
          <w:iCs/>
          <w:sz w:val="22"/>
          <w:szCs w:val="22"/>
        </w:rPr>
      </w:pPr>
    </w:p>
    <w:p w14:paraId="35C474C1" w14:textId="77777777" w:rsidR="005A7AE8" w:rsidRDefault="005A7AE8" w:rsidP="7137D317">
      <w:pPr>
        <w:rPr>
          <w:i/>
          <w:iCs/>
          <w:sz w:val="22"/>
          <w:szCs w:val="22"/>
        </w:rPr>
      </w:pPr>
    </w:p>
    <w:p w14:paraId="75EA1090" w14:textId="77777777" w:rsidR="005A7AE8" w:rsidRDefault="005A7AE8" w:rsidP="7137D317">
      <w:pPr>
        <w:rPr>
          <w:i/>
          <w:iCs/>
          <w:sz w:val="22"/>
          <w:szCs w:val="22"/>
        </w:rPr>
      </w:pPr>
    </w:p>
    <w:p w14:paraId="6CB77CD5" w14:textId="77777777" w:rsidR="005A7AE8" w:rsidRDefault="005A7AE8" w:rsidP="7137D317">
      <w:pPr>
        <w:rPr>
          <w:i/>
          <w:iCs/>
          <w:sz w:val="22"/>
          <w:szCs w:val="22"/>
        </w:rPr>
      </w:pPr>
    </w:p>
    <w:p w14:paraId="77CE30AB" w14:textId="77777777" w:rsidR="005A7AE8" w:rsidRDefault="005A7AE8" w:rsidP="7137D317">
      <w:pPr>
        <w:rPr>
          <w:i/>
          <w:iCs/>
          <w:sz w:val="22"/>
          <w:szCs w:val="22"/>
        </w:rPr>
      </w:pPr>
    </w:p>
    <w:p w14:paraId="4F55561C" w14:textId="563CDBEF" w:rsidR="00171E3A" w:rsidRDefault="00260F32" w:rsidP="005A7AE8">
      <w:pPr>
        <w:jc w:val="center"/>
        <w:rPr>
          <w:i/>
          <w:iCs/>
          <w:sz w:val="22"/>
          <w:szCs w:val="22"/>
        </w:rPr>
      </w:pPr>
      <w:r w:rsidRPr="7137D317">
        <w:rPr>
          <w:i/>
          <w:iCs/>
          <w:sz w:val="22"/>
          <w:szCs w:val="22"/>
        </w:rPr>
        <w:t>Figure 1</w:t>
      </w:r>
    </w:p>
    <w:p w14:paraId="00C9BD9A" w14:textId="77777777" w:rsidR="0094547D" w:rsidRDefault="00260F32" w:rsidP="00260F32">
      <w:pPr>
        <w:rPr>
          <w:sz w:val="22"/>
          <w:szCs w:val="22"/>
        </w:rPr>
      </w:pPr>
      <w:r w:rsidRPr="00D87849">
        <w:rPr>
          <w:i/>
          <w:iCs/>
          <w:sz w:val="22"/>
          <w:szCs w:val="22"/>
        </w:rPr>
        <w:t>Venus of Urbino</w:t>
      </w:r>
      <w:r>
        <w:rPr>
          <w:sz w:val="22"/>
          <w:szCs w:val="22"/>
        </w:rPr>
        <w:t xml:space="preserve"> by Titan is a </w:t>
      </w:r>
      <w:r w:rsidR="0094547D">
        <w:rPr>
          <w:sz w:val="22"/>
          <w:szCs w:val="22"/>
        </w:rPr>
        <w:t>striking</w:t>
      </w:r>
      <w:r>
        <w:rPr>
          <w:sz w:val="22"/>
          <w:szCs w:val="22"/>
        </w:rPr>
        <w:t xml:space="preserve"> depiction of</w:t>
      </w:r>
      <w:r w:rsidR="0094547D">
        <w:rPr>
          <w:sz w:val="22"/>
          <w:szCs w:val="22"/>
        </w:rPr>
        <w:t xml:space="preserve"> how</w:t>
      </w:r>
      <w:r>
        <w:rPr>
          <w:sz w:val="22"/>
          <w:szCs w:val="22"/>
        </w:rPr>
        <w:t xml:space="preserve"> women </w:t>
      </w:r>
      <w:r w:rsidR="0094547D">
        <w:rPr>
          <w:sz w:val="22"/>
          <w:szCs w:val="22"/>
        </w:rPr>
        <w:t>have been traditionally represented as</w:t>
      </w:r>
      <w:r>
        <w:rPr>
          <w:sz w:val="22"/>
          <w:szCs w:val="22"/>
        </w:rPr>
        <w:t xml:space="preserve"> muses in art</w:t>
      </w:r>
      <w:r w:rsidR="0094547D">
        <w:rPr>
          <w:sz w:val="22"/>
          <w:szCs w:val="22"/>
        </w:rPr>
        <w:t xml:space="preserve">. The woman is naked, lying confidently on a bed, looking directly out at the viewer. Her nakedness and pose suggest bot seduction and availability, her body isn’t posed for comfort or realism, but to attract the eye of the viewer. The soft lighting, calming interior, and the relaxed positioning of her hand and expression all signal that she is aware that she is being looked at and is posed for the purpose of attracting the gaze of the viewer. </w:t>
      </w:r>
    </w:p>
    <w:p w14:paraId="12C32432" w14:textId="3618351E" w:rsidR="0094547D" w:rsidRDefault="0094547D" w:rsidP="00260F32">
      <w:pPr>
        <w:rPr>
          <w:sz w:val="22"/>
          <w:szCs w:val="22"/>
        </w:rPr>
      </w:pPr>
      <w:r>
        <w:rPr>
          <w:sz w:val="22"/>
          <w:szCs w:val="22"/>
        </w:rPr>
        <w:t xml:space="preserve">This links directly to what </w:t>
      </w:r>
      <w:r w:rsidR="001C0203">
        <w:rPr>
          <w:sz w:val="22"/>
          <w:szCs w:val="22"/>
        </w:rPr>
        <w:t>John Berger</w:t>
      </w:r>
      <w:r>
        <w:rPr>
          <w:sz w:val="22"/>
          <w:szCs w:val="22"/>
        </w:rPr>
        <w:t xml:space="preserve"> says</w:t>
      </w:r>
      <w:r w:rsidR="001C0203">
        <w:rPr>
          <w:sz w:val="22"/>
          <w:szCs w:val="22"/>
        </w:rPr>
        <w:t xml:space="preserve"> in his book Ways of </w:t>
      </w:r>
      <w:proofErr w:type="gramStart"/>
      <w:r w:rsidR="001C0203">
        <w:rPr>
          <w:sz w:val="22"/>
          <w:szCs w:val="22"/>
        </w:rPr>
        <w:t>Seeing</w:t>
      </w:r>
      <w:r>
        <w:rPr>
          <w:sz w:val="22"/>
          <w:szCs w:val="22"/>
        </w:rPr>
        <w:t xml:space="preserve">; </w:t>
      </w:r>
      <w:r w:rsidR="001C0203">
        <w:rPr>
          <w:sz w:val="22"/>
          <w:szCs w:val="22"/>
        </w:rPr>
        <w:t xml:space="preserve"> “</w:t>
      </w:r>
      <w:proofErr w:type="gramEnd"/>
      <w:r w:rsidR="001C0203" w:rsidRPr="001C0203">
        <w:rPr>
          <w:sz w:val="22"/>
          <w:szCs w:val="22"/>
        </w:rPr>
        <w:t xml:space="preserve">men </w:t>
      </w:r>
      <w:proofErr w:type="gramStart"/>
      <w:r w:rsidR="001C0203" w:rsidRPr="001C0203">
        <w:rPr>
          <w:sz w:val="22"/>
          <w:szCs w:val="22"/>
        </w:rPr>
        <w:t>act</w:t>
      </w:r>
      <w:proofErr w:type="gramEnd"/>
      <w:r w:rsidR="001C0203" w:rsidRPr="001C0203">
        <w:rPr>
          <w:sz w:val="22"/>
          <w:szCs w:val="22"/>
        </w:rPr>
        <w:t xml:space="preserve"> and women appear.</w:t>
      </w:r>
      <w:r w:rsidR="00D8568E">
        <w:rPr>
          <w:sz w:val="22"/>
          <w:szCs w:val="22"/>
        </w:rPr>
        <w:t>” (Berger</w:t>
      </w:r>
      <w:r w:rsidR="000371E4">
        <w:rPr>
          <w:sz w:val="22"/>
          <w:szCs w:val="22"/>
        </w:rPr>
        <w:t xml:space="preserve">, </w:t>
      </w:r>
      <w:r w:rsidR="00D8568E">
        <w:rPr>
          <w:sz w:val="22"/>
          <w:szCs w:val="22"/>
        </w:rPr>
        <w:t xml:space="preserve">2008) which perfectly encapsulates the </w:t>
      </w:r>
      <w:r>
        <w:rPr>
          <w:sz w:val="22"/>
          <w:szCs w:val="22"/>
        </w:rPr>
        <w:t>historical dynamic within western art</w:t>
      </w:r>
      <w:r w:rsidR="0055475A">
        <w:rPr>
          <w:sz w:val="22"/>
          <w:szCs w:val="22"/>
        </w:rPr>
        <w:t xml:space="preserve"> that</w:t>
      </w:r>
      <w:r w:rsidR="00DE06D8">
        <w:rPr>
          <w:sz w:val="22"/>
          <w:szCs w:val="22"/>
        </w:rPr>
        <w:t xml:space="preserve"> men create, interpret and express while the muse (the woman) </w:t>
      </w:r>
      <w:r w:rsidR="00531EAA">
        <w:rPr>
          <w:sz w:val="22"/>
          <w:szCs w:val="22"/>
        </w:rPr>
        <w:t>is</w:t>
      </w:r>
      <w:r>
        <w:rPr>
          <w:sz w:val="22"/>
          <w:szCs w:val="22"/>
        </w:rPr>
        <w:t xml:space="preserve"> an object to be</w:t>
      </w:r>
      <w:r w:rsidR="00531EAA">
        <w:rPr>
          <w:sz w:val="22"/>
          <w:szCs w:val="22"/>
        </w:rPr>
        <w:t xml:space="preserve"> seen, admired and idealised but remain voiceless and still.</w:t>
      </w:r>
      <w:r w:rsidR="003D08EC">
        <w:rPr>
          <w:sz w:val="22"/>
          <w:szCs w:val="22"/>
        </w:rPr>
        <w:t xml:space="preserve"> </w:t>
      </w:r>
      <w:proofErr w:type="gramStart"/>
      <w:r w:rsidR="003D08EC">
        <w:rPr>
          <w:sz w:val="22"/>
          <w:szCs w:val="22"/>
        </w:rPr>
        <w:t>Thus</w:t>
      </w:r>
      <w:proofErr w:type="gramEnd"/>
      <w:r w:rsidR="003D08EC">
        <w:rPr>
          <w:sz w:val="22"/>
          <w:szCs w:val="22"/>
        </w:rPr>
        <w:t xml:space="preserve"> suggesting that </w:t>
      </w:r>
      <w:r w:rsidR="0055475A">
        <w:rPr>
          <w:sz w:val="22"/>
          <w:szCs w:val="22"/>
        </w:rPr>
        <w:t xml:space="preserve">the </w:t>
      </w:r>
      <w:r>
        <w:rPr>
          <w:sz w:val="22"/>
          <w:szCs w:val="22"/>
        </w:rPr>
        <w:t>muse s not a person with thoughts, desires or individual purpose but a mirror for male expression, where her value is rooted in how well she can inspire the artist</w:t>
      </w:r>
      <w:r w:rsidR="00A26754">
        <w:rPr>
          <w:sz w:val="22"/>
          <w:szCs w:val="22"/>
        </w:rPr>
        <w:t>.</w:t>
      </w:r>
    </w:p>
    <w:p w14:paraId="17A7E164" w14:textId="731D5165" w:rsidR="00D8568E" w:rsidRDefault="00981711" w:rsidP="00260F32">
      <w:pPr>
        <w:rPr>
          <w:sz w:val="22"/>
          <w:szCs w:val="22"/>
        </w:rPr>
      </w:pPr>
      <w:r>
        <w:rPr>
          <w:noProof/>
        </w:rPr>
        <w:drawing>
          <wp:anchor distT="0" distB="0" distL="114300" distR="114300" simplePos="0" relativeHeight="251659264" behindDoc="1" locked="0" layoutInCell="1" allowOverlap="1" wp14:anchorId="05FD6586" wp14:editId="46C89750">
            <wp:simplePos x="0" y="0"/>
            <wp:positionH relativeFrom="margin">
              <wp:align>center</wp:align>
            </wp:positionH>
            <wp:positionV relativeFrom="paragraph">
              <wp:posOffset>1998980</wp:posOffset>
            </wp:positionV>
            <wp:extent cx="4671695" cy="2600325"/>
            <wp:effectExtent l="0" t="0" r="0" b="9525"/>
            <wp:wrapTight wrapText="bothSides">
              <wp:wrapPolygon edited="0">
                <wp:start x="0" y="0"/>
                <wp:lineTo x="0" y="21521"/>
                <wp:lineTo x="21491" y="21521"/>
                <wp:lineTo x="21491" y="0"/>
                <wp:lineTo x="0" y="0"/>
              </wp:wrapPolygon>
            </wp:wrapTight>
            <wp:docPr id="954604749" name="Picture 1" descr="A person sitting on a b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604749" name="Picture 1" descr="A person sitting on a bed&#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71695" cy="2600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F2FA5">
        <w:rPr>
          <w:sz w:val="22"/>
          <w:szCs w:val="22"/>
        </w:rPr>
        <w:t>Berger goes on to say that “</w:t>
      </w:r>
      <w:r w:rsidR="009F2FA5" w:rsidRPr="001C0203">
        <w:rPr>
          <w:sz w:val="22"/>
          <w:szCs w:val="22"/>
        </w:rPr>
        <w:t>Women watch themselves being looked at</w:t>
      </w:r>
      <w:r w:rsidR="009F2FA5">
        <w:rPr>
          <w:sz w:val="22"/>
          <w:szCs w:val="22"/>
        </w:rPr>
        <w:t>” (Berger</w:t>
      </w:r>
      <w:r w:rsidR="000371E4">
        <w:rPr>
          <w:sz w:val="22"/>
          <w:szCs w:val="22"/>
        </w:rPr>
        <w:t xml:space="preserve">, 2008) which </w:t>
      </w:r>
      <w:r w:rsidR="00900948">
        <w:rPr>
          <w:sz w:val="22"/>
          <w:szCs w:val="22"/>
        </w:rPr>
        <w:t xml:space="preserve">highlights how deeply internalised this visual dynamic becomes, not just in art, but in the </w:t>
      </w:r>
      <w:proofErr w:type="gramStart"/>
      <w:r w:rsidR="00900948">
        <w:rPr>
          <w:sz w:val="22"/>
          <w:szCs w:val="22"/>
        </w:rPr>
        <w:t>manner in which</w:t>
      </w:r>
      <w:proofErr w:type="gramEnd"/>
      <w:r w:rsidR="00900948">
        <w:rPr>
          <w:sz w:val="22"/>
          <w:szCs w:val="22"/>
        </w:rPr>
        <w:t xml:space="preserve"> women are socialised to see themselves. It suggests that women are socialised to be hyperaware of their appearance, to perform for the gaze even in the absence of an actual viewer. In art, this translates to female figures being posed </w:t>
      </w:r>
      <w:proofErr w:type="gramStart"/>
      <w:r w:rsidR="00900948">
        <w:rPr>
          <w:sz w:val="22"/>
          <w:szCs w:val="22"/>
        </w:rPr>
        <w:t>so as to</w:t>
      </w:r>
      <w:proofErr w:type="gramEnd"/>
      <w:r w:rsidR="00900948">
        <w:rPr>
          <w:sz w:val="22"/>
          <w:szCs w:val="22"/>
        </w:rPr>
        <w:t xml:space="preserve"> convey the awareness of self, but not self-possession. In </w:t>
      </w:r>
      <w:r w:rsidR="00900948" w:rsidRPr="00900948">
        <w:rPr>
          <w:i/>
          <w:iCs/>
          <w:sz w:val="22"/>
          <w:szCs w:val="22"/>
        </w:rPr>
        <w:t>Venus of Urbino</w:t>
      </w:r>
      <w:r w:rsidR="00900948">
        <w:rPr>
          <w:sz w:val="22"/>
          <w:szCs w:val="22"/>
        </w:rPr>
        <w:t xml:space="preserve">, the woman’s </w:t>
      </w:r>
      <w:r w:rsidR="009876D3">
        <w:rPr>
          <w:sz w:val="22"/>
          <w:szCs w:val="22"/>
        </w:rPr>
        <w:t xml:space="preserve">direct gaze and reclining posture </w:t>
      </w:r>
      <w:proofErr w:type="spellStart"/>
      <w:r w:rsidR="009876D3">
        <w:rPr>
          <w:sz w:val="22"/>
          <w:szCs w:val="22"/>
        </w:rPr>
        <w:t>reflet</w:t>
      </w:r>
      <w:proofErr w:type="spellEnd"/>
      <w:r w:rsidR="009876D3">
        <w:rPr>
          <w:sz w:val="22"/>
          <w:szCs w:val="22"/>
        </w:rPr>
        <w:t xml:space="preserve"> this self-awareness but do not indicate power. She is not acting, she is appearing, embodying the ideal of the muse as an object of vision rather than the subject of a </w:t>
      </w:r>
      <w:proofErr w:type="spellStart"/>
      <w:r w:rsidR="009876D3">
        <w:rPr>
          <w:sz w:val="22"/>
          <w:szCs w:val="22"/>
        </w:rPr>
        <w:t>narratice</w:t>
      </w:r>
      <w:proofErr w:type="spellEnd"/>
      <w:r w:rsidR="009876D3">
        <w:rPr>
          <w:sz w:val="22"/>
          <w:szCs w:val="22"/>
        </w:rPr>
        <w:t>. Her role is not to challenge or engage, but to submissively please and inspire the male artist along with to satisfy the male viewer. This performance for the gaze is central to the tradition of the muse, and to the broader theme of the objectification of women in art.</w:t>
      </w:r>
    </w:p>
    <w:p w14:paraId="095E0746" w14:textId="77777777" w:rsidR="00E10A52" w:rsidRPr="00260F32" w:rsidRDefault="00E10A52" w:rsidP="00260F32">
      <w:pPr>
        <w:rPr>
          <w:sz w:val="22"/>
          <w:szCs w:val="22"/>
        </w:rPr>
      </w:pPr>
    </w:p>
    <w:p w14:paraId="1A0BA4AD" w14:textId="02BBA108" w:rsidR="00D8568E" w:rsidRDefault="00D8568E">
      <w:pPr>
        <w:rPr>
          <w:sz w:val="22"/>
          <w:szCs w:val="22"/>
        </w:rPr>
      </w:pPr>
    </w:p>
    <w:p w14:paraId="60EDEE82" w14:textId="77777777" w:rsidR="00E10A52" w:rsidRDefault="00E10A52">
      <w:pPr>
        <w:rPr>
          <w:sz w:val="22"/>
          <w:szCs w:val="22"/>
        </w:rPr>
      </w:pPr>
    </w:p>
    <w:p w14:paraId="1C4D6AAC" w14:textId="77777777" w:rsidR="00E10A52" w:rsidRDefault="00E10A52">
      <w:pPr>
        <w:rPr>
          <w:sz w:val="22"/>
          <w:szCs w:val="22"/>
        </w:rPr>
      </w:pPr>
    </w:p>
    <w:p w14:paraId="25F2099C" w14:textId="77777777" w:rsidR="00E10A52" w:rsidRDefault="00E10A52">
      <w:pPr>
        <w:rPr>
          <w:sz w:val="22"/>
          <w:szCs w:val="22"/>
        </w:rPr>
      </w:pPr>
    </w:p>
    <w:p w14:paraId="04EAD772" w14:textId="77777777" w:rsidR="00E10A52" w:rsidRDefault="00E10A52">
      <w:pPr>
        <w:rPr>
          <w:sz w:val="22"/>
          <w:szCs w:val="22"/>
        </w:rPr>
      </w:pPr>
    </w:p>
    <w:p w14:paraId="078C2AF8" w14:textId="77777777" w:rsidR="00E10A52" w:rsidRDefault="00E10A52">
      <w:pPr>
        <w:rPr>
          <w:sz w:val="22"/>
          <w:szCs w:val="22"/>
        </w:rPr>
      </w:pPr>
    </w:p>
    <w:p w14:paraId="20877C70" w14:textId="77777777" w:rsidR="00E10A52" w:rsidRDefault="00E10A52">
      <w:pPr>
        <w:rPr>
          <w:sz w:val="22"/>
          <w:szCs w:val="22"/>
        </w:rPr>
      </w:pPr>
    </w:p>
    <w:p w14:paraId="1083D01D" w14:textId="77777777" w:rsidR="00E10A52" w:rsidRDefault="00E10A52">
      <w:pPr>
        <w:rPr>
          <w:sz w:val="22"/>
          <w:szCs w:val="22"/>
        </w:rPr>
      </w:pPr>
    </w:p>
    <w:p w14:paraId="6F151C45" w14:textId="2EDCBA71" w:rsidR="00E10A52" w:rsidRDefault="00E10A52" w:rsidP="00E10A52">
      <w:pPr>
        <w:jc w:val="center"/>
        <w:rPr>
          <w:i/>
          <w:iCs/>
          <w:sz w:val="22"/>
          <w:szCs w:val="22"/>
        </w:rPr>
      </w:pPr>
      <w:r>
        <w:rPr>
          <w:i/>
          <w:iCs/>
          <w:sz w:val="22"/>
          <w:szCs w:val="22"/>
        </w:rPr>
        <w:t xml:space="preserve">Figure 2 </w:t>
      </w:r>
    </w:p>
    <w:p w14:paraId="7852551B" w14:textId="20F59511" w:rsidR="00E10A52" w:rsidRDefault="002137B9">
      <w:pPr>
        <w:rPr>
          <w:sz w:val="22"/>
          <w:szCs w:val="22"/>
        </w:rPr>
      </w:pPr>
      <w:r w:rsidRPr="002137B9">
        <w:rPr>
          <w:i/>
          <w:iCs/>
          <w:sz w:val="22"/>
          <w:szCs w:val="22"/>
        </w:rPr>
        <w:t xml:space="preserve">Grande Odalisque </w:t>
      </w:r>
      <w:r>
        <w:rPr>
          <w:sz w:val="22"/>
          <w:szCs w:val="22"/>
        </w:rPr>
        <w:t>by</w:t>
      </w:r>
      <w:r w:rsidRPr="002137B9">
        <w:rPr>
          <w:b/>
          <w:bCs/>
        </w:rPr>
        <w:t xml:space="preserve"> </w:t>
      </w:r>
      <w:r w:rsidRPr="002137B9">
        <w:rPr>
          <w:sz w:val="22"/>
          <w:szCs w:val="22"/>
        </w:rPr>
        <w:t xml:space="preserve">Jean-Auguste-Dominique </w:t>
      </w:r>
      <w:proofErr w:type="gramStart"/>
      <w:r w:rsidRPr="002137B9">
        <w:rPr>
          <w:sz w:val="22"/>
          <w:szCs w:val="22"/>
        </w:rPr>
        <w:t>Ingres</w:t>
      </w:r>
      <w:r>
        <w:rPr>
          <w:sz w:val="22"/>
          <w:szCs w:val="22"/>
        </w:rPr>
        <w:t xml:space="preserve">  </w:t>
      </w:r>
      <w:r w:rsidR="001E7498">
        <w:rPr>
          <w:sz w:val="22"/>
          <w:szCs w:val="22"/>
        </w:rPr>
        <w:t>is</w:t>
      </w:r>
      <w:proofErr w:type="gramEnd"/>
      <w:r w:rsidR="001E7498">
        <w:rPr>
          <w:sz w:val="22"/>
          <w:szCs w:val="22"/>
        </w:rPr>
        <w:t xml:space="preserve"> another example of a historic artwork which depicts a woman as a muse. According to the Oxford Dictionary an Odalisque is a female slave or concubine, which means a slave or mistress, which </w:t>
      </w:r>
      <w:proofErr w:type="gramStart"/>
      <w:r w:rsidR="001E7498">
        <w:rPr>
          <w:sz w:val="22"/>
          <w:szCs w:val="22"/>
        </w:rPr>
        <w:t>in itself is</w:t>
      </w:r>
      <w:proofErr w:type="gramEnd"/>
      <w:r w:rsidR="001E7498">
        <w:rPr>
          <w:sz w:val="22"/>
          <w:szCs w:val="22"/>
        </w:rPr>
        <w:t xml:space="preserve"> a degrading status. The Odalisque </w:t>
      </w:r>
      <w:r w:rsidR="001E7498" w:rsidRPr="001E7498">
        <w:rPr>
          <w:sz w:val="22"/>
          <w:szCs w:val="22"/>
        </w:rPr>
        <w:t>lies nude, her elongated back and turned head emphasizing sensuality and erotic appeal. She looks out over her shoulder, not with confrontation or agency, but with detachment, as though her sole purpose is to be observed.</w:t>
      </w:r>
      <w:r w:rsidR="001E7498">
        <w:rPr>
          <w:sz w:val="22"/>
          <w:szCs w:val="22"/>
        </w:rPr>
        <w:t xml:space="preserve"> Her body seems to be exaggerated in some places such as the length of her spine, which suggests that </w:t>
      </w:r>
      <w:proofErr w:type="gramStart"/>
      <w:r w:rsidR="001E7498">
        <w:rPr>
          <w:sz w:val="22"/>
          <w:szCs w:val="22"/>
        </w:rPr>
        <w:t>aesthetic  appeal</w:t>
      </w:r>
      <w:proofErr w:type="gramEnd"/>
      <w:r w:rsidR="001E7498">
        <w:rPr>
          <w:sz w:val="22"/>
          <w:szCs w:val="22"/>
        </w:rPr>
        <w:t xml:space="preserve"> was more important than realism in this painting. She doesn’t seem to be presented in a way that suggests her own story or narrative but as sight for the male gaze</w:t>
      </w:r>
      <w:r w:rsidR="00916F8A">
        <w:rPr>
          <w:sz w:val="22"/>
          <w:szCs w:val="22"/>
        </w:rPr>
        <w:t xml:space="preserve">, she invites desire as apposed to dialogue. </w:t>
      </w:r>
    </w:p>
    <w:p w14:paraId="237DC87F" w14:textId="7919F455" w:rsidR="00E10A52" w:rsidRDefault="00B90CEB">
      <w:pPr>
        <w:rPr>
          <w:sz w:val="22"/>
          <w:szCs w:val="22"/>
        </w:rPr>
      </w:pPr>
      <w:r w:rsidRPr="00B90CEB">
        <w:rPr>
          <w:sz w:val="22"/>
          <w:szCs w:val="22"/>
        </w:rPr>
        <w:t>Venus of Urbino and La Grande</w:t>
      </w:r>
      <w:r w:rsidRPr="00B90CEB">
        <w:rPr>
          <w:b/>
          <w:bCs/>
          <w:sz w:val="22"/>
          <w:szCs w:val="22"/>
        </w:rPr>
        <w:t xml:space="preserve"> </w:t>
      </w:r>
      <w:r w:rsidRPr="00B90CEB">
        <w:rPr>
          <w:sz w:val="22"/>
          <w:szCs w:val="22"/>
        </w:rPr>
        <w:t>Odalisque are both clear examples of how women have historically been depicted as muses</w:t>
      </w:r>
      <w:r>
        <w:rPr>
          <w:sz w:val="22"/>
          <w:szCs w:val="22"/>
        </w:rPr>
        <w:t>,</w:t>
      </w:r>
      <w:r w:rsidR="00090F5E">
        <w:rPr>
          <w:sz w:val="22"/>
          <w:szCs w:val="22"/>
        </w:rPr>
        <w:t xml:space="preserve"> </w:t>
      </w:r>
      <w:r w:rsidRPr="00B90CEB">
        <w:rPr>
          <w:sz w:val="22"/>
          <w:szCs w:val="22"/>
        </w:rPr>
        <w:t xml:space="preserve">figures to be gazed at, desired, and idealized, yet ultimately passive. These are women who lack narrative subjectivity and action; their bodies are presented as visual objects of desire, posed not for themselves but </w:t>
      </w:r>
      <w:r w:rsidR="00090F5E">
        <w:rPr>
          <w:sz w:val="22"/>
          <w:szCs w:val="22"/>
        </w:rPr>
        <w:t xml:space="preserve">merely for the </w:t>
      </w:r>
      <w:r w:rsidRPr="00B90CEB">
        <w:rPr>
          <w:sz w:val="22"/>
          <w:szCs w:val="22"/>
        </w:rPr>
        <w:t xml:space="preserve">pleasure of the male viewer. </w:t>
      </w:r>
      <w:r w:rsidR="00090F5E">
        <w:rPr>
          <w:sz w:val="22"/>
          <w:szCs w:val="22"/>
        </w:rPr>
        <w:t>Both in Titan and Ingres’ work the</w:t>
      </w:r>
      <w:r w:rsidRPr="00B90CEB">
        <w:rPr>
          <w:sz w:val="22"/>
          <w:szCs w:val="22"/>
        </w:rPr>
        <w:t xml:space="preserve"> woman’s body is not shown as that of an individual with a voice or inner life, but as a work of art</w:t>
      </w:r>
      <w:r w:rsidR="00090F5E">
        <w:rPr>
          <w:sz w:val="22"/>
          <w:szCs w:val="22"/>
        </w:rPr>
        <w:t xml:space="preserve"> which has been </w:t>
      </w:r>
      <w:r w:rsidRPr="00B90CEB">
        <w:rPr>
          <w:sz w:val="22"/>
          <w:szCs w:val="22"/>
        </w:rPr>
        <w:t>perfected, commodified, and silen</w:t>
      </w:r>
      <w:r w:rsidR="00090F5E">
        <w:rPr>
          <w:sz w:val="22"/>
          <w:szCs w:val="22"/>
        </w:rPr>
        <w:t>ced.</w:t>
      </w:r>
    </w:p>
    <w:p w14:paraId="1B6043E8" w14:textId="3E75E004" w:rsidR="00CB50C2" w:rsidRDefault="00CB50C2">
      <w:pPr>
        <w:rPr>
          <w:b/>
          <w:bCs/>
          <w:sz w:val="22"/>
          <w:szCs w:val="22"/>
        </w:rPr>
      </w:pPr>
      <w:r>
        <w:rPr>
          <w:b/>
          <w:bCs/>
          <w:sz w:val="22"/>
          <w:szCs w:val="22"/>
        </w:rPr>
        <w:t xml:space="preserve">Objectification </w:t>
      </w:r>
    </w:p>
    <w:p w14:paraId="61F0491D" w14:textId="70816F16" w:rsidR="006E2917" w:rsidRDefault="00257A83" w:rsidP="006E2917">
      <w:pPr>
        <w:rPr>
          <w:sz w:val="22"/>
          <w:szCs w:val="22"/>
        </w:rPr>
      </w:pPr>
      <w:r w:rsidRPr="00257A83">
        <w:rPr>
          <w:sz w:val="22"/>
          <w:szCs w:val="22"/>
        </w:rPr>
        <w:t>Objectification in art refers to the process by which individuals, particularly women, are reduced to bodies, body parts, or aesthetic forms for others' use or pleasure</w:t>
      </w:r>
      <w:r w:rsidR="006E2917">
        <w:rPr>
          <w:sz w:val="22"/>
          <w:szCs w:val="22"/>
        </w:rPr>
        <w:t xml:space="preserve">. Objectification can also be described as </w:t>
      </w:r>
      <w:r w:rsidR="00BF1875">
        <w:rPr>
          <w:sz w:val="22"/>
          <w:szCs w:val="22"/>
        </w:rPr>
        <w:t xml:space="preserve">involving instrumentality as is outlined by Martha </w:t>
      </w:r>
      <w:proofErr w:type="spellStart"/>
      <w:r w:rsidR="00BF1875">
        <w:rPr>
          <w:sz w:val="22"/>
          <w:szCs w:val="22"/>
        </w:rPr>
        <w:t>Nassbaum</w:t>
      </w:r>
      <w:proofErr w:type="spellEnd"/>
      <w:r w:rsidR="00BF1875">
        <w:rPr>
          <w:sz w:val="22"/>
          <w:szCs w:val="22"/>
        </w:rPr>
        <w:t xml:space="preserve"> in her essay entitled </w:t>
      </w:r>
      <w:r w:rsidR="00BF1875" w:rsidRPr="00BF1875">
        <w:rPr>
          <w:i/>
          <w:iCs/>
          <w:sz w:val="22"/>
          <w:szCs w:val="22"/>
        </w:rPr>
        <w:t>Objectification</w:t>
      </w:r>
      <w:r w:rsidR="00BF1875">
        <w:rPr>
          <w:sz w:val="22"/>
          <w:szCs w:val="22"/>
        </w:rPr>
        <w:t xml:space="preserve"> </w:t>
      </w:r>
      <w:proofErr w:type="gramStart"/>
      <w:r w:rsidR="00BF1875">
        <w:rPr>
          <w:sz w:val="22"/>
          <w:szCs w:val="22"/>
        </w:rPr>
        <w:t>“</w:t>
      </w:r>
      <w:r w:rsidR="00BF1875" w:rsidRPr="006E2917">
        <w:rPr>
          <w:sz w:val="22"/>
          <w:szCs w:val="22"/>
        </w:rPr>
        <w:t xml:space="preserve"> Instrumentality</w:t>
      </w:r>
      <w:proofErr w:type="gramEnd"/>
      <w:r w:rsidR="00BF1875" w:rsidRPr="006E2917">
        <w:rPr>
          <w:sz w:val="22"/>
          <w:szCs w:val="22"/>
        </w:rPr>
        <w:t xml:space="preserve">: The </w:t>
      </w:r>
      <w:proofErr w:type="spellStart"/>
      <w:r w:rsidR="00BF1875" w:rsidRPr="006E2917">
        <w:rPr>
          <w:sz w:val="22"/>
          <w:szCs w:val="22"/>
        </w:rPr>
        <w:t>objectifier</w:t>
      </w:r>
      <w:proofErr w:type="spellEnd"/>
      <w:r w:rsidR="00BF1875" w:rsidRPr="006E2917">
        <w:rPr>
          <w:sz w:val="22"/>
          <w:szCs w:val="22"/>
        </w:rPr>
        <w:t xml:space="preserve"> treats the object as a tool of his or</w:t>
      </w:r>
      <w:r w:rsidR="00BF1875">
        <w:rPr>
          <w:sz w:val="22"/>
          <w:szCs w:val="22"/>
        </w:rPr>
        <w:t xml:space="preserve"> </w:t>
      </w:r>
      <w:r w:rsidR="00BF1875" w:rsidRPr="006E2917">
        <w:rPr>
          <w:sz w:val="22"/>
          <w:szCs w:val="22"/>
        </w:rPr>
        <w:t>her purposes</w:t>
      </w:r>
      <w:r w:rsidR="00BF1875">
        <w:rPr>
          <w:sz w:val="22"/>
          <w:szCs w:val="22"/>
        </w:rPr>
        <w:t>”.</w:t>
      </w:r>
      <w:r w:rsidR="00450BFC">
        <w:rPr>
          <w:sz w:val="22"/>
          <w:szCs w:val="22"/>
        </w:rPr>
        <w:t xml:space="preserve"> (</w:t>
      </w:r>
      <w:proofErr w:type="spellStart"/>
      <w:r w:rsidR="00450BFC">
        <w:rPr>
          <w:sz w:val="22"/>
          <w:szCs w:val="22"/>
        </w:rPr>
        <w:t>Nassbaum</w:t>
      </w:r>
      <w:proofErr w:type="spellEnd"/>
      <w:r w:rsidR="00450BFC">
        <w:rPr>
          <w:sz w:val="22"/>
          <w:szCs w:val="22"/>
        </w:rPr>
        <w:t xml:space="preserve"> 1995)</w:t>
      </w:r>
      <w:r w:rsidR="00BF1875">
        <w:rPr>
          <w:sz w:val="22"/>
          <w:szCs w:val="22"/>
        </w:rPr>
        <w:t xml:space="preserve"> This idea implies that the “object” is represented in such a way that suggests a denial of autonomy and even ownership of their own body. </w:t>
      </w:r>
      <w:r w:rsidR="00BF1875" w:rsidRPr="00BF1875">
        <w:rPr>
          <w:sz w:val="22"/>
          <w:szCs w:val="22"/>
        </w:rPr>
        <w:t>These concepts are deeply embedded in how the female form has been portrayed in painting, sculpture, and, more recently, photography and film.</w:t>
      </w:r>
    </w:p>
    <w:p w14:paraId="729C3B8F" w14:textId="5466DBE3" w:rsidR="00A60A9D" w:rsidRDefault="002B38A2" w:rsidP="00A60A9D">
      <w:pPr>
        <w:rPr>
          <w:sz w:val="22"/>
          <w:szCs w:val="22"/>
        </w:rPr>
      </w:pPr>
      <w:r>
        <w:rPr>
          <w:sz w:val="22"/>
          <w:szCs w:val="22"/>
        </w:rPr>
        <w:t xml:space="preserve">In Laura Mulvey’s </w:t>
      </w:r>
      <w:r w:rsidR="00A60A9D">
        <w:rPr>
          <w:sz w:val="22"/>
          <w:szCs w:val="22"/>
        </w:rPr>
        <w:t xml:space="preserve">seminal essay </w:t>
      </w:r>
      <w:r w:rsidR="00A60A9D" w:rsidRPr="00A60A9D">
        <w:rPr>
          <w:i/>
          <w:iCs/>
          <w:sz w:val="22"/>
          <w:szCs w:val="22"/>
        </w:rPr>
        <w:t>Visual Pleasure and Narrative Cinema</w:t>
      </w:r>
      <w:r w:rsidR="00A60A9D" w:rsidRPr="00A60A9D">
        <w:rPr>
          <w:sz w:val="22"/>
          <w:szCs w:val="22"/>
        </w:rPr>
        <w:t xml:space="preserve"> </w:t>
      </w:r>
      <w:r w:rsidR="00A60A9D">
        <w:rPr>
          <w:sz w:val="22"/>
          <w:szCs w:val="22"/>
        </w:rPr>
        <w:t>s</w:t>
      </w:r>
      <w:r w:rsidRPr="002B38A2">
        <w:rPr>
          <w:sz w:val="22"/>
          <w:szCs w:val="22"/>
        </w:rPr>
        <w:t>he introduces the “male gaze” as a structuring force in cinema that positions women as objects of visual pleasure.</w:t>
      </w:r>
      <w:r>
        <w:rPr>
          <w:sz w:val="22"/>
          <w:szCs w:val="22"/>
        </w:rPr>
        <w:t xml:space="preserve"> </w:t>
      </w:r>
      <w:r w:rsidRPr="002B38A2">
        <w:rPr>
          <w:sz w:val="22"/>
          <w:szCs w:val="22"/>
        </w:rPr>
        <w:t>“In a world ordered by sexual imbalance, pleasure in looking has been split between active/male and passive/female.”</w:t>
      </w:r>
      <w:r w:rsidR="002F3FF7">
        <w:rPr>
          <w:sz w:val="22"/>
          <w:szCs w:val="22"/>
        </w:rPr>
        <w:t xml:space="preserve"> (Mulvey, 2015)</w:t>
      </w:r>
      <w:r w:rsidR="00A60A9D">
        <w:rPr>
          <w:sz w:val="22"/>
          <w:szCs w:val="22"/>
        </w:rPr>
        <w:t xml:space="preserve"> </w:t>
      </w:r>
      <w:r w:rsidR="00A60A9D" w:rsidRPr="00A60A9D">
        <w:rPr>
          <w:sz w:val="22"/>
          <w:szCs w:val="22"/>
        </w:rPr>
        <w:t xml:space="preserve">This quote shows that visual pleasure in film </w:t>
      </w:r>
      <w:r w:rsidR="00D85CAE">
        <w:rPr>
          <w:sz w:val="22"/>
          <w:szCs w:val="22"/>
        </w:rPr>
        <w:t>is</w:t>
      </w:r>
      <w:r w:rsidR="00A60A9D" w:rsidRPr="00A60A9D">
        <w:rPr>
          <w:sz w:val="22"/>
          <w:szCs w:val="22"/>
        </w:rPr>
        <w:t xml:space="preserve"> shaped by gender roles. Women are often shown mainly to please men’s desire to look, rather than to drive the story. Female characters usually lack power and are reduced to decorative roles that support male characters or their journeys. Mulvey’s theory reveals how film reflects and supports wider gender inequality, and her work still influences how we think about the objectification of women in both old and new visual media.</w:t>
      </w:r>
    </w:p>
    <w:p w14:paraId="07C1E768" w14:textId="6924FE23" w:rsidR="0013723D" w:rsidRDefault="00981711" w:rsidP="00A60A9D">
      <w:pPr>
        <w:rPr>
          <w:sz w:val="22"/>
          <w:szCs w:val="22"/>
        </w:rPr>
      </w:pPr>
      <w:r w:rsidRPr="00D85CAE">
        <w:rPr>
          <w:noProof/>
          <w:sz w:val="22"/>
          <w:szCs w:val="22"/>
        </w:rPr>
        <w:lastRenderedPageBreak/>
        <w:drawing>
          <wp:anchor distT="0" distB="0" distL="114300" distR="114300" simplePos="0" relativeHeight="251660288" behindDoc="1" locked="0" layoutInCell="1" allowOverlap="1" wp14:anchorId="293174D4" wp14:editId="157A769D">
            <wp:simplePos x="0" y="0"/>
            <wp:positionH relativeFrom="margin">
              <wp:posOffset>2170430</wp:posOffset>
            </wp:positionH>
            <wp:positionV relativeFrom="paragraph">
              <wp:posOffset>2235835</wp:posOffset>
            </wp:positionV>
            <wp:extent cx="2254250" cy="3322955"/>
            <wp:effectExtent l="0" t="0" r="0" b="0"/>
            <wp:wrapTight wrapText="bothSides">
              <wp:wrapPolygon edited="0">
                <wp:start x="0" y="0"/>
                <wp:lineTo x="0" y="21423"/>
                <wp:lineTo x="21357" y="21423"/>
                <wp:lineTo x="21357" y="0"/>
                <wp:lineTo x="0" y="0"/>
              </wp:wrapPolygon>
            </wp:wrapTight>
            <wp:docPr id="152185792" name="Picture 1" descr="A person with many small drops on her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85792" name="Picture 1" descr="A person with many small drops on her fac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54250" cy="3322955"/>
                    </a:xfrm>
                    <a:prstGeom prst="rect">
                      <a:avLst/>
                    </a:prstGeom>
                  </pic:spPr>
                </pic:pic>
              </a:graphicData>
            </a:graphic>
            <wp14:sizeRelH relativeFrom="margin">
              <wp14:pctWidth>0</wp14:pctWidth>
            </wp14:sizeRelH>
            <wp14:sizeRelV relativeFrom="margin">
              <wp14:pctHeight>0</wp14:pctHeight>
            </wp14:sizeRelV>
          </wp:anchor>
        </w:drawing>
      </w:r>
      <w:r w:rsidR="0013723D">
        <w:rPr>
          <w:sz w:val="22"/>
          <w:szCs w:val="22"/>
        </w:rPr>
        <w:t>Feminist artists such as Hannah Wilke sought to challenge the dynamic of the objectification of women in art through their practices. Wilke used self-portraits which turned seemed to work to reclaim her body as her own and reveal how staged femininity is in visual art.</w:t>
      </w:r>
      <w:r w:rsidR="00F0288A">
        <w:rPr>
          <w:sz w:val="22"/>
          <w:szCs w:val="22"/>
        </w:rPr>
        <w:t xml:space="preserve"> Her work</w:t>
      </w:r>
      <w:r w:rsidR="00426CF5">
        <w:rPr>
          <w:sz w:val="22"/>
          <w:szCs w:val="22"/>
        </w:rPr>
        <w:t xml:space="preserve"> </w:t>
      </w:r>
      <w:proofErr w:type="spellStart"/>
      <w:r w:rsidR="00426CF5">
        <w:rPr>
          <w:sz w:val="22"/>
          <w:szCs w:val="22"/>
        </w:rPr>
        <w:t>Starification</w:t>
      </w:r>
      <w:proofErr w:type="spellEnd"/>
      <w:r w:rsidR="00426CF5">
        <w:rPr>
          <w:sz w:val="22"/>
          <w:szCs w:val="22"/>
        </w:rPr>
        <w:t xml:space="preserve"> Object Series perfectly encapsulates this; here she poses nude, in glamourous pin-up style photographs while small chewing-gum sculptures shaped like vulvas are stuck to her skin. This work insults conventional beauty imagery by presenting symbols of female sexuality in a way that seems unsettling or unnecessarily exaggerated</w:t>
      </w:r>
      <w:r w:rsidR="00E101C5">
        <w:rPr>
          <w:sz w:val="22"/>
          <w:szCs w:val="22"/>
        </w:rPr>
        <w:t xml:space="preserve">, which in turn forces the viewer to confront their discomfort. Wilkes work is striking as it simultaneously inhabits the role of the desirable, beautiful </w:t>
      </w:r>
      <w:proofErr w:type="gramStart"/>
      <w:r w:rsidR="00E101C5">
        <w:rPr>
          <w:sz w:val="22"/>
          <w:szCs w:val="22"/>
        </w:rPr>
        <w:t>woman  posed</w:t>
      </w:r>
      <w:proofErr w:type="gramEnd"/>
      <w:r w:rsidR="00E101C5">
        <w:rPr>
          <w:sz w:val="22"/>
          <w:szCs w:val="22"/>
        </w:rPr>
        <w:t xml:space="preserve"> for the male gaze, while also working to disturb the idea of objectification of women. She challenges these ideals by turning the object into the subject, which in turn is a form of self-objectification. This raises the question of if self-objectification can be a form of empowerment, it also </w:t>
      </w:r>
      <w:proofErr w:type="gramStart"/>
      <w:r w:rsidR="00E101C5">
        <w:rPr>
          <w:sz w:val="22"/>
          <w:szCs w:val="22"/>
        </w:rPr>
        <w:t>bring</w:t>
      </w:r>
      <w:proofErr w:type="gramEnd"/>
      <w:r w:rsidR="00E101C5">
        <w:rPr>
          <w:sz w:val="22"/>
          <w:szCs w:val="22"/>
        </w:rPr>
        <w:t xml:space="preserve"> to light a question of if reclaiming the image from the objectification can undo the centuries of visual violence that has taken place.</w:t>
      </w:r>
    </w:p>
    <w:p w14:paraId="40DCA40D" w14:textId="6B38E8D0" w:rsidR="0013723D" w:rsidRDefault="0013723D" w:rsidP="00A60A9D">
      <w:pPr>
        <w:rPr>
          <w:sz w:val="22"/>
          <w:szCs w:val="22"/>
        </w:rPr>
      </w:pPr>
    </w:p>
    <w:p w14:paraId="48FC1B49" w14:textId="14BE71EB" w:rsidR="00D85CAE" w:rsidRPr="00A60A9D" w:rsidRDefault="00D85CAE" w:rsidP="00A60A9D">
      <w:pPr>
        <w:rPr>
          <w:sz w:val="22"/>
          <w:szCs w:val="22"/>
        </w:rPr>
      </w:pPr>
    </w:p>
    <w:p w14:paraId="7E574248" w14:textId="77777777" w:rsidR="00D85CAE" w:rsidRDefault="00D85CAE" w:rsidP="006E2917">
      <w:pPr>
        <w:rPr>
          <w:sz w:val="22"/>
          <w:szCs w:val="22"/>
        </w:rPr>
      </w:pPr>
    </w:p>
    <w:p w14:paraId="1685B076" w14:textId="619C91D6" w:rsidR="00CB50C2" w:rsidRDefault="00CB50C2">
      <w:pPr>
        <w:rPr>
          <w:b/>
          <w:bCs/>
          <w:sz w:val="22"/>
          <w:szCs w:val="22"/>
        </w:rPr>
      </w:pPr>
    </w:p>
    <w:p w14:paraId="01967E54" w14:textId="3BA1EE6E" w:rsidR="00D85CAE" w:rsidRDefault="00D85CAE">
      <w:pPr>
        <w:rPr>
          <w:b/>
          <w:bCs/>
          <w:sz w:val="22"/>
          <w:szCs w:val="22"/>
        </w:rPr>
      </w:pPr>
    </w:p>
    <w:p w14:paraId="0E92CA08" w14:textId="1C724331" w:rsidR="00D85CAE" w:rsidRDefault="00D85CAE">
      <w:pPr>
        <w:rPr>
          <w:b/>
          <w:bCs/>
          <w:sz w:val="22"/>
          <w:szCs w:val="22"/>
        </w:rPr>
      </w:pPr>
    </w:p>
    <w:p w14:paraId="5611E7E6" w14:textId="77777777" w:rsidR="00D85CAE" w:rsidRDefault="00D85CAE">
      <w:pPr>
        <w:rPr>
          <w:b/>
          <w:bCs/>
          <w:sz w:val="22"/>
          <w:szCs w:val="22"/>
        </w:rPr>
      </w:pPr>
    </w:p>
    <w:p w14:paraId="63B28C3D" w14:textId="3906BB80" w:rsidR="00D85CAE" w:rsidRDefault="00D85CAE">
      <w:pPr>
        <w:rPr>
          <w:b/>
          <w:bCs/>
          <w:sz w:val="22"/>
          <w:szCs w:val="22"/>
        </w:rPr>
      </w:pPr>
    </w:p>
    <w:p w14:paraId="42E53CB0" w14:textId="77777777" w:rsidR="00D85CAE" w:rsidRDefault="00D85CAE">
      <w:pPr>
        <w:rPr>
          <w:b/>
          <w:bCs/>
          <w:sz w:val="22"/>
          <w:szCs w:val="22"/>
        </w:rPr>
      </w:pPr>
    </w:p>
    <w:p w14:paraId="049A0BA9" w14:textId="77777777" w:rsidR="00D85CAE" w:rsidRDefault="00D85CAE" w:rsidP="00981711">
      <w:pPr>
        <w:jc w:val="center"/>
        <w:rPr>
          <w:b/>
          <w:bCs/>
          <w:sz w:val="22"/>
          <w:szCs w:val="22"/>
        </w:rPr>
      </w:pPr>
    </w:p>
    <w:p w14:paraId="7914E404" w14:textId="77777777" w:rsidR="00981711" w:rsidRDefault="00981711" w:rsidP="00981711">
      <w:pPr>
        <w:jc w:val="center"/>
        <w:rPr>
          <w:i/>
          <w:iCs/>
          <w:sz w:val="22"/>
          <w:szCs w:val="22"/>
        </w:rPr>
      </w:pPr>
    </w:p>
    <w:p w14:paraId="1A6D3545" w14:textId="77777777" w:rsidR="00981711" w:rsidRDefault="004912FC" w:rsidP="00981711">
      <w:pPr>
        <w:jc w:val="center"/>
        <w:rPr>
          <w:i/>
          <w:iCs/>
          <w:sz w:val="22"/>
          <w:szCs w:val="22"/>
        </w:rPr>
      </w:pPr>
      <w:r>
        <w:rPr>
          <w:i/>
          <w:iCs/>
          <w:sz w:val="22"/>
          <w:szCs w:val="22"/>
        </w:rPr>
        <w:t>Figure 3</w:t>
      </w:r>
    </w:p>
    <w:p w14:paraId="3907B07F" w14:textId="0B1AB3B7" w:rsidR="00D85CAE" w:rsidRPr="00981711" w:rsidRDefault="00611F63" w:rsidP="00981711">
      <w:pPr>
        <w:jc w:val="center"/>
        <w:rPr>
          <w:i/>
          <w:iCs/>
          <w:sz w:val="22"/>
          <w:szCs w:val="22"/>
        </w:rPr>
      </w:pPr>
      <w:r>
        <w:rPr>
          <w:sz w:val="22"/>
          <w:szCs w:val="22"/>
        </w:rPr>
        <w:t xml:space="preserve">Wilke herself says about this work </w:t>
      </w:r>
      <w:r w:rsidRPr="00611F63">
        <w:rPr>
          <w:sz w:val="22"/>
          <w:szCs w:val="22"/>
        </w:rPr>
        <w:t>“I chose gum because it’s the perfect metaphor for the American woman—chew her up, get what you want out of her, throw her out and pop in a new piece,”</w:t>
      </w:r>
      <w:r w:rsidRPr="00611F63">
        <w:rPr>
          <w:color w:val="000000"/>
          <w:shd w:val="clear" w:color="auto" w:fill="FFFFFF"/>
        </w:rPr>
        <w:t xml:space="preserve"> </w:t>
      </w:r>
      <w:r w:rsidRPr="00611F63">
        <w:rPr>
          <w:sz w:val="22"/>
          <w:szCs w:val="22"/>
        </w:rPr>
        <w:t xml:space="preserve">(Museo </w:t>
      </w:r>
      <w:proofErr w:type="spellStart"/>
      <w:r w:rsidRPr="00611F63">
        <w:rPr>
          <w:sz w:val="22"/>
          <w:szCs w:val="22"/>
        </w:rPr>
        <w:t>Jumex</w:t>
      </w:r>
      <w:proofErr w:type="spellEnd"/>
      <w:r w:rsidRPr="00611F63">
        <w:rPr>
          <w:sz w:val="22"/>
          <w:szCs w:val="22"/>
        </w:rPr>
        <w:t>, 2025)</w:t>
      </w:r>
      <w:r>
        <w:rPr>
          <w:sz w:val="22"/>
          <w:szCs w:val="22"/>
        </w:rPr>
        <w:t xml:space="preserve"> This speaks of the how women particularly in American consumer culture are treated as mere disposable objects of desire. The comparison used here of women to chewing gum is striking as it describes women as </w:t>
      </w:r>
      <w:proofErr w:type="spellStart"/>
      <w:r>
        <w:rPr>
          <w:sz w:val="22"/>
          <w:szCs w:val="22"/>
        </w:rPr>
        <w:t>beng</w:t>
      </w:r>
      <w:proofErr w:type="spellEnd"/>
      <w:r>
        <w:rPr>
          <w:sz w:val="22"/>
          <w:szCs w:val="22"/>
        </w:rPr>
        <w:t xml:space="preserve"> pleasurable in the moment, but when ultimately used up to the desire of the consumer they are discarded and disposed of which </w:t>
      </w:r>
      <w:proofErr w:type="spellStart"/>
      <w:r>
        <w:rPr>
          <w:sz w:val="22"/>
          <w:szCs w:val="22"/>
        </w:rPr>
        <w:t>n</w:t>
      </w:r>
      <w:proofErr w:type="spellEnd"/>
      <w:r>
        <w:rPr>
          <w:sz w:val="22"/>
          <w:szCs w:val="22"/>
        </w:rPr>
        <w:t xml:space="preserve"> turn strips their value from them. This metaphor is a terrifying one which hits slightly too close to home in </w:t>
      </w:r>
      <w:proofErr w:type="spellStart"/>
      <w:proofErr w:type="gramStart"/>
      <w:r>
        <w:rPr>
          <w:sz w:val="22"/>
          <w:szCs w:val="22"/>
        </w:rPr>
        <w:t>todays</w:t>
      </w:r>
      <w:proofErr w:type="spellEnd"/>
      <w:proofErr w:type="gramEnd"/>
      <w:r>
        <w:rPr>
          <w:sz w:val="22"/>
          <w:szCs w:val="22"/>
        </w:rPr>
        <w:t xml:space="preserve"> culture which objectifies women’s bodies and identities, reducing them to temporary sources of pleasure or utility</w:t>
      </w:r>
      <w:r w:rsidR="006E5F69">
        <w:rPr>
          <w:sz w:val="22"/>
          <w:szCs w:val="22"/>
        </w:rPr>
        <w:t xml:space="preserve">. Her choice of chewing gum is also a </w:t>
      </w:r>
      <w:proofErr w:type="gramStart"/>
      <w:r w:rsidR="006E5F69">
        <w:rPr>
          <w:sz w:val="22"/>
          <w:szCs w:val="22"/>
        </w:rPr>
        <w:t>hard hitting</w:t>
      </w:r>
      <w:proofErr w:type="gramEnd"/>
      <w:r w:rsidR="006E5F69">
        <w:rPr>
          <w:sz w:val="22"/>
          <w:szCs w:val="22"/>
        </w:rPr>
        <w:t xml:space="preserve"> metaphor as it is a mass-produced, cheap product that works to further reduce women to disposable commodities used as objects for pleasure, it also adds a layer of implication of repeatability and interchangeability, suggesting that women are often consumed without any consideration to their individuality, autonomy or long-term worth.</w:t>
      </w:r>
    </w:p>
    <w:p w14:paraId="72B0B1D0" w14:textId="54D87BCD" w:rsidR="00D85CAE" w:rsidRPr="006E5F69" w:rsidRDefault="006E5F69">
      <w:pPr>
        <w:rPr>
          <w:sz w:val="22"/>
          <w:szCs w:val="22"/>
        </w:rPr>
      </w:pPr>
      <w:r w:rsidRPr="006E5F69">
        <w:rPr>
          <w:sz w:val="22"/>
          <w:szCs w:val="22"/>
        </w:rPr>
        <w:t>Altogether, these ideas and artistic responses show how deeply rooted objectification is in visual culture. From the theories of Nussbaum and Mulvey to the bold work of feminist artists like Wilke, it’s clear that objectification is not just about how women are shown in art</w:t>
      </w:r>
      <w:r>
        <w:rPr>
          <w:sz w:val="22"/>
          <w:szCs w:val="22"/>
        </w:rPr>
        <w:t xml:space="preserve">, </w:t>
      </w:r>
      <w:r w:rsidRPr="006E5F69">
        <w:rPr>
          <w:sz w:val="22"/>
          <w:szCs w:val="22"/>
        </w:rPr>
        <w:t>it reflects bigger systems of power, control, and inequality. Wilke’s work</w:t>
      </w:r>
      <w:proofErr w:type="gramStart"/>
      <w:r w:rsidRPr="006E5F69">
        <w:rPr>
          <w:sz w:val="22"/>
          <w:szCs w:val="22"/>
        </w:rPr>
        <w:t>, in particular, shows</w:t>
      </w:r>
      <w:proofErr w:type="gramEnd"/>
      <w:r w:rsidRPr="006E5F69">
        <w:rPr>
          <w:sz w:val="22"/>
          <w:szCs w:val="22"/>
        </w:rPr>
        <w:t xml:space="preserve"> how art can both reveal and challenge these issues</w:t>
      </w:r>
      <w:r>
        <w:rPr>
          <w:sz w:val="22"/>
          <w:szCs w:val="22"/>
        </w:rPr>
        <w:t xml:space="preserve">. </w:t>
      </w:r>
      <w:r w:rsidRPr="006E5F69">
        <w:rPr>
          <w:sz w:val="22"/>
          <w:szCs w:val="22"/>
        </w:rPr>
        <w:t xml:space="preserve">By using exaggerated symbols of beauty and sexuality, she makes viewers confront how women’s bodies are often treated as things to be consumed. </w:t>
      </w:r>
    </w:p>
    <w:p w14:paraId="47D40F9D" w14:textId="77777777" w:rsidR="00D85CAE" w:rsidRDefault="00D85CAE">
      <w:pPr>
        <w:rPr>
          <w:b/>
          <w:bCs/>
          <w:sz w:val="22"/>
          <w:szCs w:val="22"/>
        </w:rPr>
      </w:pPr>
    </w:p>
    <w:p w14:paraId="32F2E38C" w14:textId="2591075C" w:rsidR="00E10A52" w:rsidRDefault="00CB50C2">
      <w:pPr>
        <w:rPr>
          <w:b/>
          <w:bCs/>
          <w:sz w:val="22"/>
          <w:szCs w:val="22"/>
        </w:rPr>
      </w:pPr>
      <w:r>
        <w:rPr>
          <w:b/>
          <w:bCs/>
          <w:sz w:val="22"/>
          <w:szCs w:val="22"/>
        </w:rPr>
        <w:t xml:space="preserve">Commodification </w:t>
      </w:r>
      <w:r w:rsidR="00090F5E">
        <w:rPr>
          <w:b/>
          <w:bCs/>
          <w:sz w:val="22"/>
          <w:szCs w:val="22"/>
        </w:rPr>
        <w:t xml:space="preserve"> </w:t>
      </w:r>
    </w:p>
    <w:p w14:paraId="4371FF10" w14:textId="1A9030AA" w:rsidR="00090F5E" w:rsidRPr="00090F5E" w:rsidRDefault="00B96E87">
      <w:pPr>
        <w:rPr>
          <w:sz w:val="22"/>
          <w:szCs w:val="22"/>
        </w:rPr>
      </w:pPr>
      <w:r w:rsidRPr="00B96E87">
        <w:rPr>
          <w:sz w:val="22"/>
          <w:szCs w:val="22"/>
        </w:rPr>
        <w:t>Where objectification turns women into images, commodification transforms those images into commodities. In capitalist culture, beauty is treated like a form of currency, and the female body becomes a key source of value. The way women are made into aesthetic objects has long been linked to economic systems</w:t>
      </w:r>
      <w:r>
        <w:rPr>
          <w:sz w:val="22"/>
          <w:szCs w:val="22"/>
        </w:rPr>
        <w:t xml:space="preserve">, this ideal </w:t>
      </w:r>
      <w:proofErr w:type="gramStart"/>
      <w:r>
        <w:rPr>
          <w:sz w:val="22"/>
          <w:szCs w:val="22"/>
        </w:rPr>
        <w:t>dates back to</w:t>
      </w:r>
      <w:proofErr w:type="gramEnd"/>
      <w:r>
        <w:rPr>
          <w:sz w:val="22"/>
          <w:szCs w:val="22"/>
        </w:rPr>
        <w:t xml:space="preserve"> </w:t>
      </w:r>
      <w:r w:rsidRPr="00B96E87">
        <w:rPr>
          <w:sz w:val="22"/>
          <w:szCs w:val="22"/>
        </w:rPr>
        <w:t>commissioned portraits in aristocratic Europe</w:t>
      </w:r>
      <w:r>
        <w:rPr>
          <w:sz w:val="22"/>
          <w:szCs w:val="22"/>
        </w:rPr>
        <w:t xml:space="preserve"> and continues all the way</w:t>
      </w:r>
      <w:r w:rsidRPr="00B96E87">
        <w:rPr>
          <w:sz w:val="22"/>
          <w:szCs w:val="22"/>
        </w:rPr>
        <w:t xml:space="preserve"> to today’s influencer culture.</w:t>
      </w:r>
      <w:r w:rsidR="00E35787">
        <w:rPr>
          <w:sz w:val="22"/>
          <w:szCs w:val="22"/>
        </w:rPr>
        <w:t xml:space="preserve"> In advertising, the commodification of the female is clearly seen, the ideals formed in fine art are transformed into modern day roles which collaborate to become advertising. The muse seen in art becomes the model and the subject becomes a sales pitch, the image of a woman is no longer just an aesthetic for pleasure, it becomes functional for the capitalist society. </w:t>
      </w:r>
      <w:r w:rsidR="009A4AEB">
        <w:rPr>
          <w:sz w:val="22"/>
          <w:szCs w:val="22"/>
        </w:rPr>
        <w:t>Her</w:t>
      </w:r>
      <w:r w:rsidR="00E35787">
        <w:rPr>
          <w:sz w:val="22"/>
          <w:szCs w:val="22"/>
        </w:rPr>
        <w:t xml:space="preserve"> function is to seduce, entice and sell</w:t>
      </w:r>
      <w:r w:rsidR="009A4AEB">
        <w:rPr>
          <w:sz w:val="22"/>
          <w:szCs w:val="22"/>
        </w:rPr>
        <w:t xml:space="preserve">, this is where the idea of the male gaze and the logic of capitalism meet. </w:t>
      </w:r>
    </w:p>
    <w:p w14:paraId="2BF57B09" w14:textId="45178B44" w:rsidR="00E10A52" w:rsidRDefault="00E10A52">
      <w:pPr>
        <w:rPr>
          <w:sz w:val="22"/>
          <w:szCs w:val="22"/>
        </w:rPr>
      </w:pPr>
    </w:p>
    <w:p w14:paraId="0E248BAF" w14:textId="33468B44" w:rsidR="00E10A52" w:rsidRDefault="00DB5618">
      <w:pPr>
        <w:rPr>
          <w:sz w:val="22"/>
          <w:szCs w:val="22"/>
        </w:rPr>
      </w:pPr>
      <w:r>
        <w:rPr>
          <w:noProof/>
        </w:rPr>
        <w:drawing>
          <wp:anchor distT="0" distB="0" distL="114300" distR="114300" simplePos="0" relativeHeight="251661312" behindDoc="1" locked="0" layoutInCell="1" allowOverlap="1" wp14:anchorId="00606A19" wp14:editId="67E15DE2">
            <wp:simplePos x="0" y="0"/>
            <wp:positionH relativeFrom="margin">
              <wp:posOffset>201930</wp:posOffset>
            </wp:positionH>
            <wp:positionV relativeFrom="paragraph">
              <wp:posOffset>5715</wp:posOffset>
            </wp:positionV>
            <wp:extent cx="3021330" cy="1887220"/>
            <wp:effectExtent l="0" t="0" r="7620" b="0"/>
            <wp:wrapTight wrapText="bothSides">
              <wp:wrapPolygon edited="0">
                <wp:start x="0" y="0"/>
                <wp:lineTo x="0" y="21367"/>
                <wp:lineTo x="21518" y="21367"/>
                <wp:lineTo x="21518" y="0"/>
                <wp:lineTo x="0" y="0"/>
              </wp:wrapPolygon>
            </wp:wrapTight>
            <wp:docPr id="848670123" name="Picture 1" descr="Controversial fashion ads | Daz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troversial fashion ads | Daz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21330" cy="1887220"/>
                    </a:xfrm>
                    <a:prstGeom prst="rect">
                      <a:avLst/>
                    </a:prstGeom>
                    <a:noFill/>
                    <a:ln>
                      <a:noFill/>
                    </a:ln>
                  </pic:spPr>
                </pic:pic>
              </a:graphicData>
            </a:graphic>
          </wp:anchor>
        </w:drawing>
      </w:r>
      <w:r>
        <w:rPr>
          <w:noProof/>
        </w:rPr>
        <w:drawing>
          <wp:anchor distT="0" distB="0" distL="114300" distR="114300" simplePos="0" relativeHeight="251662336" behindDoc="1" locked="0" layoutInCell="1" allowOverlap="1" wp14:anchorId="051BBB82" wp14:editId="17B51E81">
            <wp:simplePos x="0" y="0"/>
            <wp:positionH relativeFrom="column">
              <wp:posOffset>3702050</wp:posOffset>
            </wp:positionH>
            <wp:positionV relativeFrom="paragraph">
              <wp:posOffset>12065</wp:posOffset>
            </wp:positionV>
            <wp:extent cx="2759075" cy="1898650"/>
            <wp:effectExtent l="0" t="0" r="3175" b="6350"/>
            <wp:wrapTight wrapText="bothSides">
              <wp:wrapPolygon edited="0">
                <wp:start x="0" y="0"/>
                <wp:lineTo x="0" y="21456"/>
                <wp:lineTo x="21476" y="21456"/>
                <wp:lineTo x="21476" y="0"/>
                <wp:lineTo x="0" y="0"/>
              </wp:wrapPolygon>
            </wp:wrapTight>
            <wp:docPr id="1091938572" name="Picture 2" descr="Badvertising: Scent of a Woman? Tom Ford's Fragrance 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advertising: Scent of a Woman? Tom Ford's Fragrance A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59075" cy="1898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770074" w14:textId="7930064E" w:rsidR="00E10A52" w:rsidRDefault="00E10A52">
      <w:pPr>
        <w:rPr>
          <w:sz w:val="22"/>
          <w:szCs w:val="22"/>
        </w:rPr>
      </w:pPr>
    </w:p>
    <w:p w14:paraId="133CE1F1" w14:textId="77777777" w:rsidR="00E10A52" w:rsidRDefault="00E10A52">
      <w:pPr>
        <w:rPr>
          <w:sz w:val="22"/>
          <w:szCs w:val="22"/>
        </w:rPr>
      </w:pPr>
    </w:p>
    <w:p w14:paraId="267D16EF" w14:textId="77777777" w:rsidR="00E10A52" w:rsidRDefault="00E10A52">
      <w:pPr>
        <w:rPr>
          <w:sz w:val="22"/>
          <w:szCs w:val="22"/>
        </w:rPr>
      </w:pPr>
    </w:p>
    <w:p w14:paraId="2C2BE57B" w14:textId="77777777" w:rsidR="00E10A52" w:rsidRDefault="00E10A52">
      <w:pPr>
        <w:rPr>
          <w:sz w:val="22"/>
          <w:szCs w:val="22"/>
        </w:rPr>
      </w:pPr>
    </w:p>
    <w:p w14:paraId="1E356201" w14:textId="665DFF00" w:rsidR="00D8568E" w:rsidRDefault="00D8568E" w:rsidP="00443A71">
      <w:pPr>
        <w:rPr>
          <w:sz w:val="22"/>
          <w:szCs w:val="22"/>
        </w:rPr>
      </w:pPr>
    </w:p>
    <w:p w14:paraId="75F64AFC" w14:textId="046FB563" w:rsidR="00D8568E" w:rsidRDefault="00D8568E" w:rsidP="00D8568E">
      <w:pPr>
        <w:rPr>
          <w:sz w:val="22"/>
          <w:szCs w:val="22"/>
        </w:rPr>
      </w:pPr>
    </w:p>
    <w:p w14:paraId="035C6740" w14:textId="76697BF3" w:rsidR="00DB5618" w:rsidRDefault="00DB5618" w:rsidP="00DB5618">
      <w:pPr>
        <w:jc w:val="center"/>
        <w:rPr>
          <w:i/>
          <w:iCs/>
          <w:sz w:val="22"/>
          <w:szCs w:val="22"/>
        </w:rPr>
      </w:pPr>
      <w:r>
        <w:rPr>
          <w:i/>
          <w:iCs/>
          <w:sz w:val="22"/>
          <w:szCs w:val="22"/>
        </w:rPr>
        <w:t>Figure 4</w:t>
      </w:r>
    </w:p>
    <w:p w14:paraId="4EFB63C5" w14:textId="52858E94" w:rsidR="00DB5618" w:rsidRDefault="002F3FF7" w:rsidP="00D8568E">
      <w:pPr>
        <w:rPr>
          <w:sz w:val="22"/>
          <w:szCs w:val="22"/>
        </w:rPr>
      </w:pPr>
      <w:r w:rsidRPr="002F3FF7">
        <w:rPr>
          <w:sz w:val="22"/>
          <w:szCs w:val="22"/>
        </w:rPr>
        <w:t>The Tom Ford "For Men" (2007) advertisement is a stark, modern example of how the commodification of women in advertising mirrors long-standing practices in the history of art, particularly through a male gaze lens.</w:t>
      </w:r>
      <w:r>
        <w:rPr>
          <w:sz w:val="22"/>
          <w:szCs w:val="22"/>
        </w:rPr>
        <w:t xml:space="preserve"> This advert </w:t>
      </w:r>
      <w:r w:rsidR="002C6075">
        <w:rPr>
          <w:sz w:val="22"/>
          <w:szCs w:val="22"/>
        </w:rPr>
        <w:t xml:space="preserve">depicts a </w:t>
      </w:r>
      <w:r w:rsidR="004D1503">
        <w:rPr>
          <w:sz w:val="22"/>
          <w:szCs w:val="22"/>
        </w:rPr>
        <w:t>woman’s</w:t>
      </w:r>
      <w:r w:rsidR="004D1503">
        <w:rPr>
          <w:sz w:val="22"/>
          <w:szCs w:val="22"/>
        </w:rPr>
        <w:t xml:space="preserve"> </w:t>
      </w:r>
      <w:r w:rsidR="002C6075">
        <w:rPr>
          <w:sz w:val="22"/>
          <w:szCs w:val="22"/>
        </w:rPr>
        <w:t xml:space="preserve">oiled body with a perfume bottle seductively placed between </w:t>
      </w:r>
      <w:r w:rsidR="004D1503">
        <w:rPr>
          <w:sz w:val="22"/>
          <w:szCs w:val="22"/>
        </w:rPr>
        <w:t>her legs and</w:t>
      </w:r>
      <w:r w:rsidR="002C6075">
        <w:rPr>
          <w:sz w:val="22"/>
          <w:szCs w:val="22"/>
        </w:rPr>
        <w:t xml:space="preserve"> between her breasts. The</w:t>
      </w:r>
      <w:r w:rsidR="004D1503">
        <w:rPr>
          <w:sz w:val="22"/>
          <w:szCs w:val="22"/>
        </w:rPr>
        <w:t xml:space="preserve"> most</w:t>
      </w:r>
      <w:r w:rsidR="002C6075">
        <w:rPr>
          <w:sz w:val="22"/>
          <w:szCs w:val="22"/>
        </w:rPr>
        <w:t xml:space="preserve"> poignant part of this image is the cropping out of the woman’s face, by the composition of these images </w:t>
      </w:r>
      <w:proofErr w:type="gramStart"/>
      <w:r w:rsidR="002C6075">
        <w:rPr>
          <w:sz w:val="22"/>
          <w:szCs w:val="22"/>
        </w:rPr>
        <w:t>it is clear that this</w:t>
      </w:r>
      <w:proofErr w:type="gramEnd"/>
      <w:r w:rsidR="002C6075">
        <w:rPr>
          <w:sz w:val="22"/>
          <w:szCs w:val="22"/>
        </w:rPr>
        <w:t xml:space="preserve"> was a deliberate conceptual choice which </w:t>
      </w:r>
      <w:r w:rsidR="004D1503">
        <w:rPr>
          <w:sz w:val="22"/>
          <w:szCs w:val="22"/>
        </w:rPr>
        <w:t xml:space="preserve">reinforces the idea that </w:t>
      </w:r>
      <w:r w:rsidR="002C6075">
        <w:rPr>
          <w:sz w:val="22"/>
          <w:szCs w:val="22"/>
        </w:rPr>
        <w:t>women are commodified as objects for the success of a brand.</w:t>
      </w:r>
      <w:r>
        <w:rPr>
          <w:sz w:val="22"/>
          <w:szCs w:val="22"/>
        </w:rPr>
        <w:t xml:space="preserve"> The most sickening part of this advert to me is how the woman’s body is used as a platform to present the product, a literal surface to sell the product </w:t>
      </w:r>
      <w:proofErr w:type="gramStart"/>
      <w:r w:rsidR="004D1503">
        <w:rPr>
          <w:sz w:val="22"/>
          <w:szCs w:val="22"/>
        </w:rPr>
        <w:t>off of</w:t>
      </w:r>
      <w:proofErr w:type="gramEnd"/>
      <w:r>
        <w:rPr>
          <w:sz w:val="22"/>
          <w:szCs w:val="22"/>
        </w:rPr>
        <w:t>.</w:t>
      </w:r>
      <w:r w:rsidR="004D1503">
        <w:rPr>
          <w:sz w:val="22"/>
          <w:szCs w:val="22"/>
        </w:rPr>
        <w:t xml:space="preserve"> This choice of framing seems to work to erase her identity and reduce her to purely a sexualised body part.</w:t>
      </w:r>
      <w:r>
        <w:rPr>
          <w:sz w:val="22"/>
          <w:szCs w:val="22"/>
        </w:rPr>
        <w:t xml:space="preserve"> </w:t>
      </w:r>
      <w:r w:rsidRPr="002F3FF7">
        <w:rPr>
          <w:sz w:val="22"/>
          <w:szCs w:val="22"/>
        </w:rPr>
        <w:t>This echoes Laura Mulvey’s theory of the "male gaze", where women in media are often depicted for male pleasure and visual consumption, not as active subjects with control over their own image.</w:t>
      </w:r>
      <w:r>
        <w:rPr>
          <w:sz w:val="22"/>
          <w:szCs w:val="22"/>
        </w:rPr>
        <w:t xml:space="preserve"> (Mulvey, 2015)</w:t>
      </w:r>
      <w:r w:rsidR="004D1503">
        <w:rPr>
          <w:sz w:val="22"/>
          <w:szCs w:val="22"/>
        </w:rPr>
        <w:t xml:space="preserve"> Just like many famous nude paintings in art history, like those discussed previously in this essay, the woman depicted in this perfume advert id being displayed not as herself but as something to be looked at and possessed. The framing of this image appears to dehumanise her by stripping away her personality, emotion and autonomy and turning her into a visual tool, this links back to the previously discussed point made by </w:t>
      </w:r>
      <w:r w:rsidR="004D1503">
        <w:rPr>
          <w:sz w:val="22"/>
          <w:szCs w:val="22"/>
        </w:rPr>
        <w:t xml:space="preserve">Martha </w:t>
      </w:r>
      <w:proofErr w:type="spellStart"/>
      <w:r w:rsidR="004D1503">
        <w:rPr>
          <w:sz w:val="22"/>
          <w:szCs w:val="22"/>
        </w:rPr>
        <w:t>Nassbaum</w:t>
      </w:r>
      <w:proofErr w:type="spellEnd"/>
      <w:r w:rsidR="004D1503">
        <w:rPr>
          <w:sz w:val="22"/>
          <w:szCs w:val="22"/>
        </w:rPr>
        <w:t xml:space="preserve"> about women being used as tools </w:t>
      </w:r>
      <w:r w:rsidR="004D1503">
        <w:rPr>
          <w:sz w:val="22"/>
          <w:szCs w:val="22"/>
        </w:rPr>
        <w:t>(</w:t>
      </w:r>
      <w:proofErr w:type="spellStart"/>
      <w:r w:rsidR="004D1503">
        <w:rPr>
          <w:sz w:val="22"/>
          <w:szCs w:val="22"/>
        </w:rPr>
        <w:t>Nassbaum</w:t>
      </w:r>
      <w:proofErr w:type="spellEnd"/>
      <w:r w:rsidR="004D1503">
        <w:rPr>
          <w:sz w:val="22"/>
          <w:szCs w:val="22"/>
        </w:rPr>
        <w:t xml:space="preserve"> 1995)</w:t>
      </w:r>
      <w:r w:rsidR="004D1503">
        <w:rPr>
          <w:sz w:val="22"/>
          <w:szCs w:val="22"/>
        </w:rPr>
        <w:t xml:space="preserve">. The positioning of the bottle in relation to the woman’s body also seems to </w:t>
      </w:r>
      <w:r w:rsidR="00102C2F">
        <w:rPr>
          <w:sz w:val="22"/>
          <w:szCs w:val="22"/>
        </w:rPr>
        <w:t xml:space="preserve">suggest that this product is not just a perfume but a promise of access to the female body and sexual reward, this idea fits into the </w:t>
      </w:r>
      <w:r w:rsidR="00C23951">
        <w:rPr>
          <w:sz w:val="22"/>
          <w:szCs w:val="22"/>
        </w:rPr>
        <w:t>capitalist</w:t>
      </w:r>
      <w:r w:rsidR="00102C2F">
        <w:rPr>
          <w:sz w:val="22"/>
          <w:szCs w:val="22"/>
        </w:rPr>
        <w:t xml:space="preserve"> tradition of commodifying women as both marketing tools and as implied rewards.</w:t>
      </w:r>
    </w:p>
    <w:p w14:paraId="0CAA7492" w14:textId="77777777" w:rsidR="00981711" w:rsidRDefault="00981711" w:rsidP="00D8568E">
      <w:pPr>
        <w:rPr>
          <w:sz w:val="22"/>
          <w:szCs w:val="22"/>
        </w:rPr>
      </w:pPr>
      <w:r w:rsidRPr="00981711">
        <w:rPr>
          <w:sz w:val="22"/>
          <w:szCs w:val="22"/>
        </w:rPr>
        <w:t xml:space="preserve">A feminist art collective known for their bold activism, the Guerrilla Girls use anonymity, </w:t>
      </w:r>
      <w:r>
        <w:rPr>
          <w:sz w:val="22"/>
          <w:szCs w:val="22"/>
        </w:rPr>
        <w:t>comedy</w:t>
      </w:r>
      <w:r w:rsidRPr="00981711">
        <w:rPr>
          <w:sz w:val="22"/>
          <w:szCs w:val="22"/>
        </w:rPr>
        <w:t xml:space="preserve">, and protest to </w:t>
      </w:r>
      <w:r>
        <w:rPr>
          <w:sz w:val="22"/>
          <w:szCs w:val="22"/>
        </w:rPr>
        <w:t>directly challenge the</w:t>
      </w:r>
      <w:r w:rsidRPr="00981711">
        <w:rPr>
          <w:sz w:val="22"/>
          <w:szCs w:val="22"/>
        </w:rPr>
        <w:t xml:space="preserve"> commodification of women in the art world</w:t>
      </w:r>
      <w:r>
        <w:rPr>
          <w:sz w:val="22"/>
          <w:szCs w:val="22"/>
        </w:rPr>
        <w:t xml:space="preserve">. Their 1989 poster “Do women have to be naked to get into the Met. Museum?” directly critiques how women’s bodies are used as visual commodities in art institutions. </w:t>
      </w:r>
    </w:p>
    <w:p w14:paraId="0C102AFB" w14:textId="4FA8A715" w:rsidR="00C23951" w:rsidRDefault="00981711" w:rsidP="00D8568E">
      <w:pPr>
        <w:rPr>
          <w:sz w:val="22"/>
          <w:szCs w:val="22"/>
        </w:rPr>
      </w:pPr>
      <w:r>
        <w:rPr>
          <w:noProof/>
        </w:rPr>
        <w:lastRenderedPageBreak/>
        <w:drawing>
          <wp:inline distT="0" distB="0" distL="0" distR="0" wp14:anchorId="046C5ED6" wp14:editId="040A7220">
            <wp:extent cx="6645910" cy="2627630"/>
            <wp:effectExtent l="0" t="0" r="2540" b="1270"/>
            <wp:docPr id="525527385" name="Picture 3" descr="P78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7879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645910" cy="2627630"/>
                    </a:xfrm>
                    <a:prstGeom prst="rect">
                      <a:avLst/>
                    </a:prstGeom>
                    <a:noFill/>
                    <a:ln>
                      <a:noFill/>
                    </a:ln>
                  </pic:spPr>
                </pic:pic>
              </a:graphicData>
            </a:graphic>
          </wp:inline>
        </w:drawing>
      </w:r>
      <w:r>
        <w:rPr>
          <w:sz w:val="22"/>
          <w:szCs w:val="22"/>
        </w:rPr>
        <w:t xml:space="preserve"> </w:t>
      </w:r>
    </w:p>
    <w:p w14:paraId="2937F050" w14:textId="36FD5D89" w:rsidR="00C23951" w:rsidRDefault="00981711" w:rsidP="00981711">
      <w:pPr>
        <w:jc w:val="center"/>
        <w:rPr>
          <w:i/>
          <w:iCs/>
          <w:sz w:val="22"/>
          <w:szCs w:val="22"/>
        </w:rPr>
      </w:pPr>
      <w:r w:rsidRPr="00981711">
        <w:rPr>
          <w:i/>
          <w:iCs/>
          <w:sz w:val="22"/>
          <w:szCs w:val="22"/>
        </w:rPr>
        <w:t>Figure 5</w:t>
      </w:r>
    </w:p>
    <w:p w14:paraId="07A07B97" w14:textId="564EF555" w:rsidR="00981711" w:rsidRPr="00981711" w:rsidRDefault="00981711" w:rsidP="00981711">
      <w:pPr>
        <w:rPr>
          <w:sz w:val="22"/>
          <w:szCs w:val="22"/>
        </w:rPr>
      </w:pPr>
      <w:r>
        <w:rPr>
          <w:sz w:val="22"/>
          <w:szCs w:val="22"/>
        </w:rPr>
        <w:t xml:space="preserve">This poster includes an adapted version of Ingres’ La Grande Odalisque </w:t>
      </w:r>
    </w:p>
    <w:p w14:paraId="5A1AB45A" w14:textId="77777777" w:rsidR="00C23951" w:rsidRDefault="00C23951" w:rsidP="00D8568E">
      <w:pPr>
        <w:rPr>
          <w:sz w:val="22"/>
          <w:szCs w:val="22"/>
        </w:rPr>
      </w:pPr>
    </w:p>
    <w:p w14:paraId="1DB6B26D" w14:textId="77777777" w:rsidR="00C23951" w:rsidRDefault="00C23951" w:rsidP="00D8568E">
      <w:pPr>
        <w:rPr>
          <w:sz w:val="22"/>
          <w:szCs w:val="22"/>
        </w:rPr>
      </w:pPr>
    </w:p>
    <w:p w14:paraId="4C56FD53" w14:textId="77777777" w:rsidR="00C23951" w:rsidRDefault="00C23951" w:rsidP="00D8568E">
      <w:pPr>
        <w:rPr>
          <w:sz w:val="22"/>
          <w:szCs w:val="22"/>
        </w:rPr>
      </w:pPr>
    </w:p>
    <w:p w14:paraId="23B224E4" w14:textId="77777777" w:rsidR="00C23951" w:rsidRDefault="00C23951" w:rsidP="00D8568E">
      <w:pPr>
        <w:rPr>
          <w:sz w:val="22"/>
          <w:szCs w:val="22"/>
        </w:rPr>
      </w:pPr>
    </w:p>
    <w:p w14:paraId="635BD28B" w14:textId="77777777" w:rsidR="00DB5618" w:rsidRDefault="00DB5618" w:rsidP="00D8568E">
      <w:pPr>
        <w:rPr>
          <w:sz w:val="22"/>
          <w:szCs w:val="22"/>
        </w:rPr>
      </w:pPr>
    </w:p>
    <w:p w14:paraId="04A7A6A7" w14:textId="7DFC748B" w:rsidR="00D8568E" w:rsidRDefault="00D8568E" w:rsidP="00D8568E">
      <w:pPr>
        <w:rPr>
          <w:sz w:val="22"/>
          <w:szCs w:val="22"/>
        </w:rPr>
      </w:pPr>
      <w:r>
        <w:rPr>
          <w:sz w:val="22"/>
          <w:szCs w:val="22"/>
        </w:rPr>
        <w:t>citations</w:t>
      </w:r>
    </w:p>
    <w:p w14:paraId="2EB106F2" w14:textId="1B406170" w:rsidR="00D8568E" w:rsidRDefault="00D8568E" w:rsidP="00D8568E">
      <w:pPr>
        <w:rPr>
          <w:b/>
          <w:bCs/>
          <w:sz w:val="22"/>
          <w:szCs w:val="22"/>
        </w:rPr>
      </w:pPr>
      <w:r w:rsidRPr="00D8568E">
        <w:rPr>
          <w:b/>
          <w:bCs/>
          <w:sz w:val="22"/>
          <w:szCs w:val="22"/>
        </w:rPr>
        <w:t xml:space="preserve">Berger, J. (2008) </w:t>
      </w:r>
      <w:r w:rsidRPr="00D8568E">
        <w:rPr>
          <w:b/>
          <w:bCs/>
          <w:i/>
          <w:iCs/>
          <w:sz w:val="22"/>
          <w:szCs w:val="22"/>
        </w:rPr>
        <w:t>Ways of seeing</w:t>
      </w:r>
      <w:r w:rsidRPr="00D8568E">
        <w:rPr>
          <w:b/>
          <w:bCs/>
          <w:sz w:val="22"/>
          <w:szCs w:val="22"/>
        </w:rPr>
        <w:t>. London: Penguin.</w:t>
      </w:r>
    </w:p>
    <w:p w14:paraId="4178DDEB" w14:textId="2FB62F00" w:rsidR="00480683" w:rsidRPr="00480683" w:rsidRDefault="00480683" w:rsidP="00480683">
      <w:pPr>
        <w:rPr>
          <w:b/>
          <w:bCs/>
          <w:sz w:val="22"/>
          <w:szCs w:val="22"/>
        </w:rPr>
      </w:pPr>
      <w:r w:rsidRPr="00480683">
        <w:rPr>
          <w:b/>
          <w:bCs/>
          <w:sz w:val="22"/>
          <w:szCs w:val="22"/>
        </w:rPr>
        <w:t>Varsity Online. (2025). </w:t>
      </w:r>
      <w:r w:rsidRPr="00480683">
        <w:rPr>
          <w:b/>
          <w:bCs/>
          <w:i/>
          <w:iCs/>
          <w:sz w:val="22"/>
          <w:szCs w:val="22"/>
        </w:rPr>
        <w:t>The paradox of the female muse</w:t>
      </w:r>
      <w:r w:rsidRPr="00480683">
        <w:rPr>
          <w:b/>
          <w:bCs/>
          <w:sz w:val="22"/>
          <w:szCs w:val="22"/>
        </w:rPr>
        <w:t>. [online] Available at: https://www.varsity.co.uk/arts/23173?utm_source=chatgpt.com</w:t>
      </w:r>
    </w:p>
    <w:p w14:paraId="6F8BD650" w14:textId="2DDEB5AE" w:rsidR="00450BFC" w:rsidRDefault="00480683" w:rsidP="00450BFC">
      <w:pPr>
        <w:rPr>
          <w:b/>
          <w:bCs/>
          <w:sz w:val="22"/>
          <w:szCs w:val="22"/>
        </w:rPr>
      </w:pPr>
      <w:r w:rsidRPr="00480683">
        <w:rPr>
          <w:b/>
          <w:bCs/>
          <w:sz w:val="22"/>
          <w:szCs w:val="22"/>
        </w:rPr>
        <w:t>‌</w:t>
      </w:r>
      <w:r w:rsidR="00450BFC" w:rsidRPr="00450BFC">
        <w:rPr>
          <w:b/>
          <w:bCs/>
          <w:sz w:val="22"/>
          <w:szCs w:val="22"/>
        </w:rPr>
        <w:t xml:space="preserve">NUSSBAUM, M.C. (1995) ‘Objectification’, </w:t>
      </w:r>
      <w:r w:rsidR="00450BFC" w:rsidRPr="00450BFC">
        <w:rPr>
          <w:b/>
          <w:bCs/>
          <w:i/>
          <w:iCs/>
          <w:sz w:val="22"/>
          <w:szCs w:val="22"/>
        </w:rPr>
        <w:t>Philosophy &amp; public affairs</w:t>
      </w:r>
      <w:r w:rsidR="00450BFC" w:rsidRPr="00450BFC">
        <w:rPr>
          <w:b/>
          <w:bCs/>
          <w:sz w:val="22"/>
          <w:szCs w:val="22"/>
        </w:rPr>
        <w:t xml:space="preserve">, 24(4), pp. 249–291. Available at: </w:t>
      </w:r>
      <w:hyperlink r:id="rId15" w:history="1">
        <w:r w:rsidR="00611F63" w:rsidRPr="00F47E75">
          <w:rPr>
            <w:rStyle w:val="Hyperlink"/>
            <w:b/>
            <w:bCs/>
            <w:sz w:val="22"/>
            <w:szCs w:val="22"/>
          </w:rPr>
          <w:t>https://doi.org/10.1111/j.1088-4963.1995.tb00032.x</w:t>
        </w:r>
      </w:hyperlink>
      <w:r w:rsidR="00450BFC" w:rsidRPr="00450BFC">
        <w:rPr>
          <w:b/>
          <w:bCs/>
          <w:sz w:val="22"/>
          <w:szCs w:val="22"/>
        </w:rPr>
        <w:t>.</w:t>
      </w:r>
    </w:p>
    <w:p w14:paraId="5A92AF8F" w14:textId="2701CAB0" w:rsidR="002F3FF7" w:rsidRDefault="002F3FF7" w:rsidP="00450BFC">
      <w:pPr>
        <w:rPr>
          <w:b/>
          <w:bCs/>
          <w:sz w:val="22"/>
          <w:szCs w:val="22"/>
        </w:rPr>
      </w:pPr>
      <w:r w:rsidRPr="002F3FF7">
        <w:rPr>
          <w:b/>
          <w:bCs/>
          <w:sz w:val="22"/>
          <w:szCs w:val="22"/>
        </w:rPr>
        <w:t xml:space="preserve">Mulvey, L., Anna Backman Rogers and Annie van den </w:t>
      </w:r>
      <w:proofErr w:type="spellStart"/>
      <w:r w:rsidRPr="002F3FF7">
        <w:rPr>
          <w:b/>
          <w:bCs/>
          <w:sz w:val="22"/>
          <w:szCs w:val="22"/>
        </w:rPr>
        <w:t>Oever</w:t>
      </w:r>
      <w:proofErr w:type="spellEnd"/>
      <w:r w:rsidRPr="002F3FF7">
        <w:rPr>
          <w:b/>
          <w:bCs/>
          <w:sz w:val="22"/>
          <w:szCs w:val="22"/>
        </w:rPr>
        <w:t xml:space="preserve"> (2015) ‘Feminist film studies 40 years after “Visual Pleasure and Narrative Cinema”, a </w:t>
      </w:r>
      <w:proofErr w:type="spellStart"/>
      <w:r w:rsidRPr="002F3FF7">
        <w:rPr>
          <w:b/>
          <w:bCs/>
          <w:sz w:val="22"/>
          <w:szCs w:val="22"/>
        </w:rPr>
        <w:t>triologue</w:t>
      </w:r>
      <w:proofErr w:type="spellEnd"/>
      <w:r w:rsidRPr="002F3FF7">
        <w:rPr>
          <w:b/>
          <w:bCs/>
          <w:sz w:val="22"/>
          <w:szCs w:val="22"/>
        </w:rPr>
        <w:t xml:space="preserve">’, </w:t>
      </w:r>
      <w:r w:rsidRPr="002F3FF7">
        <w:rPr>
          <w:b/>
          <w:bCs/>
          <w:i/>
          <w:iCs/>
          <w:sz w:val="22"/>
          <w:szCs w:val="22"/>
        </w:rPr>
        <w:t>NECSUS</w:t>
      </w:r>
      <w:r w:rsidRPr="002F3FF7">
        <w:rPr>
          <w:b/>
          <w:bCs/>
          <w:sz w:val="22"/>
          <w:szCs w:val="22"/>
        </w:rPr>
        <w:t>, 4(1), pp. 67–79. Available at: https://doi.org/10.5117/NECSUS2015.1.MULV.</w:t>
      </w:r>
    </w:p>
    <w:p w14:paraId="0EA3D894" w14:textId="545082C9" w:rsidR="00611F63" w:rsidRPr="00611F63" w:rsidRDefault="00611F63" w:rsidP="00611F63">
      <w:pPr>
        <w:rPr>
          <w:b/>
          <w:bCs/>
          <w:sz w:val="22"/>
          <w:szCs w:val="22"/>
        </w:rPr>
      </w:pPr>
      <w:r w:rsidRPr="00611F63">
        <w:rPr>
          <w:b/>
          <w:bCs/>
          <w:sz w:val="22"/>
          <w:szCs w:val="22"/>
        </w:rPr>
        <w:t xml:space="preserve">Museo </w:t>
      </w:r>
      <w:proofErr w:type="spellStart"/>
      <w:r w:rsidRPr="00611F63">
        <w:rPr>
          <w:b/>
          <w:bCs/>
          <w:sz w:val="22"/>
          <w:szCs w:val="22"/>
        </w:rPr>
        <w:t>Jumex</w:t>
      </w:r>
      <w:proofErr w:type="spellEnd"/>
      <w:r w:rsidRPr="00611F63">
        <w:rPr>
          <w:b/>
          <w:bCs/>
          <w:sz w:val="22"/>
          <w:szCs w:val="22"/>
        </w:rPr>
        <w:t>. (2025). </w:t>
      </w:r>
      <w:r w:rsidRPr="00611F63">
        <w:rPr>
          <w:b/>
          <w:bCs/>
          <w:i/>
          <w:iCs/>
          <w:sz w:val="22"/>
          <w:szCs w:val="22"/>
        </w:rPr>
        <w:t xml:space="preserve">S.O.S. </w:t>
      </w:r>
      <w:proofErr w:type="spellStart"/>
      <w:r w:rsidRPr="00611F63">
        <w:rPr>
          <w:b/>
          <w:bCs/>
          <w:i/>
          <w:iCs/>
          <w:sz w:val="22"/>
          <w:szCs w:val="22"/>
        </w:rPr>
        <w:t>Starification</w:t>
      </w:r>
      <w:proofErr w:type="spellEnd"/>
      <w:r w:rsidRPr="00611F63">
        <w:rPr>
          <w:b/>
          <w:bCs/>
          <w:i/>
          <w:iCs/>
          <w:sz w:val="22"/>
          <w:szCs w:val="22"/>
        </w:rPr>
        <w:t xml:space="preserve"> (Object Series) - Museo </w:t>
      </w:r>
      <w:proofErr w:type="spellStart"/>
      <w:r w:rsidRPr="00611F63">
        <w:rPr>
          <w:b/>
          <w:bCs/>
          <w:i/>
          <w:iCs/>
          <w:sz w:val="22"/>
          <w:szCs w:val="22"/>
        </w:rPr>
        <w:t>Jumex</w:t>
      </w:r>
      <w:proofErr w:type="spellEnd"/>
      <w:r w:rsidRPr="00611F63">
        <w:rPr>
          <w:b/>
          <w:bCs/>
          <w:sz w:val="22"/>
          <w:szCs w:val="22"/>
        </w:rPr>
        <w:t xml:space="preserve">. [online] Available at: https://www.fundacionjumex.org/en/fundacion/coleccion/282-s-o-s-starification-object-series </w:t>
      </w:r>
    </w:p>
    <w:p w14:paraId="3EB862AF" w14:textId="77777777" w:rsidR="00611F63" w:rsidRPr="00611F63" w:rsidRDefault="00611F63" w:rsidP="00611F63">
      <w:pPr>
        <w:rPr>
          <w:b/>
          <w:bCs/>
          <w:sz w:val="22"/>
          <w:szCs w:val="22"/>
        </w:rPr>
      </w:pPr>
      <w:r w:rsidRPr="00611F63">
        <w:rPr>
          <w:b/>
          <w:bCs/>
          <w:sz w:val="22"/>
          <w:szCs w:val="22"/>
        </w:rPr>
        <w:t>‌</w:t>
      </w:r>
    </w:p>
    <w:p w14:paraId="2C29CE26" w14:textId="77777777" w:rsidR="00611F63" w:rsidRPr="00450BFC" w:rsidRDefault="00611F63" w:rsidP="00450BFC">
      <w:pPr>
        <w:rPr>
          <w:b/>
          <w:bCs/>
          <w:sz w:val="22"/>
          <w:szCs w:val="22"/>
        </w:rPr>
      </w:pPr>
    </w:p>
    <w:p w14:paraId="54E65497" w14:textId="62A9C0E2" w:rsidR="00480683" w:rsidRPr="00480683" w:rsidRDefault="00480683" w:rsidP="00480683">
      <w:pPr>
        <w:rPr>
          <w:b/>
          <w:bCs/>
          <w:sz w:val="22"/>
          <w:szCs w:val="22"/>
        </w:rPr>
      </w:pPr>
    </w:p>
    <w:p w14:paraId="26843ECA" w14:textId="77777777" w:rsidR="00480683" w:rsidRPr="00D8568E" w:rsidRDefault="00480683" w:rsidP="00D8568E">
      <w:pPr>
        <w:rPr>
          <w:b/>
          <w:bCs/>
          <w:sz w:val="22"/>
          <w:szCs w:val="22"/>
        </w:rPr>
      </w:pPr>
    </w:p>
    <w:p w14:paraId="7230A062" w14:textId="6B4FF852" w:rsidR="00D8568E" w:rsidRDefault="00D8568E">
      <w:pPr>
        <w:rPr>
          <w:sz w:val="22"/>
          <w:szCs w:val="22"/>
        </w:rPr>
      </w:pPr>
    </w:p>
    <w:p w14:paraId="12816B58" w14:textId="77777777" w:rsidR="00171E3A" w:rsidRPr="00D8568E" w:rsidRDefault="00171E3A" w:rsidP="00443A71">
      <w:pPr>
        <w:rPr>
          <w:b/>
          <w:bCs/>
          <w:sz w:val="22"/>
          <w:szCs w:val="22"/>
        </w:rPr>
      </w:pPr>
    </w:p>
    <w:p w14:paraId="36EF9D43" w14:textId="77777777" w:rsidR="00171E3A" w:rsidRDefault="00171E3A" w:rsidP="00443A71">
      <w:pPr>
        <w:rPr>
          <w:sz w:val="22"/>
          <w:szCs w:val="22"/>
        </w:rPr>
      </w:pPr>
    </w:p>
    <w:p w14:paraId="059DDFFF" w14:textId="77777777" w:rsidR="00171E3A" w:rsidRDefault="00171E3A" w:rsidP="00443A71">
      <w:pPr>
        <w:rPr>
          <w:sz w:val="22"/>
          <w:szCs w:val="22"/>
        </w:rPr>
      </w:pPr>
    </w:p>
    <w:p w14:paraId="641115A0" w14:textId="77777777" w:rsidR="00171E3A" w:rsidRDefault="00171E3A" w:rsidP="00443A71">
      <w:pPr>
        <w:rPr>
          <w:sz w:val="22"/>
          <w:szCs w:val="22"/>
        </w:rPr>
      </w:pPr>
    </w:p>
    <w:p w14:paraId="7A6AB477" w14:textId="77777777" w:rsidR="00DA7C0B" w:rsidRPr="00904BDE" w:rsidRDefault="00DA7C0B" w:rsidP="00443A71">
      <w:pPr>
        <w:rPr>
          <w:sz w:val="22"/>
          <w:szCs w:val="22"/>
        </w:rPr>
      </w:pPr>
    </w:p>
    <w:sectPr w:rsidR="00DA7C0B" w:rsidRPr="00904BDE" w:rsidSect="00FC3E3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D0678"/>
    <w:multiLevelType w:val="hybridMultilevel"/>
    <w:tmpl w:val="9490D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8229E"/>
    <w:multiLevelType w:val="hybridMultilevel"/>
    <w:tmpl w:val="749ADABC"/>
    <w:lvl w:ilvl="0" w:tplc="2E84CD74">
      <w:numFmt w:val="bullet"/>
      <w:lvlText w:val="-"/>
      <w:lvlJc w:val="left"/>
      <w:pPr>
        <w:ind w:left="2520" w:hanging="360"/>
      </w:pPr>
      <w:rPr>
        <w:rFonts w:ascii="Aptos" w:eastAsiaTheme="minorHAnsi" w:hAnsi="Aptos" w:cstheme="minorBid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num w:numId="1" w16cid:durableId="1737121835">
    <w:abstractNumId w:val="0"/>
  </w:num>
  <w:num w:numId="2" w16cid:durableId="5744327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5E2"/>
    <w:rsid w:val="000371E4"/>
    <w:rsid w:val="00090F5E"/>
    <w:rsid w:val="000B5519"/>
    <w:rsid w:val="000F0861"/>
    <w:rsid w:val="00102C2F"/>
    <w:rsid w:val="0013723D"/>
    <w:rsid w:val="00171E3A"/>
    <w:rsid w:val="001A0C6C"/>
    <w:rsid w:val="001C0203"/>
    <w:rsid w:val="001E7498"/>
    <w:rsid w:val="00201D67"/>
    <w:rsid w:val="002137B9"/>
    <w:rsid w:val="002155E2"/>
    <w:rsid w:val="00217E06"/>
    <w:rsid w:val="00257A83"/>
    <w:rsid w:val="00260F32"/>
    <w:rsid w:val="002B38A2"/>
    <w:rsid w:val="002C6075"/>
    <w:rsid w:val="002F2C96"/>
    <w:rsid w:val="002F3FF7"/>
    <w:rsid w:val="002F6834"/>
    <w:rsid w:val="00383E5C"/>
    <w:rsid w:val="003A71B6"/>
    <w:rsid w:val="003D08EC"/>
    <w:rsid w:val="00426CF5"/>
    <w:rsid w:val="00443A71"/>
    <w:rsid w:val="00450BFC"/>
    <w:rsid w:val="00480673"/>
    <w:rsid w:val="00480683"/>
    <w:rsid w:val="00484AD2"/>
    <w:rsid w:val="004912FC"/>
    <w:rsid w:val="004D1503"/>
    <w:rsid w:val="00531EAA"/>
    <w:rsid w:val="0055475A"/>
    <w:rsid w:val="005556DD"/>
    <w:rsid w:val="005A47D0"/>
    <w:rsid w:val="005A7AE8"/>
    <w:rsid w:val="005D484A"/>
    <w:rsid w:val="00611F63"/>
    <w:rsid w:val="00675837"/>
    <w:rsid w:val="006E2917"/>
    <w:rsid w:val="006E5F69"/>
    <w:rsid w:val="006F0466"/>
    <w:rsid w:val="00774494"/>
    <w:rsid w:val="00861B42"/>
    <w:rsid w:val="00897DF6"/>
    <w:rsid w:val="008A12CC"/>
    <w:rsid w:val="008B685B"/>
    <w:rsid w:val="008E2E0A"/>
    <w:rsid w:val="00900948"/>
    <w:rsid w:val="00904BDE"/>
    <w:rsid w:val="00916F8A"/>
    <w:rsid w:val="0094547D"/>
    <w:rsid w:val="00981711"/>
    <w:rsid w:val="0098557C"/>
    <w:rsid w:val="009876D3"/>
    <w:rsid w:val="009A4AEB"/>
    <w:rsid w:val="009F2FA5"/>
    <w:rsid w:val="00A26754"/>
    <w:rsid w:val="00A60A9D"/>
    <w:rsid w:val="00B31965"/>
    <w:rsid w:val="00B90CEB"/>
    <w:rsid w:val="00B96E87"/>
    <w:rsid w:val="00BF1875"/>
    <w:rsid w:val="00C23951"/>
    <w:rsid w:val="00CA1491"/>
    <w:rsid w:val="00CB50C2"/>
    <w:rsid w:val="00CE7913"/>
    <w:rsid w:val="00D8568E"/>
    <w:rsid w:val="00D85CAE"/>
    <w:rsid w:val="00D87598"/>
    <w:rsid w:val="00D87849"/>
    <w:rsid w:val="00DA7C0B"/>
    <w:rsid w:val="00DB5618"/>
    <w:rsid w:val="00DC7D17"/>
    <w:rsid w:val="00DE06D8"/>
    <w:rsid w:val="00DE2CAF"/>
    <w:rsid w:val="00E101C5"/>
    <w:rsid w:val="00E10A52"/>
    <w:rsid w:val="00E35787"/>
    <w:rsid w:val="00E45A35"/>
    <w:rsid w:val="00E610A9"/>
    <w:rsid w:val="00EB58A7"/>
    <w:rsid w:val="00EC7221"/>
    <w:rsid w:val="00EE0BE0"/>
    <w:rsid w:val="00EF5426"/>
    <w:rsid w:val="00F0288A"/>
    <w:rsid w:val="00F36213"/>
    <w:rsid w:val="00F44D5C"/>
    <w:rsid w:val="00F83E89"/>
    <w:rsid w:val="00F917D4"/>
    <w:rsid w:val="00FC26F1"/>
    <w:rsid w:val="00FC3E37"/>
    <w:rsid w:val="00FC46D1"/>
    <w:rsid w:val="3B0C0710"/>
    <w:rsid w:val="41F26CC4"/>
    <w:rsid w:val="7137D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31FAA"/>
  <w15:chartTrackingRefBased/>
  <w15:docId w15:val="{52186070-8327-4CA7-8359-E83130063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55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55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55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55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5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5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5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5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5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5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55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5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5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5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5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5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5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5E2"/>
    <w:rPr>
      <w:rFonts w:eastAsiaTheme="majorEastAsia" w:cstheme="majorBidi"/>
      <w:color w:val="272727" w:themeColor="text1" w:themeTint="D8"/>
    </w:rPr>
  </w:style>
  <w:style w:type="paragraph" w:styleId="Title">
    <w:name w:val="Title"/>
    <w:basedOn w:val="Normal"/>
    <w:next w:val="Normal"/>
    <w:link w:val="TitleChar"/>
    <w:uiPriority w:val="10"/>
    <w:qFormat/>
    <w:rsid w:val="002155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5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5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5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5E2"/>
    <w:pPr>
      <w:spacing w:before="160"/>
      <w:jc w:val="center"/>
    </w:pPr>
    <w:rPr>
      <w:i/>
      <w:iCs/>
      <w:color w:val="404040" w:themeColor="text1" w:themeTint="BF"/>
    </w:rPr>
  </w:style>
  <w:style w:type="character" w:customStyle="1" w:styleId="QuoteChar">
    <w:name w:val="Quote Char"/>
    <w:basedOn w:val="DefaultParagraphFont"/>
    <w:link w:val="Quote"/>
    <w:uiPriority w:val="29"/>
    <w:rsid w:val="002155E2"/>
    <w:rPr>
      <w:i/>
      <w:iCs/>
      <w:color w:val="404040" w:themeColor="text1" w:themeTint="BF"/>
    </w:rPr>
  </w:style>
  <w:style w:type="paragraph" w:styleId="ListParagraph">
    <w:name w:val="List Paragraph"/>
    <w:basedOn w:val="Normal"/>
    <w:uiPriority w:val="34"/>
    <w:qFormat/>
    <w:rsid w:val="002155E2"/>
    <w:pPr>
      <w:ind w:left="720"/>
      <w:contextualSpacing/>
    </w:pPr>
  </w:style>
  <w:style w:type="character" w:styleId="IntenseEmphasis">
    <w:name w:val="Intense Emphasis"/>
    <w:basedOn w:val="DefaultParagraphFont"/>
    <w:uiPriority w:val="21"/>
    <w:qFormat/>
    <w:rsid w:val="002155E2"/>
    <w:rPr>
      <w:i/>
      <w:iCs/>
      <w:color w:val="0F4761" w:themeColor="accent1" w:themeShade="BF"/>
    </w:rPr>
  </w:style>
  <w:style w:type="paragraph" w:styleId="IntenseQuote">
    <w:name w:val="Intense Quote"/>
    <w:basedOn w:val="Normal"/>
    <w:next w:val="Normal"/>
    <w:link w:val="IntenseQuoteChar"/>
    <w:uiPriority w:val="30"/>
    <w:qFormat/>
    <w:rsid w:val="002155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5E2"/>
    <w:rPr>
      <w:i/>
      <w:iCs/>
      <w:color w:val="0F4761" w:themeColor="accent1" w:themeShade="BF"/>
    </w:rPr>
  </w:style>
  <w:style w:type="character" w:styleId="IntenseReference">
    <w:name w:val="Intense Reference"/>
    <w:basedOn w:val="DefaultParagraphFont"/>
    <w:uiPriority w:val="32"/>
    <w:qFormat/>
    <w:rsid w:val="002155E2"/>
    <w:rPr>
      <w:b/>
      <w:bCs/>
      <w:smallCaps/>
      <w:color w:val="0F4761" w:themeColor="accent1" w:themeShade="BF"/>
      <w:spacing w:val="5"/>
    </w:rPr>
  </w:style>
  <w:style w:type="character" w:styleId="Hyperlink">
    <w:name w:val="Hyperlink"/>
    <w:basedOn w:val="DefaultParagraphFont"/>
    <w:uiPriority w:val="99"/>
    <w:unhideWhenUsed/>
    <w:rsid w:val="00443A71"/>
    <w:rPr>
      <w:color w:val="467886" w:themeColor="hyperlink"/>
      <w:u w:val="single"/>
    </w:rPr>
  </w:style>
  <w:style w:type="character" w:styleId="UnresolvedMention">
    <w:name w:val="Unresolved Mention"/>
    <w:basedOn w:val="DefaultParagraphFont"/>
    <w:uiPriority w:val="99"/>
    <w:semiHidden/>
    <w:unhideWhenUsed/>
    <w:rsid w:val="00443A71"/>
    <w:rPr>
      <w:color w:val="605E5C"/>
      <w:shd w:val="clear" w:color="auto" w:fill="E1DFDD"/>
    </w:rPr>
  </w:style>
  <w:style w:type="character" w:styleId="FollowedHyperlink">
    <w:name w:val="FollowedHyperlink"/>
    <w:basedOn w:val="DefaultParagraphFont"/>
    <w:uiPriority w:val="99"/>
    <w:semiHidden/>
    <w:unhideWhenUsed/>
    <w:rsid w:val="00EB58A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696296">
      <w:bodyDiv w:val="1"/>
      <w:marLeft w:val="0"/>
      <w:marRight w:val="0"/>
      <w:marTop w:val="0"/>
      <w:marBottom w:val="0"/>
      <w:divBdr>
        <w:top w:val="none" w:sz="0" w:space="0" w:color="auto"/>
        <w:left w:val="none" w:sz="0" w:space="0" w:color="auto"/>
        <w:bottom w:val="none" w:sz="0" w:space="0" w:color="auto"/>
        <w:right w:val="none" w:sz="0" w:space="0" w:color="auto"/>
      </w:divBdr>
    </w:div>
    <w:div w:id="226768189">
      <w:bodyDiv w:val="1"/>
      <w:marLeft w:val="0"/>
      <w:marRight w:val="0"/>
      <w:marTop w:val="0"/>
      <w:marBottom w:val="0"/>
      <w:divBdr>
        <w:top w:val="none" w:sz="0" w:space="0" w:color="auto"/>
        <w:left w:val="none" w:sz="0" w:space="0" w:color="auto"/>
        <w:bottom w:val="none" w:sz="0" w:space="0" w:color="auto"/>
        <w:right w:val="none" w:sz="0" w:space="0" w:color="auto"/>
      </w:divBdr>
      <w:divsChild>
        <w:div w:id="2114785568">
          <w:marLeft w:val="1537"/>
          <w:marRight w:val="0"/>
          <w:marTop w:val="0"/>
          <w:marBottom w:val="0"/>
          <w:divBdr>
            <w:top w:val="none" w:sz="0" w:space="0" w:color="auto"/>
            <w:left w:val="none" w:sz="0" w:space="0" w:color="auto"/>
            <w:bottom w:val="none" w:sz="0" w:space="0" w:color="auto"/>
            <w:right w:val="none" w:sz="0" w:space="0" w:color="auto"/>
          </w:divBdr>
          <w:divsChild>
            <w:div w:id="1444036110">
              <w:marLeft w:val="0"/>
              <w:marRight w:val="0"/>
              <w:marTop w:val="0"/>
              <w:marBottom w:val="0"/>
              <w:divBdr>
                <w:top w:val="none" w:sz="0" w:space="0" w:color="auto"/>
                <w:left w:val="none" w:sz="0" w:space="0" w:color="auto"/>
                <w:bottom w:val="none" w:sz="0" w:space="0" w:color="auto"/>
                <w:right w:val="none" w:sz="0" w:space="0" w:color="auto"/>
              </w:divBdr>
            </w:div>
            <w:div w:id="73585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231236">
      <w:bodyDiv w:val="1"/>
      <w:marLeft w:val="0"/>
      <w:marRight w:val="0"/>
      <w:marTop w:val="0"/>
      <w:marBottom w:val="0"/>
      <w:divBdr>
        <w:top w:val="none" w:sz="0" w:space="0" w:color="auto"/>
        <w:left w:val="none" w:sz="0" w:space="0" w:color="auto"/>
        <w:bottom w:val="none" w:sz="0" w:space="0" w:color="auto"/>
        <w:right w:val="none" w:sz="0" w:space="0" w:color="auto"/>
      </w:divBdr>
      <w:divsChild>
        <w:div w:id="524364246">
          <w:marLeft w:val="1537"/>
          <w:marRight w:val="0"/>
          <w:marTop w:val="0"/>
          <w:marBottom w:val="0"/>
          <w:divBdr>
            <w:top w:val="none" w:sz="0" w:space="0" w:color="auto"/>
            <w:left w:val="none" w:sz="0" w:space="0" w:color="auto"/>
            <w:bottom w:val="none" w:sz="0" w:space="0" w:color="auto"/>
            <w:right w:val="none" w:sz="0" w:space="0" w:color="auto"/>
          </w:divBdr>
          <w:divsChild>
            <w:div w:id="1156340835">
              <w:marLeft w:val="0"/>
              <w:marRight w:val="0"/>
              <w:marTop w:val="0"/>
              <w:marBottom w:val="0"/>
              <w:divBdr>
                <w:top w:val="none" w:sz="0" w:space="0" w:color="auto"/>
                <w:left w:val="none" w:sz="0" w:space="0" w:color="auto"/>
                <w:bottom w:val="none" w:sz="0" w:space="0" w:color="auto"/>
                <w:right w:val="none" w:sz="0" w:space="0" w:color="auto"/>
              </w:divBdr>
            </w:div>
            <w:div w:id="200373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10476">
      <w:bodyDiv w:val="1"/>
      <w:marLeft w:val="0"/>
      <w:marRight w:val="0"/>
      <w:marTop w:val="0"/>
      <w:marBottom w:val="0"/>
      <w:divBdr>
        <w:top w:val="none" w:sz="0" w:space="0" w:color="auto"/>
        <w:left w:val="none" w:sz="0" w:space="0" w:color="auto"/>
        <w:bottom w:val="none" w:sz="0" w:space="0" w:color="auto"/>
        <w:right w:val="none" w:sz="0" w:space="0" w:color="auto"/>
      </w:divBdr>
      <w:divsChild>
        <w:div w:id="44574500">
          <w:marLeft w:val="0"/>
          <w:marRight w:val="0"/>
          <w:marTop w:val="0"/>
          <w:marBottom w:val="0"/>
          <w:divBdr>
            <w:top w:val="none" w:sz="0" w:space="0" w:color="auto"/>
            <w:left w:val="none" w:sz="0" w:space="0" w:color="auto"/>
            <w:bottom w:val="none" w:sz="0" w:space="0" w:color="auto"/>
            <w:right w:val="none" w:sz="0" w:space="0" w:color="auto"/>
          </w:divBdr>
          <w:divsChild>
            <w:div w:id="21431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173560">
      <w:bodyDiv w:val="1"/>
      <w:marLeft w:val="0"/>
      <w:marRight w:val="0"/>
      <w:marTop w:val="0"/>
      <w:marBottom w:val="0"/>
      <w:divBdr>
        <w:top w:val="none" w:sz="0" w:space="0" w:color="auto"/>
        <w:left w:val="none" w:sz="0" w:space="0" w:color="auto"/>
        <w:bottom w:val="none" w:sz="0" w:space="0" w:color="auto"/>
        <w:right w:val="none" w:sz="0" w:space="0" w:color="auto"/>
      </w:divBdr>
    </w:div>
    <w:div w:id="402719735">
      <w:bodyDiv w:val="1"/>
      <w:marLeft w:val="0"/>
      <w:marRight w:val="0"/>
      <w:marTop w:val="0"/>
      <w:marBottom w:val="0"/>
      <w:divBdr>
        <w:top w:val="none" w:sz="0" w:space="0" w:color="auto"/>
        <w:left w:val="none" w:sz="0" w:space="0" w:color="auto"/>
        <w:bottom w:val="none" w:sz="0" w:space="0" w:color="auto"/>
        <w:right w:val="none" w:sz="0" w:space="0" w:color="auto"/>
      </w:divBdr>
    </w:div>
    <w:div w:id="589118810">
      <w:bodyDiv w:val="1"/>
      <w:marLeft w:val="0"/>
      <w:marRight w:val="0"/>
      <w:marTop w:val="0"/>
      <w:marBottom w:val="0"/>
      <w:divBdr>
        <w:top w:val="none" w:sz="0" w:space="0" w:color="auto"/>
        <w:left w:val="none" w:sz="0" w:space="0" w:color="auto"/>
        <w:bottom w:val="none" w:sz="0" w:space="0" w:color="auto"/>
        <w:right w:val="none" w:sz="0" w:space="0" w:color="auto"/>
      </w:divBdr>
      <w:divsChild>
        <w:div w:id="2005547863">
          <w:marLeft w:val="0"/>
          <w:marRight w:val="0"/>
          <w:marTop w:val="0"/>
          <w:marBottom w:val="0"/>
          <w:divBdr>
            <w:top w:val="none" w:sz="0" w:space="0" w:color="auto"/>
            <w:left w:val="none" w:sz="0" w:space="0" w:color="auto"/>
            <w:bottom w:val="none" w:sz="0" w:space="0" w:color="auto"/>
            <w:right w:val="none" w:sz="0" w:space="0" w:color="auto"/>
          </w:divBdr>
          <w:divsChild>
            <w:div w:id="60885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318318">
      <w:bodyDiv w:val="1"/>
      <w:marLeft w:val="0"/>
      <w:marRight w:val="0"/>
      <w:marTop w:val="0"/>
      <w:marBottom w:val="0"/>
      <w:divBdr>
        <w:top w:val="none" w:sz="0" w:space="0" w:color="auto"/>
        <w:left w:val="none" w:sz="0" w:space="0" w:color="auto"/>
        <w:bottom w:val="none" w:sz="0" w:space="0" w:color="auto"/>
        <w:right w:val="none" w:sz="0" w:space="0" w:color="auto"/>
      </w:divBdr>
      <w:divsChild>
        <w:div w:id="2143570380">
          <w:marLeft w:val="0"/>
          <w:marRight w:val="0"/>
          <w:marTop w:val="0"/>
          <w:marBottom w:val="0"/>
          <w:divBdr>
            <w:top w:val="none" w:sz="0" w:space="0" w:color="auto"/>
            <w:left w:val="none" w:sz="0" w:space="0" w:color="auto"/>
            <w:bottom w:val="none" w:sz="0" w:space="0" w:color="auto"/>
            <w:right w:val="none" w:sz="0" w:space="0" w:color="auto"/>
          </w:divBdr>
          <w:divsChild>
            <w:div w:id="17688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684993">
      <w:bodyDiv w:val="1"/>
      <w:marLeft w:val="0"/>
      <w:marRight w:val="0"/>
      <w:marTop w:val="0"/>
      <w:marBottom w:val="0"/>
      <w:divBdr>
        <w:top w:val="none" w:sz="0" w:space="0" w:color="auto"/>
        <w:left w:val="none" w:sz="0" w:space="0" w:color="auto"/>
        <w:bottom w:val="none" w:sz="0" w:space="0" w:color="auto"/>
        <w:right w:val="none" w:sz="0" w:space="0" w:color="auto"/>
      </w:divBdr>
      <w:divsChild>
        <w:div w:id="1774157757">
          <w:marLeft w:val="0"/>
          <w:marRight w:val="0"/>
          <w:marTop w:val="0"/>
          <w:marBottom w:val="0"/>
          <w:divBdr>
            <w:top w:val="none" w:sz="0" w:space="0" w:color="auto"/>
            <w:left w:val="none" w:sz="0" w:space="0" w:color="auto"/>
            <w:bottom w:val="none" w:sz="0" w:space="0" w:color="auto"/>
            <w:right w:val="none" w:sz="0" w:space="0" w:color="auto"/>
          </w:divBdr>
          <w:divsChild>
            <w:div w:id="145655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420985">
      <w:bodyDiv w:val="1"/>
      <w:marLeft w:val="0"/>
      <w:marRight w:val="0"/>
      <w:marTop w:val="0"/>
      <w:marBottom w:val="0"/>
      <w:divBdr>
        <w:top w:val="none" w:sz="0" w:space="0" w:color="auto"/>
        <w:left w:val="none" w:sz="0" w:space="0" w:color="auto"/>
        <w:bottom w:val="none" w:sz="0" w:space="0" w:color="auto"/>
        <w:right w:val="none" w:sz="0" w:space="0" w:color="auto"/>
      </w:divBdr>
      <w:divsChild>
        <w:div w:id="1198354738">
          <w:marLeft w:val="0"/>
          <w:marRight w:val="0"/>
          <w:marTop w:val="0"/>
          <w:marBottom w:val="0"/>
          <w:divBdr>
            <w:top w:val="none" w:sz="0" w:space="0" w:color="auto"/>
            <w:left w:val="none" w:sz="0" w:space="0" w:color="auto"/>
            <w:bottom w:val="none" w:sz="0" w:space="0" w:color="auto"/>
            <w:right w:val="none" w:sz="0" w:space="0" w:color="auto"/>
          </w:divBdr>
          <w:divsChild>
            <w:div w:id="191288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462834">
      <w:bodyDiv w:val="1"/>
      <w:marLeft w:val="0"/>
      <w:marRight w:val="0"/>
      <w:marTop w:val="0"/>
      <w:marBottom w:val="0"/>
      <w:divBdr>
        <w:top w:val="none" w:sz="0" w:space="0" w:color="auto"/>
        <w:left w:val="none" w:sz="0" w:space="0" w:color="auto"/>
        <w:bottom w:val="none" w:sz="0" w:space="0" w:color="auto"/>
        <w:right w:val="none" w:sz="0" w:space="0" w:color="auto"/>
      </w:divBdr>
    </w:div>
    <w:div w:id="1343436787">
      <w:bodyDiv w:val="1"/>
      <w:marLeft w:val="0"/>
      <w:marRight w:val="0"/>
      <w:marTop w:val="0"/>
      <w:marBottom w:val="0"/>
      <w:divBdr>
        <w:top w:val="none" w:sz="0" w:space="0" w:color="auto"/>
        <w:left w:val="none" w:sz="0" w:space="0" w:color="auto"/>
        <w:bottom w:val="none" w:sz="0" w:space="0" w:color="auto"/>
        <w:right w:val="none" w:sz="0" w:space="0" w:color="auto"/>
      </w:divBdr>
    </w:div>
    <w:div w:id="1367096549">
      <w:bodyDiv w:val="1"/>
      <w:marLeft w:val="0"/>
      <w:marRight w:val="0"/>
      <w:marTop w:val="0"/>
      <w:marBottom w:val="0"/>
      <w:divBdr>
        <w:top w:val="none" w:sz="0" w:space="0" w:color="auto"/>
        <w:left w:val="none" w:sz="0" w:space="0" w:color="auto"/>
        <w:bottom w:val="none" w:sz="0" w:space="0" w:color="auto"/>
        <w:right w:val="none" w:sz="0" w:space="0" w:color="auto"/>
      </w:divBdr>
    </w:div>
    <w:div w:id="1419446262">
      <w:bodyDiv w:val="1"/>
      <w:marLeft w:val="0"/>
      <w:marRight w:val="0"/>
      <w:marTop w:val="0"/>
      <w:marBottom w:val="0"/>
      <w:divBdr>
        <w:top w:val="none" w:sz="0" w:space="0" w:color="auto"/>
        <w:left w:val="none" w:sz="0" w:space="0" w:color="auto"/>
        <w:bottom w:val="none" w:sz="0" w:space="0" w:color="auto"/>
        <w:right w:val="none" w:sz="0" w:space="0" w:color="auto"/>
      </w:divBdr>
    </w:div>
    <w:div w:id="1431508338">
      <w:bodyDiv w:val="1"/>
      <w:marLeft w:val="0"/>
      <w:marRight w:val="0"/>
      <w:marTop w:val="0"/>
      <w:marBottom w:val="0"/>
      <w:divBdr>
        <w:top w:val="none" w:sz="0" w:space="0" w:color="auto"/>
        <w:left w:val="none" w:sz="0" w:space="0" w:color="auto"/>
        <w:bottom w:val="none" w:sz="0" w:space="0" w:color="auto"/>
        <w:right w:val="none" w:sz="0" w:space="0" w:color="auto"/>
      </w:divBdr>
    </w:div>
    <w:div w:id="1474102491">
      <w:bodyDiv w:val="1"/>
      <w:marLeft w:val="0"/>
      <w:marRight w:val="0"/>
      <w:marTop w:val="0"/>
      <w:marBottom w:val="0"/>
      <w:divBdr>
        <w:top w:val="none" w:sz="0" w:space="0" w:color="auto"/>
        <w:left w:val="none" w:sz="0" w:space="0" w:color="auto"/>
        <w:bottom w:val="none" w:sz="0" w:space="0" w:color="auto"/>
        <w:right w:val="none" w:sz="0" w:space="0" w:color="auto"/>
      </w:divBdr>
    </w:div>
    <w:div w:id="1531869627">
      <w:bodyDiv w:val="1"/>
      <w:marLeft w:val="0"/>
      <w:marRight w:val="0"/>
      <w:marTop w:val="0"/>
      <w:marBottom w:val="0"/>
      <w:divBdr>
        <w:top w:val="none" w:sz="0" w:space="0" w:color="auto"/>
        <w:left w:val="none" w:sz="0" w:space="0" w:color="auto"/>
        <w:bottom w:val="none" w:sz="0" w:space="0" w:color="auto"/>
        <w:right w:val="none" w:sz="0" w:space="0" w:color="auto"/>
      </w:divBdr>
    </w:div>
    <w:div w:id="1630278463">
      <w:bodyDiv w:val="1"/>
      <w:marLeft w:val="0"/>
      <w:marRight w:val="0"/>
      <w:marTop w:val="0"/>
      <w:marBottom w:val="0"/>
      <w:divBdr>
        <w:top w:val="none" w:sz="0" w:space="0" w:color="auto"/>
        <w:left w:val="none" w:sz="0" w:space="0" w:color="auto"/>
        <w:bottom w:val="none" w:sz="0" w:space="0" w:color="auto"/>
        <w:right w:val="none" w:sz="0" w:space="0" w:color="auto"/>
      </w:divBdr>
    </w:div>
    <w:div w:id="1707749564">
      <w:bodyDiv w:val="1"/>
      <w:marLeft w:val="0"/>
      <w:marRight w:val="0"/>
      <w:marTop w:val="0"/>
      <w:marBottom w:val="0"/>
      <w:divBdr>
        <w:top w:val="none" w:sz="0" w:space="0" w:color="auto"/>
        <w:left w:val="none" w:sz="0" w:space="0" w:color="auto"/>
        <w:bottom w:val="none" w:sz="0" w:space="0" w:color="auto"/>
        <w:right w:val="none" w:sz="0" w:space="0" w:color="auto"/>
      </w:divBdr>
      <w:divsChild>
        <w:div w:id="612589951">
          <w:marLeft w:val="0"/>
          <w:marRight w:val="0"/>
          <w:marTop w:val="0"/>
          <w:marBottom w:val="0"/>
          <w:divBdr>
            <w:top w:val="none" w:sz="0" w:space="0" w:color="auto"/>
            <w:left w:val="none" w:sz="0" w:space="0" w:color="auto"/>
            <w:bottom w:val="none" w:sz="0" w:space="0" w:color="auto"/>
            <w:right w:val="none" w:sz="0" w:space="0" w:color="auto"/>
          </w:divBdr>
          <w:divsChild>
            <w:div w:id="151730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682031">
      <w:bodyDiv w:val="1"/>
      <w:marLeft w:val="0"/>
      <w:marRight w:val="0"/>
      <w:marTop w:val="0"/>
      <w:marBottom w:val="0"/>
      <w:divBdr>
        <w:top w:val="none" w:sz="0" w:space="0" w:color="auto"/>
        <w:left w:val="none" w:sz="0" w:space="0" w:color="auto"/>
        <w:bottom w:val="none" w:sz="0" w:space="0" w:color="auto"/>
        <w:right w:val="none" w:sz="0" w:space="0" w:color="auto"/>
      </w:divBdr>
    </w:div>
    <w:div w:id="1933079994">
      <w:bodyDiv w:val="1"/>
      <w:marLeft w:val="0"/>
      <w:marRight w:val="0"/>
      <w:marTop w:val="0"/>
      <w:marBottom w:val="0"/>
      <w:divBdr>
        <w:top w:val="none" w:sz="0" w:space="0" w:color="auto"/>
        <w:left w:val="none" w:sz="0" w:space="0" w:color="auto"/>
        <w:bottom w:val="none" w:sz="0" w:space="0" w:color="auto"/>
        <w:right w:val="none" w:sz="0" w:space="0" w:color="auto"/>
      </w:divBdr>
    </w:div>
    <w:div w:id="194853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hyperlink" Target="https://doi.org/10.1111/j.1088-4963.1995.tb00032.x" TargetMode="Externa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e4f8af8ce078bdf8e53bce65d6a9a99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f432d41d86185293a14770403a2d54c"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B02CBD71-1840-4921-9FF8-F5B340C12A15}">
  <ds:schemaRefs>
    <ds:schemaRef ds:uri="http://schemas.openxmlformats.org/officeDocument/2006/bibliography"/>
  </ds:schemaRefs>
</ds:datastoreItem>
</file>

<file path=customXml/itemProps2.xml><?xml version="1.0" encoding="utf-8"?>
<ds:datastoreItem xmlns:ds="http://schemas.openxmlformats.org/officeDocument/2006/customXml" ds:itemID="{865886E2-CBDA-40EB-9C2B-05D4A4150464}">
  <ds:schemaRefs>
    <ds:schemaRef ds:uri="http://schemas.microsoft.com/sharepoint/v3/contenttype/forms"/>
  </ds:schemaRefs>
</ds:datastoreItem>
</file>

<file path=customXml/itemProps3.xml><?xml version="1.0" encoding="utf-8"?>
<ds:datastoreItem xmlns:ds="http://schemas.openxmlformats.org/officeDocument/2006/customXml" ds:itemID="{B06D1F97-C914-4355-9CE3-EF7F2DA5A9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9EB67F5-68A0-4DDC-A107-C64DAD01A67C}">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2166</Words>
  <Characters>12350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Ashman (2204992)</dc:creator>
  <cp:keywords/>
  <dc:description/>
  <cp:lastModifiedBy>Abbie Ashman (2204992)</cp:lastModifiedBy>
  <cp:revision>2</cp:revision>
  <dcterms:created xsi:type="dcterms:W3CDTF">2025-05-08T15:12:00Z</dcterms:created>
  <dcterms:modified xsi:type="dcterms:W3CDTF">2025-05-08T15:12:00Z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