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60C2C" w14:textId="2A6FF54D" w:rsidR="00BB6046" w:rsidRDefault="001702A1" w:rsidP="00BB6046">
      <w:pPr>
        <w:jc w:val="center"/>
        <w:rPr>
          <w:b/>
          <w:bCs/>
          <w:sz w:val="32"/>
          <w:szCs w:val="32"/>
          <w:lang w:val="en-GB"/>
        </w:rPr>
      </w:pPr>
      <w:r>
        <w:rPr>
          <w:b/>
          <w:bCs/>
          <w:noProof/>
          <w:sz w:val="32"/>
          <w:szCs w:val="32"/>
          <w:lang w:val="en-GB"/>
        </w:rPr>
        <w:drawing>
          <wp:anchor distT="0" distB="0" distL="114300" distR="114300" simplePos="0" relativeHeight="251659264" behindDoc="0" locked="0" layoutInCell="1" allowOverlap="1" wp14:anchorId="242254EE" wp14:editId="58664D1A">
            <wp:simplePos x="0" y="0"/>
            <wp:positionH relativeFrom="column">
              <wp:posOffset>-579120</wp:posOffset>
            </wp:positionH>
            <wp:positionV relativeFrom="paragraph">
              <wp:posOffset>274320</wp:posOffset>
            </wp:positionV>
            <wp:extent cx="4181475" cy="11715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181475" cy="1171575"/>
                    </a:xfrm>
                    <a:prstGeom prst="rect">
                      <a:avLst/>
                    </a:prstGeom>
                  </pic:spPr>
                </pic:pic>
              </a:graphicData>
            </a:graphic>
          </wp:anchor>
        </w:drawing>
      </w:r>
    </w:p>
    <w:p w14:paraId="15BA4FF5" w14:textId="77777777" w:rsidR="00BB6046" w:rsidRDefault="00BB6046" w:rsidP="00B3598D">
      <w:pPr>
        <w:rPr>
          <w:b/>
          <w:bCs/>
          <w:sz w:val="32"/>
          <w:szCs w:val="32"/>
          <w:lang w:val="en-GB"/>
        </w:rPr>
      </w:pPr>
    </w:p>
    <w:p w14:paraId="618325A9" w14:textId="77777777" w:rsidR="00BB6046" w:rsidRDefault="00BB6046" w:rsidP="00BB6046">
      <w:pPr>
        <w:jc w:val="center"/>
        <w:rPr>
          <w:b/>
          <w:bCs/>
          <w:sz w:val="32"/>
          <w:szCs w:val="32"/>
          <w:lang w:val="en-GB"/>
        </w:rPr>
      </w:pPr>
    </w:p>
    <w:p w14:paraId="21DF5EF8" w14:textId="77777777" w:rsidR="00BB6046" w:rsidRDefault="00BB6046" w:rsidP="00BB6046">
      <w:pPr>
        <w:jc w:val="center"/>
        <w:rPr>
          <w:b/>
          <w:bCs/>
          <w:sz w:val="32"/>
          <w:szCs w:val="32"/>
          <w:lang w:val="en-GB"/>
        </w:rPr>
      </w:pPr>
    </w:p>
    <w:p w14:paraId="3C6EE063" w14:textId="7F48AB44" w:rsidR="00BB6046" w:rsidRPr="00BB6046" w:rsidRDefault="00BB6046" w:rsidP="00BB6046">
      <w:pPr>
        <w:jc w:val="center"/>
        <w:rPr>
          <w:b/>
          <w:bCs/>
          <w:sz w:val="32"/>
          <w:szCs w:val="32"/>
          <w:lang w:val="en-GB"/>
        </w:rPr>
      </w:pPr>
      <w:r w:rsidRPr="00BB6046">
        <w:rPr>
          <w:b/>
          <w:bCs/>
          <w:sz w:val="32"/>
          <w:szCs w:val="32"/>
          <w:lang w:val="en-GB"/>
        </w:rPr>
        <w:t>CONSENT AND ITS ROLE IN CASES INVOLVING BATTERY</w:t>
      </w:r>
    </w:p>
    <w:p w14:paraId="3D4B5114" w14:textId="04CE29B0" w:rsidR="00BB6046" w:rsidRDefault="004A1C62">
      <w:pPr>
        <w:spacing w:line="259" w:lineRule="auto"/>
        <w:jc w:val="left"/>
        <w:rPr>
          <w:b/>
          <w:bCs/>
          <w:lang w:val="en-GB"/>
        </w:rPr>
      </w:pPr>
      <w:r>
        <w:rPr>
          <w:b/>
          <w:bCs/>
          <w:lang w:val="en-GB"/>
        </w:rPr>
        <w:t xml:space="preserve">                                                                                              </w:t>
      </w:r>
      <w:proofErr w:type="gramStart"/>
      <w:r w:rsidR="00F44832">
        <w:rPr>
          <w:b/>
          <w:bCs/>
          <w:lang w:val="en-GB"/>
        </w:rPr>
        <w:t xml:space="preserve">Student </w:t>
      </w:r>
      <w:r w:rsidR="00D26ACA">
        <w:rPr>
          <w:b/>
          <w:bCs/>
          <w:lang w:val="en-GB"/>
        </w:rPr>
        <w:t xml:space="preserve"> ID</w:t>
      </w:r>
      <w:proofErr w:type="gramEnd"/>
      <w:r w:rsidR="00D26ACA">
        <w:rPr>
          <w:b/>
          <w:bCs/>
          <w:lang w:val="en-GB"/>
        </w:rPr>
        <w:t>: 2224081</w:t>
      </w:r>
      <w:r w:rsidR="00F44832">
        <w:rPr>
          <w:b/>
          <w:bCs/>
          <w:lang w:val="en-GB"/>
        </w:rPr>
        <w:t xml:space="preserve"> </w:t>
      </w:r>
    </w:p>
    <w:p w14:paraId="5B4AF977" w14:textId="77777777" w:rsidR="000E1EF8" w:rsidRDefault="00D84675">
      <w:pPr>
        <w:spacing w:line="259" w:lineRule="auto"/>
        <w:jc w:val="left"/>
        <w:rPr>
          <w:b/>
          <w:bCs/>
          <w:lang w:val="en-GB"/>
        </w:rPr>
      </w:pPr>
      <w:r>
        <w:rPr>
          <w:b/>
          <w:bCs/>
          <w:lang w:val="en-GB"/>
        </w:rPr>
        <w:t xml:space="preserve">                                                                                              Student Name:</w:t>
      </w:r>
      <w:r w:rsidR="000E1EF8">
        <w:rPr>
          <w:b/>
          <w:bCs/>
          <w:lang w:val="en-GB"/>
        </w:rPr>
        <w:t xml:space="preserve"> Daniel </w:t>
      </w:r>
      <w:proofErr w:type="spellStart"/>
      <w:r w:rsidR="000E1EF8">
        <w:rPr>
          <w:b/>
          <w:bCs/>
          <w:lang w:val="en-GB"/>
        </w:rPr>
        <w:t>Anghel</w:t>
      </w:r>
      <w:proofErr w:type="spellEnd"/>
    </w:p>
    <w:p w14:paraId="47CC29FC" w14:textId="77777777" w:rsidR="004C6859" w:rsidRDefault="000E1EF8">
      <w:pPr>
        <w:spacing w:line="259" w:lineRule="auto"/>
        <w:jc w:val="left"/>
        <w:rPr>
          <w:b/>
          <w:bCs/>
          <w:lang w:val="en-GB"/>
        </w:rPr>
      </w:pPr>
      <w:r>
        <w:rPr>
          <w:b/>
          <w:bCs/>
          <w:lang w:val="en-GB"/>
        </w:rPr>
        <w:t xml:space="preserve">                                                                                              </w:t>
      </w:r>
      <w:r w:rsidR="005904A1">
        <w:rPr>
          <w:b/>
          <w:bCs/>
          <w:lang w:val="en-GB"/>
        </w:rPr>
        <w:t xml:space="preserve">Module </w:t>
      </w:r>
      <w:proofErr w:type="gramStart"/>
      <w:r w:rsidR="005904A1">
        <w:rPr>
          <w:b/>
          <w:bCs/>
          <w:lang w:val="en-GB"/>
        </w:rPr>
        <w:t>Code:</w:t>
      </w:r>
      <w:r w:rsidR="004C6859">
        <w:rPr>
          <w:b/>
          <w:bCs/>
          <w:lang w:val="en-GB"/>
        </w:rPr>
        <w:t>BMPL</w:t>
      </w:r>
      <w:proofErr w:type="gramEnd"/>
      <w:r w:rsidR="004C6859">
        <w:rPr>
          <w:b/>
          <w:bCs/>
          <w:lang w:val="en-GB"/>
        </w:rPr>
        <w:t>4009</w:t>
      </w:r>
    </w:p>
    <w:p w14:paraId="5AE5F8F2" w14:textId="0567D80E" w:rsidR="00D84675" w:rsidRDefault="004C6859">
      <w:pPr>
        <w:spacing w:line="259" w:lineRule="auto"/>
        <w:jc w:val="left"/>
        <w:rPr>
          <w:b/>
          <w:bCs/>
          <w:lang w:val="en-GB"/>
        </w:rPr>
      </w:pPr>
      <w:r>
        <w:rPr>
          <w:b/>
          <w:bCs/>
          <w:lang w:val="en-GB"/>
        </w:rPr>
        <w:t xml:space="preserve">                                                                                              Module: Criminal Law </w:t>
      </w:r>
    </w:p>
    <w:p w14:paraId="33FA9134" w14:textId="77777777" w:rsidR="003B7E27" w:rsidRDefault="003B7E27">
      <w:pPr>
        <w:spacing w:line="259" w:lineRule="auto"/>
        <w:jc w:val="left"/>
        <w:rPr>
          <w:b/>
          <w:bCs/>
          <w:lang w:val="en-GB"/>
        </w:rPr>
      </w:pPr>
    </w:p>
    <w:p w14:paraId="7A5F6BEB" w14:textId="77777777" w:rsidR="003B7E27" w:rsidRDefault="003B7E27">
      <w:pPr>
        <w:spacing w:line="259" w:lineRule="auto"/>
        <w:jc w:val="left"/>
        <w:rPr>
          <w:b/>
          <w:bCs/>
          <w:lang w:val="en-GB"/>
        </w:rPr>
      </w:pPr>
    </w:p>
    <w:p w14:paraId="7DAFAEAF" w14:textId="77777777" w:rsidR="003B7E27" w:rsidRDefault="003B7E27">
      <w:pPr>
        <w:spacing w:line="259" w:lineRule="auto"/>
        <w:jc w:val="left"/>
        <w:rPr>
          <w:b/>
          <w:bCs/>
          <w:lang w:val="en-GB"/>
        </w:rPr>
      </w:pPr>
    </w:p>
    <w:p w14:paraId="7DAAE974" w14:textId="77777777" w:rsidR="003B7E27" w:rsidRDefault="003B7E27">
      <w:pPr>
        <w:spacing w:line="259" w:lineRule="auto"/>
        <w:jc w:val="left"/>
        <w:rPr>
          <w:b/>
          <w:bCs/>
          <w:lang w:val="en-GB"/>
        </w:rPr>
      </w:pPr>
    </w:p>
    <w:p w14:paraId="29E8157E" w14:textId="77777777" w:rsidR="003B7E27" w:rsidRDefault="003B7E27">
      <w:pPr>
        <w:spacing w:line="259" w:lineRule="auto"/>
        <w:jc w:val="left"/>
        <w:rPr>
          <w:b/>
          <w:bCs/>
          <w:lang w:val="en-GB"/>
        </w:rPr>
      </w:pPr>
    </w:p>
    <w:p w14:paraId="13C5349E" w14:textId="77777777" w:rsidR="003B7E27" w:rsidRDefault="003B7E27">
      <w:pPr>
        <w:spacing w:line="259" w:lineRule="auto"/>
        <w:jc w:val="left"/>
        <w:rPr>
          <w:b/>
          <w:bCs/>
          <w:lang w:val="en-GB"/>
        </w:rPr>
      </w:pPr>
    </w:p>
    <w:p w14:paraId="480729BA" w14:textId="77777777" w:rsidR="003B7E27" w:rsidRDefault="003B7E27">
      <w:pPr>
        <w:spacing w:line="259" w:lineRule="auto"/>
        <w:jc w:val="left"/>
        <w:rPr>
          <w:b/>
          <w:bCs/>
          <w:lang w:val="en-GB"/>
        </w:rPr>
      </w:pPr>
    </w:p>
    <w:p w14:paraId="71D1D8DB" w14:textId="77777777" w:rsidR="003B7E27" w:rsidRDefault="003B7E27">
      <w:pPr>
        <w:spacing w:line="259" w:lineRule="auto"/>
        <w:jc w:val="left"/>
        <w:rPr>
          <w:b/>
          <w:bCs/>
          <w:lang w:val="en-GB"/>
        </w:rPr>
      </w:pPr>
    </w:p>
    <w:p w14:paraId="3B1523BE" w14:textId="77777777" w:rsidR="003B7E27" w:rsidRDefault="003B7E27">
      <w:pPr>
        <w:spacing w:line="259" w:lineRule="auto"/>
        <w:jc w:val="left"/>
        <w:rPr>
          <w:b/>
          <w:bCs/>
          <w:lang w:val="en-GB"/>
        </w:rPr>
      </w:pPr>
    </w:p>
    <w:p w14:paraId="380586DC" w14:textId="77777777" w:rsidR="003B7E27" w:rsidRDefault="003B7E27">
      <w:pPr>
        <w:spacing w:line="259" w:lineRule="auto"/>
        <w:jc w:val="left"/>
        <w:rPr>
          <w:b/>
          <w:bCs/>
          <w:lang w:val="en-GB"/>
        </w:rPr>
      </w:pPr>
    </w:p>
    <w:p w14:paraId="53B43B04" w14:textId="77777777" w:rsidR="003B7E27" w:rsidRDefault="003B7E27">
      <w:pPr>
        <w:spacing w:line="259" w:lineRule="auto"/>
        <w:jc w:val="left"/>
        <w:rPr>
          <w:b/>
          <w:bCs/>
          <w:lang w:val="en-GB"/>
        </w:rPr>
      </w:pPr>
    </w:p>
    <w:p w14:paraId="3EB8DF68" w14:textId="77777777" w:rsidR="003B7E27" w:rsidRDefault="003B7E27">
      <w:pPr>
        <w:spacing w:line="259" w:lineRule="auto"/>
        <w:jc w:val="left"/>
        <w:rPr>
          <w:b/>
          <w:bCs/>
          <w:lang w:val="en-GB"/>
        </w:rPr>
      </w:pPr>
    </w:p>
    <w:p w14:paraId="46E5D027" w14:textId="77777777" w:rsidR="003B7E27" w:rsidRDefault="003B7E27">
      <w:pPr>
        <w:spacing w:line="259" w:lineRule="auto"/>
        <w:jc w:val="left"/>
        <w:rPr>
          <w:b/>
          <w:bCs/>
          <w:lang w:val="en-GB"/>
        </w:rPr>
      </w:pPr>
    </w:p>
    <w:p w14:paraId="3D386D68" w14:textId="77777777" w:rsidR="003B7E27" w:rsidRDefault="003B7E27">
      <w:pPr>
        <w:spacing w:line="259" w:lineRule="auto"/>
        <w:jc w:val="left"/>
        <w:rPr>
          <w:b/>
          <w:bCs/>
          <w:lang w:val="en-GB"/>
        </w:rPr>
      </w:pPr>
    </w:p>
    <w:p w14:paraId="38EA96BF" w14:textId="77777777" w:rsidR="003B7E27" w:rsidRDefault="003B7E27">
      <w:pPr>
        <w:spacing w:line="259" w:lineRule="auto"/>
        <w:jc w:val="left"/>
        <w:rPr>
          <w:b/>
          <w:bCs/>
          <w:lang w:val="en-GB"/>
        </w:rPr>
      </w:pPr>
    </w:p>
    <w:p w14:paraId="6A72101B" w14:textId="77777777" w:rsidR="003B7E27" w:rsidRDefault="003B7E27">
      <w:pPr>
        <w:spacing w:line="259" w:lineRule="auto"/>
        <w:jc w:val="left"/>
        <w:rPr>
          <w:b/>
          <w:bCs/>
          <w:lang w:val="en-GB"/>
        </w:rPr>
      </w:pPr>
    </w:p>
    <w:p w14:paraId="0DBFB03C" w14:textId="77777777" w:rsidR="007C293A" w:rsidRDefault="007C293A">
      <w:pPr>
        <w:spacing w:line="259" w:lineRule="auto"/>
        <w:jc w:val="left"/>
        <w:rPr>
          <w:b/>
          <w:bCs/>
          <w:lang w:val="en-GB"/>
        </w:rPr>
      </w:pPr>
    </w:p>
    <w:p w14:paraId="724BFEBF" w14:textId="4B0D343C" w:rsidR="00BB6046" w:rsidRDefault="00BB6046" w:rsidP="00BB6046">
      <w:pPr>
        <w:jc w:val="center"/>
        <w:rPr>
          <w:b/>
          <w:bCs/>
          <w:lang w:val="en-GB"/>
        </w:rPr>
      </w:pPr>
      <w:r>
        <w:rPr>
          <w:b/>
          <w:bCs/>
          <w:lang w:val="en-GB"/>
        </w:rPr>
        <w:t>Table of contents</w:t>
      </w:r>
    </w:p>
    <w:sdt>
      <w:sdtPr>
        <w:rPr>
          <w:rFonts w:ascii="Times New Roman" w:eastAsiaTheme="minorHAnsi" w:hAnsi="Times New Roman" w:cstheme="minorBidi"/>
          <w:color w:val="auto"/>
          <w:kern w:val="2"/>
          <w:sz w:val="24"/>
          <w:szCs w:val="22"/>
          <w:lang w:val="en-IN"/>
          <w14:ligatures w14:val="standardContextual"/>
        </w:rPr>
        <w:id w:val="892471799"/>
        <w:docPartObj>
          <w:docPartGallery w:val="Table of Contents"/>
          <w:docPartUnique/>
        </w:docPartObj>
      </w:sdtPr>
      <w:sdtEndPr>
        <w:rPr>
          <w:b/>
          <w:bCs/>
          <w:noProof/>
        </w:rPr>
      </w:sdtEndPr>
      <w:sdtContent>
        <w:p w14:paraId="7DB3CA1A" w14:textId="43FF61D7" w:rsidR="00BB6046" w:rsidRDefault="00BB6046">
          <w:pPr>
            <w:pStyle w:val="TOCHeading"/>
          </w:pPr>
        </w:p>
        <w:p w14:paraId="6D4C78D8" w14:textId="332DBECB" w:rsidR="00BB6046" w:rsidRDefault="00BB6046">
          <w:pPr>
            <w:pStyle w:val="TOC1"/>
            <w:tabs>
              <w:tab w:val="right" w:leader="dot" w:pos="9016"/>
            </w:tabs>
            <w:rPr>
              <w:noProof/>
            </w:rPr>
          </w:pPr>
          <w:r>
            <w:fldChar w:fldCharType="begin"/>
          </w:r>
          <w:r>
            <w:instrText xml:space="preserve"> TOC \o "1-3" \h \z \u </w:instrText>
          </w:r>
          <w:r>
            <w:fldChar w:fldCharType="separate"/>
          </w:r>
          <w:hyperlink w:anchor="_Toc150286562" w:history="1">
            <w:r w:rsidRPr="00C92DEB">
              <w:rPr>
                <w:rStyle w:val="Hyperlink"/>
                <w:noProof/>
                <w:lang w:val="en-GB"/>
              </w:rPr>
              <w:t>Introduction</w:t>
            </w:r>
            <w:r>
              <w:rPr>
                <w:noProof/>
                <w:webHidden/>
              </w:rPr>
              <w:tab/>
            </w:r>
            <w:r>
              <w:rPr>
                <w:noProof/>
                <w:webHidden/>
              </w:rPr>
              <w:fldChar w:fldCharType="begin"/>
            </w:r>
            <w:r>
              <w:rPr>
                <w:noProof/>
                <w:webHidden/>
              </w:rPr>
              <w:instrText xml:space="preserve"> PAGEREF _Toc150286562 \h </w:instrText>
            </w:r>
            <w:r>
              <w:rPr>
                <w:noProof/>
                <w:webHidden/>
              </w:rPr>
            </w:r>
            <w:r>
              <w:rPr>
                <w:noProof/>
                <w:webHidden/>
              </w:rPr>
              <w:fldChar w:fldCharType="separate"/>
            </w:r>
            <w:r>
              <w:rPr>
                <w:noProof/>
                <w:webHidden/>
              </w:rPr>
              <w:t>3</w:t>
            </w:r>
            <w:r>
              <w:rPr>
                <w:noProof/>
                <w:webHidden/>
              </w:rPr>
              <w:fldChar w:fldCharType="end"/>
            </w:r>
          </w:hyperlink>
        </w:p>
        <w:p w14:paraId="29C4F819" w14:textId="28F9776E" w:rsidR="00BB6046" w:rsidRDefault="0054734B">
          <w:pPr>
            <w:pStyle w:val="TOC1"/>
            <w:tabs>
              <w:tab w:val="right" w:leader="dot" w:pos="9016"/>
            </w:tabs>
            <w:rPr>
              <w:noProof/>
            </w:rPr>
          </w:pPr>
          <w:hyperlink w:anchor="_Toc150286563" w:history="1">
            <w:r w:rsidR="00BB6046" w:rsidRPr="00C92DEB">
              <w:rPr>
                <w:rStyle w:val="Hyperlink"/>
                <w:noProof/>
                <w:lang w:val="en-GB"/>
              </w:rPr>
              <w:t>Discussion</w:t>
            </w:r>
            <w:r w:rsidR="00BB6046">
              <w:rPr>
                <w:noProof/>
                <w:webHidden/>
              </w:rPr>
              <w:tab/>
            </w:r>
            <w:r w:rsidR="00BB6046">
              <w:rPr>
                <w:noProof/>
                <w:webHidden/>
              </w:rPr>
              <w:fldChar w:fldCharType="begin"/>
            </w:r>
            <w:r w:rsidR="00BB6046">
              <w:rPr>
                <w:noProof/>
                <w:webHidden/>
              </w:rPr>
              <w:instrText xml:space="preserve"> PAGEREF _Toc150286563 \h </w:instrText>
            </w:r>
            <w:r w:rsidR="00BB6046">
              <w:rPr>
                <w:noProof/>
                <w:webHidden/>
              </w:rPr>
            </w:r>
            <w:r w:rsidR="00BB6046">
              <w:rPr>
                <w:noProof/>
                <w:webHidden/>
              </w:rPr>
              <w:fldChar w:fldCharType="separate"/>
            </w:r>
            <w:r w:rsidR="00BB6046">
              <w:rPr>
                <w:noProof/>
                <w:webHidden/>
              </w:rPr>
              <w:t>3</w:t>
            </w:r>
            <w:r w:rsidR="00BB6046">
              <w:rPr>
                <w:noProof/>
                <w:webHidden/>
              </w:rPr>
              <w:fldChar w:fldCharType="end"/>
            </w:r>
          </w:hyperlink>
        </w:p>
        <w:p w14:paraId="046E93DA" w14:textId="1E1D9CB0" w:rsidR="00BB6046" w:rsidRDefault="0054734B">
          <w:pPr>
            <w:pStyle w:val="TOC1"/>
            <w:tabs>
              <w:tab w:val="right" w:leader="dot" w:pos="9016"/>
            </w:tabs>
            <w:rPr>
              <w:noProof/>
            </w:rPr>
          </w:pPr>
          <w:hyperlink w:anchor="_Toc150286564" w:history="1">
            <w:r w:rsidR="00BB6046" w:rsidRPr="00C92DEB">
              <w:rPr>
                <w:rStyle w:val="Hyperlink"/>
                <w:noProof/>
                <w:lang w:val="en-GB"/>
              </w:rPr>
              <w:t>Conclusion</w:t>
            </w:r>
            <w:r w:rsidR="00BB6046">
              <w:rPr>
                <w:noProof/>
                <w:webHidden/>
              </w:rPr>
              <w:tab/>
            </w:r>
            <w:r w:rsidR="00BB6046">
              <w:rPr>
                <w:noProof/>
                <w:webHidden/>
              </w:rPr>
              <w:fldChar w:fldCharType="begin"/>
            </w:r>
            <w:r w:rsidR="00BB6046">
              <w:rPr>
                <w:noProof/>
                <w:webHidden/>
              </w:rPr>
              <w:instrText xml:space="preserve"> PAGEREF _Toc150286564 \h </w:instrText>
            </w:r>
            <w:r w:rsidR="00BB6046">
              <w:rPr>
                <w:noProof/>
                <w:webHidden/>
              </w:rPr>
            </w:r>
            <w:r w:rsidR="00BB6046">
              <w:rPr>
                <w:noProof/>
                <w:webHidden/>
              </w:rPr>
              <w:fldChar w:fldCharType="separate"/>
            </w:r>
            <w:r w:rsidR="00BB6046">
              <w:rPr>
                <w:noProof/>
                <w:webHidden/>
              </w:rPr>
              <w:t>7</w:t>
            </w:r>
            <w:r w:rsidR="00BB6046">
              <w:rPr>
                <w:noProof/>
                <w:webHidden/>
              </w:rPr>
              <w:fldChar w:fldCharType="end"/>
            </w:r>
          </w:hyperlink>
        </w:p>
        <w:p w14:paraId="212AD196" w14:textId="62FDA981" w:rsidR="00BB6046" w:rsidRDefault="0054734B">
          <w:pPr>
            <w:pStyle w:val="TOC1"/>
            <w:tabs>
              <w:tab w:val="right" w:leader="dot" w:pos="9016"/>
            </w:tabs>
            <w:rPr>
              <w:noProof/>
            </w:rPr>
          </w:pPr>
          <w:hyperlink w:anchor="_Toc150286565" w:history="1">
            <w:r w:rsidR="00BB6046" w:rsidRPr="00C92DEB">
              <w:rPr>
                <w:rStyle w:val="Hyperlink"/>
                <w:noProof/>
                <w:lang w:val="en-GB"/>
              </w:rPr>
              <w:t>References</w:t>
            </w:r>
            <w:r w:rsidR="00BB6046">
              <w:rPr>
                <w:noProof/>
                <w:webHidden/>
              </w:rPr>
              <w:tab/>
            </w:r>
            <w:r w:rsidR="00BB6046">
              <w:rPr>
                <w:noProof/>
                <w:webHidden/>
              </w:rPr>
              <w:fldChar w:fldCharType="begin"/>
            </w:r>
            <w:r w:rsidR="00BB6046">
              <w:rPr>
                <w:noProof/>
                <w:webHidden/>
              </w:rPr>
              <w:instrText xml:space="preserve"> PAGEREF _Toc150286565 \h </w:instrText>
            </w:r>
            <w:r w:rsidR="00BB6046">
              <w:rPr>
                <w:noProof/>
                <w:webHidden/>
              </w:rPr>
            </w:r>
            <w:r w:rsidR="00BB6046">
              <w:rPr>
                <w:noProof/>
                <w:webHidden/>
              </w:rPr>
              <w:fldChar w:fldCharType="separate"/>
            </w:r>
            <w:r w:rsidR="00BB6046">
              <w:rPr>
                <w:noProof/>
                <w:webHidden/>
              </w:rPr>
              <w:t>8</w:t>
            </w:r>
            <w:r w:rsidR="00BB6046">
              <w:rPr>
                <w:noProof/>
                <w:webHidden/>
              </w:rPr>
              <w:fldChar w:fldCharType="end"/>
            </w:r>
          </w:hyperlink>
        </w:p>
        <w:p w14:paraId="755D4A44" w14:textId="385CA59C" w:rsidR="00BB6046" w:rsidRDefault="00BB6046">
          <w:r>
            <w:rPr>
              <w:b/>
              <w:bCs/>
              <w:noProof/>
            </w:rPr>
            <w:fldChar w:fldCharType="end"/>
          </w:r>
        </w:p>
      </w:sdtContent>
    </w:sdt>
    <w:p w14:paraId="0789B60F" w14:textId="77777777" w:rsidR="00BB6046" w:rsidRDefault="00BB6046" w:rsidP="00BB6046">
      <w:pPr>
        <w:jc w:val="center"/>
        <w:rPr>
          <w:b/>
          <w:bCs/>
          <w:lang w:val="en-GB"/>
        </w:rPr>
      </w:pPr>
    </w:p>
    <w:p w14:paraId="0F3EC03D" w14:textId="77777777" w:rsidR="00BB6046" w:rsidRDefault="00BB6046" w:rsidP="00BB6046">
      <w:pPr>
        <w:jc w:val="center"/>
        <w:rPr>
          <w:b/>
          <w:bCs/>
          <w:lang w:val="en-GB"/>
        </w:rPr>
      </w:pPr>
    </w:p>
    <w:p w14:paraId="3D9E2765" w14:textId="77777777" w:rsidR="00BB6046" w:rsidRDefault="00BB6046">
      <w:pPr>
        <w:spacing w:line="259" w:lineRule="auto"/>
        <w:jc w:val="left"/>
        <w:rPr>
          <w:rFonts w:eastAsiaTheme="majorEastAsia" w:cstheme="majorBidi"/>
          <w:b/>
          <w:szCs w:val="32"/>
          <w:lang w:val="en-GB"/>
        </w:rPr>
      </w:pPr>
      <w:r>
        <w:rPr>
          <w:lang w:val="en-GB"/>
        </w:rPr>
        <w:br w:type="page"/>
      </w:r>
    </w:p>
    <w:p w14:paraId="6CDFD46F" w14:textId="7561A259" w:rsidR="00530923" w:rsidRPr="00EA6BA3" w:rsidRDefault="00530923" w:rsidP="00EA6BA3">
      <w:pPr>
        <w:pStyle w:val="Heading1"/>
        <w:rPr>
          <w:lang w:val="en-GB"/>
        </w:rPr>
      </w:pPr>
      <w:bookmarkStart w:id="0" w:name="_Toc150286562"/>
      <w:r w:rsidRPr="00EA6BA3">
        <w:rPr>
          <w:lang w:val="en-GB"/>
        </w:rPr>
        <w:lastRenderedPageBreak/>
        <w:t>Introduction</w:t>
      </w:r>
      <w:bookmarkEnd w:id="0"/>
    </w:p>
    <w:p w14:paraId="61E592D2" w14:textId="77777777" w:rsidR="00530923" w:rsidRPr="00EA6BA3" w:rsidRDefault="00530923" w:rsidP="00EA6BA3">
      <w:pPr>
        <w:rPr>
          <w:lang w:val="en-GB"/>
        </w:rPr>
      </w:pPr>
      <w:r w:rsidRPr="00EA6BA3">
        <w:rPr>
          <w:lang w:val="en-GB"/>
        </w:rPr>
        <w:t>The criminal law in the UK concerns offences, the prohibition of the offences and the outcomes in England and Wales. By applying its philosophical and ethical aspects, the legal principles are determined and several case laws are established.</w:t>
      </w:r>
    </w:p>
    <w:p w14:paraId="3F3E5CBA" w14:textId="77777777" w:rsidR="00530923" w:rsidRPr="00EA6BA3" w:rsidRDefault="00530923" w:rsidP="00EA6BA3">
      <w:pPr>
        <w:pStyle w:val="Heading1"/>
        <w:rPr>
          <w:lang w:val="en-GB"/>
        </w:rPr>
      </w:pPr>
      <w:bookmarkStart w:id="1" w:name="_Toc150286563"/>
      <w:r w:rsidRPr="00EA6BA3">
        <w:rPr>
          <w:lang w:val="en-GB"/>
        </w:rPr>
        <w:t>Discussion</w:t>
      </w:r>
      <w:bookmarkEnd w:id="1"/>
    </w:p>
    <w:p w14:paraId="5BA18EE8" w14:textId="77777777" w:rsidR="00530923" w:rsidRPr="00EA6BA3" w:rsidRDefault="00530923" w:rsidP="00EA6BA3">
      <w:pPr>
        <w:rPr>
          <w:lang w:val="en-GB"/>
        </w:rPr>
      </w:pPr>
      <w:r w:rsidRPr="00EA6BA3">
        <w:rPr>
          <w:lang w:val="en-GB"/>
        </w:rPr>
        <w:t xml:space="preserve">In criminal law, to maintain people's consent towards sanity and morality, the philosophies represent the positive aspects. On this note, Lee (2013) has shared that in the UK, to make a defence against insanity and unsocial behaviour, the Model Penal Code test philosophy is maintained to respect the consent of the UK people. Here, the test of philosophical thinking with human behaviour is the prioritised one. On the contrary, Jowell (2018) has argued that despite the thought of sanity and social aspects through UK criminal philosophy, the punishment characteristic provides the power to the state to keep the idea of payback or judgment for a better society with minimal criminal activities. Besides, the punishment ideology stands with the retribution philosophy of the UK criminal law. Therefore, the punishment philosophy keeps the balance of human consent in the UK. On this note, the retribution or punishment perspective in criminal law in the UK stands with the historical R vs R case of 1992. As per </w:t>
      </w:r>
      <w:proofErr w:type="spellStart"/>
      <w:r w:rsidRPr="00EA6BA3">
        <w:rPr>
          <w:lang w:val="en-GB"/>
        </w:rPr>
        <w:t>Vallithan</w:t>
      </w:r>
      <w:proofErr w:type="spellEnd"/>
      <w:r w:rsidRPr="00EA6BA3">
        <w:rPr>
          <w:lang w:val="en-GB"/>
        </w:rPr>
        <w:t xml:space="preserve"> (2017), it was the pioneer case law in the UK criminal justice, since when marital rape </w:t>
      </w:r>
      <w:r w:rsidRPr="00EA6BA3">
        <w:rPr>
          <w:rFonts w:ascii="Roboto" w:hAnsi="Roboto"/>
          <w:color w:val="444746"/>
          <w:sz w:val="21"/>
          <w:szCs w:val="21"/>
          <w:lang w:val="en-GB"/>
        </w:rPr>
        <w:t>became</w:t>
      </w:r>
      <w:r w:rsidRPr="00EA6BA3">
        <w:rPr>
          <w:lang w:val="en-GB"/>
        </w:rPr>
        <w:t xml:space="preserve"> punishable. On the other hand, the consent of wives has become valuable in front of the criminal law of the UK.</w:t>
      </w:r>
    </w:p>
    <w:p w14:paraId="5FF451DD" w14:textId="33EC6FBB" w:rsidR="00530923" w:rsidRPr="00EA6BA3" w:rsidRDefault="00530923" w:rsidP="00EA6BA3">
      <w:pPr>
        <w:rPr>
          <w:lang w:val="en-GB"/>
        </w:rPr>
      </w:pPr>
      <w:r w:rsidRPr="00EA6BA3">
        <w:rPr>
          <w:lang w:val="en-GB"/>
        </w:rPr>
        <w:t xml:space="preserve">The concept of Contract Theory in criminal law delivers values for the consent of people. On this note, Smith (2004) has explained that it shares the importance that people maintain their dignity to obey society's rules and not harm any others' values or choices against their consent. Similarly, in the UK, the concept of this theory offers the legal form to maintain legally binding relationships with other people through legal balance. Without consideration of the people, the legal balance is violated and the consent of the people is misplaced. However, Duff and Green </w:t>
      </w:r>
      <w:r w:rsidRPr="00EA6BA3">
        <w:rPr>
          <w:lang w:val="en-GB"/>
        </w:rPr>
        <w:lastRenderedPageBreak/>
        <w:t xml:space="preserve">(2011) have criticised the concept of Contract Theory by saying that in the UK, criminal law refers to some sexist, </w:t>
      </w:r>
      <w:r w:rsidR="00EA6BA3" w:rsidRPr="00EA6BA3">
        <w:rPr>
          <w:lang w:val="en-GB"/>
        </w:rPr>
        <w:t>speciesism</w:t>
      </w:r>
      <w:r w:rsidRPr="00EA6BA3">
        <w:rPr>
          <w:lang w:val="en-GB"/>
        </w:rPr>
        <w:t xml:space="preserve"> and normatively individualistic actions in society. Despite the criticism, the </w:t>
      </w:r>
      <w:r w:rsidR="00EA6BA3" w:rsidRPr="00EA6BA3">
        <w:rPr>
          <w:lang w:val="en-GB"/>
        </w:rPr>
        <w:t>Contract</w:t>
      </w:r>
      <w:r w:rsidRPr="00EA6BA3">
        <w:rPr>
          <w:lang w:val="en-GB"/>
        </w:rPr>
        <w:t xml:space="preserve"> Theory maintains the consent of the UK people on a brighter note and keeps the legal balance with a philosophical understanding.</w:t>
      </w:r>
    </w:p>
    <w:p w14:paraId="3AF58798" w14:textId="77777777" w:rsidR="00530923" w:rsidRPr="00EA6BA3" w:rsidRDefault="00530923" w:rsidP="00D35E12">
      <w:pPr>
        <w:rPr>
          <w:lang w:val="en-GB"/>
        </w:rPr>
      </w:pPr>
      <w:r w:rsidRPr="00EA6BA3">
        <w:rPr>
          <w:lang w:val="en-GB"/>
        </w:rPr>
        <w:t xml:space="preserve">Apart from contract theory philosophy, human rights is also an important aspect of UK criminal law to influence human consent. Here, Doak (2008) has shared that the philosophical aspect of UK human rights provides equality in criminal justice for the citizens. The law such as The Human Rights Act of 1998 treat everyone equally whether a criminal or a normal citizen. However, Amos (2009) has argued that the Human Rights Act of 1998 provides a lack of clarity in the UK criminal system where undeserving people like criminals or anti-social accused get further advantages due to its philosophy. Despite the issues, the people of the UK have a fate on the law and the Act to respect their consent and societal balance. Here, the case law of R vs Rimington in the Human Rights case in 2006 is an example of the UK Human Rights Act, 1998. Through this, the court provided authority to the accused to remain silent in police questioning. The defendant </w:t>
      </w:r>
      <w:r w:rsidRPr="00EA6BA3">
        <w:rPr>
          <w:rFonts w:ascii="Roboto" w:hAnsi="Roboto"/>
          <w:color w:val="444746"/>
          <w:sz w:val="21"/>
          <w:szCs w:val="21"/>
          <w:lang w:val="en-GB"/>
        </w:rPr>
        <w:t>did not commit</w:t>
      </w:r>
      <w:r w:rsidRPr="00EA6BA3">
        <w:rPr>
          <w:lang w:val="en-GB"/>
        </w:rPr>
        <w:t xml:space="preserve"> a criminal offence while asking for his rights in front of police officers.</w:t>
      </w:r>
    </w:p>
    <w:p w14:paraId="058FD8B5" w14:textId="77777777" w:rsidR="00530923" w:rsidRPr="00EA6BA3" w:rsidRDefault="00530923" w:rsidP="00D35E12">
      <w:pPr>
        <w:rPr>
          <w:lang w:val="en-GB"/>
        </w:rPr>
      </w:pPr>
      <w:r w:rsidRPr="00EA6BA3">
        <w:rPr>
          <w:lang w:val="en-GB"/>
        </w:rPr>
        <w:t>The ethical legitimacy of criminal law as well as the preference for a constitutional anthropological vision are influential on the understanding of consent. Similarly, in the UK, ethical aspects provide the backbone to the standpoints of criminal law.</w:t>
      </w:r>
    </w:p>
    <w:p w14:paraId="7A795292" w14:textId="77777777" w:rsidR="00530923" w:rsidRPr="00EA6BA3" w:rsidRDefault="00530923" w:rsidP="00D35E12">
      <w:pPr>
        <w:rPr>
          <w:lang w:val="en-GB"/>
        </w:rPr>
      </w:pPr>
      <w:r w:rsidRPr="00EA6BA3">
        <w:rPr>
          <w:lang w:val="en-GB"/>
        </w:rPr>
        <w:t xml:space="preserve">Article 2 is the Human Rights Act in the UK which highlights the right of a person to expect their life protected by law. As noted in Cps.gov.uk (2019), except for some limited cases, such as self-defence cases of police officers, the UK criminal law prioritises human consent by giving them physical protection. Article 3 supports the prohibition of torture to any person who harms their consent. Thus, ethically, the UK believes in the punishment of such activities. For example, Conversion Therapy in an international human rights framework as case law has </w:t>
      </w:r>
      <w:r w:rsidRPr="00EA6BA3">
        <w:rPr>
          <w:lang w:val="en-GB"/>
        </w:rPr>
        <w:lastRenderedPageBreak/>
        <w:t>ensured the protection of LGBTQ+ persons from any physical torture and rape. The human rights implications are there in this case law to protect their consent. Prohibition of slavery and forced labour ensures the ethical aspect of UK criminal law as well. It promotes the right of a person not to be treated as a slave or be in forceful labour. As per Article 5, a person has the right to enjoy liberty and security. On the contrary, Fair Trials (2023) has arguably reported that if a person is convicted or suspected of committing a crime, they can be arrested or detained as from the ethical perspective, it will support the UK criminal law and human consent. The right of a person to a fair and public hearing within a reasonable time highlights the ethical feature of the right to a fair trial as per Article 6.</w:t>
      </w:r>
    </w:p>
    <w:p w14:paraId="1B619B6F" w14:textId="77777777" w:rsidR="00530923" w:rsidRPr="00EA6BA3" w:rsidRDefault="00530923" w:rsidP="00D35E12">
      <w:pPr>
        <w:rPr>
          <w:lang w:val="en-GB"/>
        </w:rPr>
      </w:pPr>
      <w:r w:rsidRPr="00EA6BA3">
        <w:rPr>
          <w:lang w:val="en-GB"/>
        </w:rPr>
        <w:t xml:space="preserve">According to UK criminal law, an accused person is considered innocent until the guilt is proven in court. </w:t>
      </w:r>
      <w:proofErr w:type="spellStart"/>
      <w:r w:rsidRPr="00EA6BA3">
        <w:rPr>
          <w:lang w:val="en-GB"/>
        </w:rPr>
        <w:t>Gunatilleke</w:t>
      </w:r>
      <w:proofErr w:type="spellEnd"/>
      <w:r w:rsidRPr="00EA6BA3">
        <w:rPr>
          <w:lang w:val="en-GB"/>
        </w:rPr>
        <w:t xml:space="preserve"> (2020) has highlighted that it is ethically justified to protect the rights and freedom of individuals in the UK by making their consent prioritised. The case law of R v Rimmington (2006) highlighted that the defendant has the right to remain silent in the face of police questioning. However, the reports of the European Court of Human Rights (2022) have criticised that in the court of law, remaining silent had a high potential to direct the judgment against the accused of criminal damage. Still, respecting the consent of a person, the court prioritised the accused’s silence and declared that using this silence against the defender could be a wrong action for the police.</w:t>
      </w:r>
    </w:p>
    <w:p w14:paraId="0A94B67D" w14:textId="77777777" w:rsidR="00530923" w:rsidRPr="00EA6BA3" w:rsidRDefault="00530923" w:rsidP="00D35E12">
      <w:pPr>
        <w:rPr>
          <w:lang w:val="en-GB"/>
        </w:rPr>
      </w:pPr>
      <w:r w:rsidRPr="00EA6BA3">
        <w:rPr>
          <w:lang w:val="en-GB"/>
        </w:rPr>
        <w:t xml:space="preserve">Restorative justice in the UK is an ethical approach that tries to repair the harm caused by the criminal. Also, the reports of Aliu and Arifi (2021) have projected restorative justice as an attempt to make a reconciliation between the victim and the defender that satisfies the demands of human consent. For example, in the UK, marital reconciliation respects people’s consent by highlighting post-nuptial agreement that sets out commitments in new relationships. On the opposite side, the criticisms of Kingsley </w:t>
      </w:r>
      <w:proofErr w:type="spellStart"/>
      <w:r w:rsidRPr="00EA6BA3">
        <w:rPr>
          <w:lang w:val="en-GB"/>
        </w:rPr>
        <w:t>Napley</w:t>
      </w:r>
      <w:proofErr w:type="spellEnd"/>
      <w:r w:rsidRPr="00EA6BA3">
        <w:rPr>
          <w:lang w:val="en-GB"/>
        </w:rPr>
        <w:t xml:space="preserve"> (2023) also claim that the failure of reconciliation is also accepted as an ethical practice here, although it dignifies human consent.</w:t>
      </w:r>
    </w:p>
    <w:p w14:paraId="06297FA1" w14:textId="77777777" w:rsidR="00530923" w:rsidRPr="00EA6BA3" w:rsidRDefault="00530923" w:rsidP="00D35E12">
      <w:pPr>
        <w:rPr>
          <w:lang w:val="en-GB"/>
        </w:rPr>
      </w:pPr>
      <w:r w:rsidRPr="00EA6BA3">
        <w:rPr>
          <w:lang w:val="en-GB"/>
        </w:rPr>
        <w:lastRenderedPageBreak/>
        <w:t xml:space="preserve">The UK criminal law instructs judges, defence attorneys and prosecutors to maintain high ethical standards in terms of maintaining clients’ confidentiality and maintaining their consent in the administration of justice. </w:t>
      </w:r>
      <w:proofErr w:type="spellStart"/>
      <w:r w:rsidRPr="00EA6BA3">
        <w:rPr>
          <w:lang w:val="en-GB"/>
        </w:rPr>
        <w:t>Szczucki</w:t>
      </w:r>
      <w:proofErr w:type="spellEnd"/>
      <w:r w:rsidRPr="00EA6BA3">
        <w:rPr>
          <w:lang w:val="en-GB"/>
        </w:rPr>
        <w:t xml:space="preserve"> (2018) has however argued that maintaining transparency and encompassing accountability in the criminal justice system is more required to make justice meaningful.</w:t>
      </w:r>
    </w:p>
    <w:p w14:paraId="27258B75" w14:textId="77777777" w:rsidR="00530923" w:rsidRPr="00EA6BA3" w:rsidRDefault="00530923" w:rsidP="00D35E12">
      <w:pPr>
        <w:rPr>
          <w:lang w:val="en-GB"/>
        </w:rPr>
      </w:pPr>
      <w:r w:rsidRPr="00EA6BA3">
        <w:rPr>
          <w:lang w:val="en-GB"/>
        </w:rPr>
        <w:t>The common law and statute law in the UK legal system are the primary legal characteristics of criminal justice. According to the explanation of Del-</w:t>
      </w:r>
      <w:proofErr w:type="spellStart"/>
      <w:r w:rsidRPr="00EA6BA3">
        <w:rPr>
          <w:lang w:val="en-GB"/>
        </w:rPr>
        <w:t>Bove</w:t>
      </w:r>
      <w:proofErr w:type="spellEnd"/>
      <w:r w:rsidRPr="00EA6BA3">
        <w:rPr>
          <w:lang w:val="en-GB"/>
        </w:rPr>
        <w:t xml:space="preserve"> and </w:t>
      </w:r>
      <w:proofErr w:type="spellStart"/>
      <w:r w:rsidRPr="00EA6BA3">
        <w:rPr>
          <w:lang w:val="en-GB"/>
        </w:rPr>
        <w:t>Francoz</w:t>
      </w:r>
      <w:proofErr w:type="spellEnd"/>
      <w:r w:rsidRPr="00EA6BA3">
        <w:rPr>
          <w:lang w:val="en-GB"/>
        </w:rPr>
        <w:t>-Terminal (2015), the common laws are the criminal laws in the UK that are stated by the judges or the legal representatives of the UK. Beatson (2006) has critically explained that the proposed Act in the British parliament stands as a statute law in the UK legal system. Here, in the UK criminal justice, the statute laws maintain their superiority over the common laws. It also reformed many common laws to protect the consent of its citizens in a better way. On this note, the Donoghue vs Stevenson case law in 1932 is an example of advancements in British Trot Law by the parliament. Through this, the government introduced the Law Reform Act of 1945 to avoid negligence in public health safety. Through this case, the consent of public health is protected in the UK.</w:t>
      </w:r>
    </w:p>
    <w:p w14:paraId="6663E025" w14:textId="53B22D15" w:rsidR="00530923" w:rsidRPr="00EA6BA3" w:rsidRDefault="00530923" w:rsidP="00D35E12">
      <w:pPr>
        <w:rPr>
          <w:lang w:val="en-GB"/>
        </w:rPr>
      </w:pPr>
      <w:r w:rsidRPr="00EA6BA3">
        <w:rPr>
          <w:lang w:val="en-GB"/>
        </w:rPr>
        <w:t xml:space="preserve">In legal principle, arrest and detention is an important principle or framework to practice the UK criminal law in society. Here, the police have the authority to detain any accused for criminal proceedings. Also, due to the power of the Police and Criminal Evidence Act (PACE), 1984 police can detain any accused without any proven charge for sensitive cases. Through this, they offer the chance to investigate and try to gather preliminary evidence from the accused. Here, detention is the pressurised principle of the UK legal structure to serve the primary stage of criminal justice. However, </w:t>
      </w:r>
      <w:proofErr w:type="spellStart"/>
      <w:r w:rsidRPr="00EA6BA3">
        <w:rPr>
          <w:lang w:val="en-GB"/>
        </w:rPr>
        <w:t>Dehaghani</w:t>
      </w:r>
      <w:proofErr w:type="spellEnd"/>
      <w:r w:rsidRPr="00EA6BA3">
        <w:rPr>
          <w:lang w:val="en-GB"/>
        </w:rPr>
        <w:t xml:space="preserve"> (2021) has argued that the law or Act has some drawbacks. For example, for sensitive accused like mental health patients or disabilities, the PACE </w:t>
      </w:r>
      <w:r w:rsidR="00D35E12" w:rsidRPr="00EA6BA3">
        <w:rPr>
          <w:lang w:val="en-GB"/>
        </w:rPr>
        <w:t>maintains</w:t>
      </w:r>
      <w:r w:rsidRPr="00EA6BA3">
        <w:rPr>
          <w:lang w:val="en-GB"/>
        </w:rPr>
        <w:t xml:space="preserve"> a similar action to keep the law intact and no safeguard is </w:t>
      </w:r>
      <w:r w:rsidRPr="00EA6BA3">
        <w:rPr>
          <w:lang w:val="en-GB"/>
        </w:rPr>
        <w:lastRenderedPageBreak/>
        <w:t>offered for the special accused in the detention cells. On this note, it can be straight negligence of consent of people in the UK criminal law.</w:t>
      </w:r>
    </w:p>
    <w:p w14:paraId="209ACC37" w14:textId="77777777" w:rsidR="00530923" w:rsidRPr="00EA6BA3" w:rsidRDefault="00530923" w:rsidP="00F6172F">
      <w:pPr>
        <w:pStyle w:val="Heading1"/>
        <w:rPr>
          <w:lang w:val="en-GB"/>
        </w:rPr>
      </w:pPr>
      <w:bookmarkStart w:id="2" w:name="_Toc150286564"/>
      <w:r w:rsidRPr="00EA6BA3">
        <w:rPr>
          <w:lang w:val="en-GB"/>
        </w:rPr>
        <w:t>Conclusion</w:t>
      </w:r>
      <w:bookmarkEnd w:id="2"/>
    </w:p>
    <w:p w14:paraId="1DC406FE" w14:textId="25B2E97F" w:rsidR="00530923" w:rsidRDefault="00530923" w:rsidP="00F6172F">
      <w:pPr>
        <w:rPr>
          <w:lang w:val="en-GB"/>
        </w:rPr>
      </w:pPr>
      <w:r w:rsidRPr="00EA6BA3">
        <w:rPr>
          <w:lang w:val="en-GB"/>
        </w:rPr>
        <w:t>It can be summarized that the philosophical aspects, such as the Model Penal Code test, Contract Theory and human rights as well as ethical aspects, such as restorative justice, transparency and accountability, the presumption of innocence and so on shape the UK constitutional law that positively influences human consent. Legally, the common and statute laws and other legal frameworks reflect the case laws in the UK legal system.</w:t>
      </w:r>
    </w:p>
    <w:p w14:paraId="3768D978" w14:textId="4C6B95AD" w:rsidR="00F6172F" w:rsidRDefault="00F6172F">
      <w:pPr>
        <w:spacing w:line="259" w:lineRule="auto"/>
        <w:jc w:val="left"/>
        <w:rPr>
          <w:lang w:val="en-GB"/>
        </w:rPr>
      </w:pPr>
      <w:r>
        <w:rPr>
          <w:lang w:val="en-GB"/>
        </w:rPr>
        <w:br w:type="page"/>
      </w:r>
    </w:p>
    <w:p w14:paraId="5659F9D1" w14:textId="197708BC" w:rsidR="00F6172F" w:rsidRDefault="00F6172F" w:rsidP="00CA2F4B">
      <w:pPr>
        <w:pStyle w:val="Heading1"/>
        <w:rPr>
          <w:lang w:val="en-GB"/>
        </w:rPr>
      </w:pPr>
      <w:bookmarkStart w:id="3" w:name="_Toc150286565"/>
      <w:r>
        <w:rPr>
          <w:lang w:val="en-GB"/>
        </w:rPr>
        <w:lastRenderedPageBreak/>
        <w:t>References</w:t>
      </w:r>
      <w:bookmarkEnd w:id="3"/>
    </w:p>
    <w:p w14:paraId="2FEACC77" w14:textId="77777777" w:rsidR="003841EA" w:rsidRPr="003011F5" w:rsidRDefault="003841EA" w:rsidP="00C27BA2">
      <w:pPr>
        <w:rPr>
          <w:lang w:val="en-US"/>
        </w:rPr>
      </w:pPr>
      <w:r w:rsidRPr="003011F5">
        <w:rPr>
          <w:lang w:val="en-US"/>
        </w:rPr>
        <w:t xml:space="preserve">Aliu, A. and Arifi, B. (2021). Reconciliation Between the Victim and the Perpetrator-Restorative Justice. </w:t>
      </w:r>
      <w:r w:rsidRPr="003011F5">
        <w:rPr>
          <w:i/>
          <w:iCs/>
          <w:lang w:val="en-US"/>
        </w:rPr>
        <w:t>SEEU Review</w:t>
      </w:r>
      <w:r w:rsidRPr="003011F5">
        <w:rPr>
          <w:lang w:val="en-US"/>
        </w:rPr>
        <w:t xml:space="preserve">, [online] 16(2), pp.28–47. </w:t>
      </w:r>
      <w:proofErr w:type="spellStart"/>
      <w:r w:rsidRPr="003011F5">
        <w:rPr>
          <w:lang w:val="en-US"/>
        </w:rPr>
        <w:t>doi:</w:t>
      </w:r>
      <w:hyperlink r:id="rId8" w:history="1">
        <w:r w:rsidRPr="003011F5">
          <w:rPr>
            <w:lang w:val="en-US"/>
          </w:rPr>
          <w:t>https</w:t>
        </w:r>
        <w:proofErr w:type="spellEnd"/>
        <w:r w:rsidRPr="003011F5">
          <w:rPr>
            <w:lang w:val="en-US"/>
          </w:rPr>
          <w:t>://doi.org/10.2478/seeur-2021-0017</w:t>
        </w:r>
      </w:hyperlink>
      <w:r w:rsidRPr="003011F5">
        <w:rPr>
          <w:lang w:val="en-US"/>
        </w:rPr>
        <w:t>.</w:t>
      </w:r>
    </w:p>
    <w:p w14:paraId="5DB2CF90" w14:textId="77777777" w:rsidR="003841EA" w:rsidRDefault="003841EA" w:rsidP="00C27BA2">
      <w:pPr>
        <w:rPr>
          <w:lang w:val="en-US"/>
        </w:rPr>
      </w:pPr>
      <w:r>
        <w:rPr>
          <w:lang w:val="en-US"/>
        </w:rPr>
        <w:t xml:space="preserve">Amos, M. (2009). Problems with the Human Rights Act 1998 and How to Remedy Them: Is a Bill of Rights the Answer? </w:t>
      </w:r>
      <w:r>
        <w:rPr>
          <w:i/>
          <w:iCs/>
          <w:lang w:val="en-US"/>
        </w:rPr>
        <w:t>Modern Law Review</w:t>
      </w:r>
      <w:r>
        <w:rPr>
          <w:lang w:val="en-US"/>
        </w:rPr>
        <w:t xml:space="preserve">, [online] 72(6), pp.883–908. </w:t>
      </w:r>
      <w:proofErr w:type="spellStart"/>
      <w:r>
        <w:rPr>
          <w:lang w:val="en-US"/>
        </w:rPr>
        <w:t>doi:</w:t>
      </w:r>
      <w:hyperlink r:id="rId9" w:history="1">
        <w:r>
          <w:rPr>
            <w:lang w:val="en-US"/>
          </w:rPr>
          <w:t>https</w:t>
        </w:r>
        <w:proofErr w:type="spellEnd"/>
        <w:r>
          <w:rPr>
            <w:lang w:val="en-US"/>
          </w:rPr>
          <w:t>://doi.org/10.1111/j.1468-2230.2009.00773.x</w:t>
        </w:r>
      </w:hyperlink>
      <w:r>
        <w:rPr>
          <w:lang w:val="en-US"/>
        </w:rPr>
        <w:t>.</w:t>
      </w:r>
    </w:p>
    <w:p w14:paraId="2FD1BB74" w14:textId="77777777" w:rsidR="003841EA" w:rsidRDefault="003841EA" w:rsidP="00C27BA2">
      <w:pPr>
        <w:rPr>
          <w:lang w:val="en-US"/>
        </w:rPr>
      </w:pPr>
      <w:r>
        <w:rPr>
          <w:lang w:val="en-US"/>
        </w:rPr>
        <w:t xml:space="preserve">Beatson, J. (2006). Common Law, Statute Law, and Constitutional Law. </w:t>
      </w:r>
      <w:r>
        <w:rPr>
          <w:i/>
          <w:iCs/>
          <w:lang w:val="en-US"/>
        </w:rPr>
        <w:t>Statute Law Review</w:t>
      </w:r>
      <w:r>
        <w:rPr>
          <w:lang w:val="en-US"/>
        </w:rPr>
        <w:t xml:space="preserve">, [online] 27(1), pp.1–14. </w:t>
      </w:r>
      <w:proofErr w:type="spellStart"/>
      <w:r>
        <w:rPr>
          <w:lang w:val="en-US"/>
        </w:rPr>
        <w:t>doi:</w:t>
      </w:r>
      <w:hyperlink r:id="rId10" w:history="1">
        <w:r>
          <w:rPr>
            <w:lang w:val="en-US"/>
          </w:rPr>
          <w:t>https</w:t>
        </w:r>
        <w:proofErr w:type="spellEnd"/>
        <w:r>
          <w:rPr>
            <w:lang w:val="en-US"/>
          </w:rPr>
          <w:t>://doi.org/10.1093/slr/hmi021</w:t>
        </w:r>
      </w:hyperlink>
      <w:r>
        <w:rPr>
          <w:lang w:val="en-US"/>
        </w:rPr>
        <w:t>.</w:t>
      </w:r>
    </w:p>
    <w:p w14:paraId="1C111973" w14:textId="77777777" w:rsidR="003841EA" w:rsidRPr="003011F5" w:rsidRDefault="003841EA" w:rsidP="00C27BA2">
      <w:pPr>
        <w:rPr>
          <w:lang w:val="en-US"/>
        </w:rPr>
      </w:pPr>
      <w:r w:rsidRPr="003011F5">
        <w:rPr>
          <w:lang w:val="en-US"/>
        </w:rPr>
        <w:t xml:space="preserve">Cps.gov.uk (2019). </w:t>
      </w:r>
      <w:r w:rsidRPr="003011F5">
        <w:rPr>
          <w:i/>
          <w:iCs/>
          <w:lang w:val="en-US"/>
        </w:rPr>
        <w:t>Human Rights and Criminal Prosecutions: General Principles | The Crown Prosecution Service</w:t>
      </w:r>
      <w:r w:rsidRPr="003011F5">
        <w:rPr>
          <w:lang w:val="en-US"/>
        </w:rPr>
        <w:t xml:space="preserve">. [online] www.cps.gov.uk. Available at: </w:t>
      </w:r>
      <w:hyperlink r:id="rId11" w:anchor=":~:text=A%20person%20has%20the%20right" w:history="1">
        <w:r w:rsidRPr="003011F5">
          <w:rPr>
            <w:lang w:val="en-US"/>
          </w:rPr>
          <w:t>https://www.cps.gov.uk/legal-guidance/human-rights-and-criminal-prosecutions-general-principles#:~:text=A%20person%20has%20the%20right</w:t>
        </w:r>
      </w:hyperlink>
      <w:r w:rsidRPr="003011F5">
        <w:rPr>
          <w:lang w:val="en-US"/>
        </w:rPr>
        <w:t xml:space="preserve"> [Accessed 7 Nov. 2023].</w:t>
      </w:r>
    </w:p>
    <w:p w14:paraId="570A0F1E" w14:textId="77777777" w:rsidR="003841EA" w:rsidRDefault="003841EA" w:rsidP="00C27BA2">
      <w:pPr>
        <w:rPr>
          <w:lang w:val="en-US"/>
        </w:rPr>
      </w:pPr>
      <w:proofErr w:type="spellStart"/>
      <w:r>
        <w:rPr>
          <w:lang w:val="en-US"/>
        </w:rPr>
        <w:t>Dehaghani</w:t>
      </w:r>
      <w:proofErr w:type="spellEnd"/>
      <w:r>
        <w:rPr>
          <w:lang w:val="en-US"/>
        </w:rPr>
        <w:t xml:space="preserve">, R. (2021). Interpreting and Reframing the Appropriate Adult Safeguard. </w:t>
      </w:r>
      <w:r>
        <w:rPr>
          <w:i/>
          <w:iCs/>
          <w:lang w:val="en-US"/>
        </w:rPr>
        <w:t>Oxford Journal of Legal Studies</w:t>
      </w:r>
      <w:r>
        <w:rPr>
          <w:lang w:val="en-US"/>
        </w:rPr>
        <w:t xml:space="preserve">. [online] </w:t>
      </w:r>
      <w:proofErr w:type="spellStart"/>
      <w:r>
        <w:rPr>
          <w:lang w:val="en-US"/>
        </w:rPr>
        <w:t>doi:</w:t>
      </w:r>
      <w:hyperlink r:id="rId12" w:history="1">
        <w:r>
          <w:rPr>
            <w:lang w:val="en-US"/>
          </w:rPr>
          <w:t>https</w:t>
        </w:r>
        <w:proofErr w:type="spellEnd"/>
        <w:r>
          <w:rPr>
            <w:lang w:val="en-US"/>
          </w:rPr>
          <w:t>://doi.org/10.1093/ojls/gqab029</w:t>
        </w:r>
      </w:hyperlink>
      <w:r>
        <w:rPr>
          <w:lang w:val="en-US"/>
        </w:rPr>
        <w:t>.</w:t>
      </w:r>
    </w:p>
    <w:p w14:paraId="37F2D089" w14:textId="77777777" w:rsidR="003841EA" w:rsidRDefault="003841EA" w:rsidP="00C27BA2">
      <w:pPr>
        <w:rPr>
          <w:lang w:val="en-US"/>
        </w:rPr>
      </w:pPr>
      <w:r>
        <w:rPr>
          <w:lang w:val="en-US"/>
        </w:rPr>
        <w:t xml:space="preserve">Del-Bove, M.C. and </w:t>
      </w:r>
      <w:proofErr w:type="spellStart"/>
      <w:r>
        <w:rPr>
          <w:lang w:val="en-US"/>
        </w:rPr>
        <w:t>Francoz</w:t>
      </w:r>
      <w:proofErr w:type="spellEnd"/>
      <w:r>
        <w:rPr>
          <w:lang w:val="en-US"/>
        </w:rPr>
        <w:t xml:space="preserve">-Terminal, L. (2015). How Common is the Common Law? Some Differences and Similarities in British and American Superior Court Decisions. </w:t>
      </w:r>
      <w:proofErr w:type="spellStart"/>
      <w:r>
        <w:rPr>
          <w:i/>
          <w:iCs/>
          <w:lang w:val="en-US"/>
        </w:rPr>
        <w:t>Revista</w:t>
      </w:r>
      <w:proofErr w:type="spellEnd"/>
      <w:r>
        <w:rPr>
          <w:i/>
          <w:iCs/>
          <w:lang w:val="en-US"/>
        </w:rPr>
        <w:t xml:space="preserve"> </w:t>
      </w:r>
      <w:proofErr w:type="spellStart"/>
      <w:r>
        <w:rPr>
          <w:i/>
          <w:iCs/>
          <w:lang w:val="en-US"/>
        </w:rPr>
        <w:t>Alicantina</w:t>
      </w:r>
      <w:proofErr w:type="spellEnd"/>
      <w:r>
        <w:rPr>
          <w:i/>
          <w:iCs/>
          <w:lang w:val="en-US"/>
        </w:rPr>
        <w:t xml:space="preserve"> de </w:t>
      </w:r>
      <w:proofErr w:type="spellStart"/>
      <w:r>
        <w:rPr>
          <w:i/>
          <w:iCs/>
          <w:lang w:val="en-US"/>
        </w:rPr>
        <w:t>Estudios</w:t>
      </w:r>
      <w:proofErr w:type="spellEnd"/>
      <w:r>
        <w:rPr>
          <w:i/>
          <w:iCs/>
          <w:lang w:val="en-US"/>
        </w:rPr>
        <w:t xml:space="preserve"> </w:t>
      </w:r>
      <w:proofErr w:type="spellStart"/>
      <w:r>
        <w:rPr>
          <w:i/>
          <w:iCs/>
          <w:lang w:val="en-US"/>
        </w:rPr>
        <w:t>Ingleses</w:t>
      </w:r>
      <w:proofErr w:type="spellEnd"/>
      <w:r>
        <w:rPr>
          <w:lang w:val="en-US"/>
        </w:rPr>
        <w:t xml:space="preserve">, [online] (28). </w:t>
      </w:r>
      <w:proofErr w:type="spellStart"/>
      <w:r>
        <w:rPr>
          <w:lang w:val="en-US"/>
        </w:rPr>
        <w:t>doi:</w:t>
      </w:r>
      <w:hyperlink r:id="rId13" w:history="1">
        <w:r>
          <w:rPr>
            <w:lang w:val="en-US"/>
          </w:rPr>
          <w:t>https</w:t>
        </w:r>
        <w:proofErr w:type="spellEnd"/>
        <w:r>
          <w:rPr>
            <w:lang w:val="en-US"/>
          </w:rPr>
          <w:t>://doi.org/10.14198/raei.2015.28.04</w:t>
        </w:r>
      </w:hyperlink>
      <w:r>
        <w:rPr>
          <w:lang w:val="en-US"/>
        </w:rPr>
        <w:t>.</w:t>
      </w:r>
    </w:p>
    <w:p w14:paraId="7936DB0D" w14:textId="77777777" w:rsidR="003841EA" w:rsidRDefault="003841EA" w:rsidP="00C27BA2">
      <w:pPr>
        <w:rPr>
          <w:lang w:val="en-US"/>
        </w:rPr>
      </w:pPr>
      <w:r>
        <w:rPr>
          <w:lang w:val="en-US"/>
        </w:rPr>
        <w:t xml:space="preserve">Doak, J. (2008). </w:t>
      </w:r>
      <w:r>
        <w:rPr>
          <w:i/>
          <w:iCs/>
          <w:lang w:val="en-US"/>
        </w:rPr>
        <w:t>Victims’ Rights, Human Rights and Criminal Justice: Reconceiving the Role of Third Parties</w:t>
      </w:r>
      <w:r>
        <w:rPr>
          <w:lang w:val="en-US"/>
        </w:rPr>
        <w:t xml:space="preserve">. [online] </w:t>
      </w:r>
      <w:r>
        <w:rPr>
          <w:i/>
          <w:iCs/>
          <w:lang w:val="en-US"/>
        </w:rPr>
        <w:t>Google Books</w:t>
      </w:r>
      <w:r>
        <w:rPr>
          <w:lang w:val="en-US"/>
        </w:rPr>
        <w:t xml:space="preserve">. Bloomsbury Publishing. Available at: </w:t>
      </w:r>
      <w:hyperlink r:id="rId14" w:anchor="v=onepage&amp;q=human%20rights%20philosophy%20in%20the%20uk%20criminal%20law&amp;f=false" w:history="1">
        <w:r>
          <w:rPr>
            <w:lang w:val="en-US"/>
          </w:rPr>
          <w:t>https://books.google.co.in/books?hl=en&amp;lr=&amp;id=vvDbBAAAQBAJ&amp;oi=fnd&amp;pg=PP1&amp;dq=human+rights+philosophy+in+the+uk+criminal+law&amp;ots=Brhi7nu4BM&amp;sig=VPOIU24RfRAEUj8NRT2aBZx5tCM&amp;redir_esc=y#v=onepage&amp;q=human%20rights%20philosophy%20in%20the%20uk%20criminal%20law&amp;f=false</w:t>
        </w:r>
      </w:hyperlink>
      <w:r>
        <w:rPr>
          <w:lang w:val="en-US"/>
        </w:rPr>
        <w:t xml:space="preserve"> [Accessed 7 Nov. 2023].</w:t>
      </w:r>
    </w:p>
    <w:p w14:paraId="487E8645" w14:textId="77777777" w:rsidR="003841EA" w:rsidRDefault="003841EA" w:rsidP="00C27BA2">
      <w:pPr>
        <w:rPr>
          <w:lang w:val="en-US"/>
        </w:rPr>
      </w:pPr>
      <w:r>
        <w:rPr>
          <w:lang w:val="en-US"/>
        </w:rPr>
        <w:lastRenderedPageBreak/>
        <w:t xml:space="preserve">Duff, R.A. and Green, S.A. (2011). </w:t>
      </w:r>
      <w:r>
        <w:rPr>
          <w:i/>
          <w:iCs/>
          <w:lang w:val="en-US"/>
        </w:rPr>
        <w:t>Philosophical Foundations of Criminal Law</w:t>
      </w:r>
      <w:r>
        <w:rPr>
          <w:lang w:val="en-US"/>
        </w:rPr>
        <w:t xml:space="preserve">. [online] </w:t>
      </w:r>
      <w:r>
        <w:rPr>
          <w:i/>
          <w:iCs/>
          <w:lang w:val="en-US"/>
        </w:rPr>
        <w:t xml:space="preserve">Oxford University </w:t>
      </w:r>
      <w:proofErr w:type="spellStart"/>
      <w:r>
        <w:rPr>
          <w:i/>
          <w:iCs/>
          <w:lang w:val="en-US"/>
        </w:rPr>
        <w:t>PressOxford</w:t>
      </w:r>
      <w:proofErr w:type="spellEnd"/>
      <w:r>
        <w:rPr>
          <w:i/>
          <w:iCs/>
          <w:lang w:val="en-US"/>
        </w:rPr>
        <w:t xml:space="preserve"> eBooks</w:t>
      </w:r>
      <w:r>
        <w:rPr>
          <w:lang w:val="en-US"/>
        </w:rPr>
        <w:t xml:space="preserve">. Oxford University Press. </w:t>
      </w:r>
      <w:proofErr w:type="spellStart"/>
      <w:r>
        <w:rPr>
          <w:lang w:val="en-US"/>
        </w:rPr>
        <w:t>doi:</w:t>
      </w:r>
      <w:hyperlink r:id="rId15" w:history="1">
        <w:r>
          <w:rPr>
            <w:lang w:val="en-US"/>
          </w:rPr>
          <w:t>https</w:t>
        </w:r>
        <w:proofErr w:type="spellEnd"/>
        <w:r>
          <w:rPr>
            <w:lang w:val="en-US"/>
          </w:rPr>
          <w:t>://doi.org/10.1093/acprof:oso/9780199559152.001.0001</w:t>
        </w:r>
      </w:hyperlink>
      <w:r>
        <w:rPr>
          <w:lang w:val="en-US"/>
        </w:rPr>
        <w:t>.</w:t>
      </w:r>
    </w:p>
    <w:p w14:paraId="38F1EB58" w14:textId="77777777" w:rsidR="003841EA" w:rsidRPr="003011F5" w:rsidRDefault="003841EA" w:rsidP="00C27BA2">
      <w:pPr>
        <w:rPr>
          <w:lang w:val="en-US"/>
        </w:rPr>
      </w:pPr>
      <w:r w:rsidRPr="003011F5">
        <w:rPr>
          <w:lang w:val="en-US"/>
        </w:rPr>
        <w:t xml:space="preserve">European Court of Human Rights (2022). </w:t>
      </w:r>
      <w:r w:rsidRPr="003011F5">
        <w:rPr>
          <w:i/>
          <w:iCs/>
          <w:lang w:val="en-US"/>
        </w:rPr>
        <w:t>Guide on Article 6 of the European Convention on Human Rights</w:t>
      </w:r>
      <w:r w:rsidRPr="003011F5">
        <w:rPr>
          <w:lang w:val="en-US"/>
        </w:rPr>
        <w:t xml:space="preserve">. [online] Available at: </w:t>
      </w:r>
      <w:hyperlink r:id="rId16" w:history="1">
        <w:r w:rsidRPr="003011F5">
          <w:rPr>
            <w:lang w:val="en-US"/>
          </w:rPr>
          <w:t>https://www.echr.coe.int/documents/d/echr/guide_art_6_criminal_eng</w:t>
        </w:r>
      </w:hyperlink>
      <w:r w:rsidRPr="003011F5">
        <w:rPr>
          <w:lang w:val="en-US"/>
        </w:rPr>
        <w:t xml:space="preserve"> [Accessed 7 Nov. 2023].</w:t>
      </w:r>
    </w:p>
    <w:p w14:paraId="33DE667C" w14:textId="77777777" w:rsidR="003841EA" w:rsidRPr="003011F5" w:rsidRDefault="003841EA" w:rsidP="00C27BA2">
      <w:pPr>
        <w:rPr>
          <w:lang w:val="en-US"/>
        </w:rPr>
      </w:pPr>
      <w:r w:rsidRPr="003011F5">
        <w:rPr>
          <w:lang w:val="en-US"/>
        </w:rPr>
        <w:t xml:space="preserve">Fair Trials (2023). </w:t>
      </w:r>
      <w:r w:rsidRPr="003011F5">
        <w:rPr>
          <w:i/>
          <w:iCs/>
          <w:lang w:val="en-US"/>
        </w:rPr>
        <w:t>The Right to a Fair Trial</w:t>
      </w:r>
      <w:r w:rsidRPr="003011F5">
        <w:rPr>
          <w:lang w:val="en-US"/>
        </w:rPr>
        <w:t xml:space="preserve">. [online] Fair Trials. Available at: </w:t>
      </w:r>
      <w:hyperlink r:id="rId17" w:history="1">
        <w:r w:rsidRPr="003011F5">
          <w:rPr>
            <w:lang w:val="en-US"/>
          </w:rPr>
          <w:t>https://www.fairtrials.org/the-right-to-a-fair-trial/</w:t>
        </w:r>
      </w:hyperlink>
      <w:r w:rsidRPr="003011F5">
        <w:rPr>
          <w:lang w:val="en-US"/>
        </w:rPr>
        <w:t xml:space="preserve"> [Accessed 7 Nov. 2023].</w:t>
      </w:r>
    </w:p>
    <w:p w14:paraId="760E82E1" w14:textId="77777777" w:rsidR="003841EA" w:rsidRPr="003011F5" w:rsidRDefault="003841EA" w:rsidP="00C27BA2">
      <w:pPr>
        <w:rPr>
          <w:lang w:val="en-US"/>
        </w:rPr>
      </w:pPr>
      <w:proofErr w:type="spellStart"/>
      <w:r w:rsidRPr="003011F5">
        <w:rPr>
          <w:lang w:val="en-US"/>
        </w:rPr>
        <w:t>Gunatilleke</w:t>
      </w:r>
      <w:proofErr w:type="spellEnd"/>
      <w:r w:rsidRPr="003011F5">
        <w:rPr>
          <w:lang w:val="en-US"/>
        </w:rPr>
        <w:t xml:space="preserve">, G. (2020). Justifying Limitations on the Freedom of Expression. </w:t>
      </w:r>
      <w:r w:rsidRPr="003011F5">
        <w:rPr>
          <w:i/>
          <w:iCs/>
          <w:lang w:val="en-US"/>
        </w:rPr>
        <w:t>Human Rights Review</w:t>
      </w:r>
      <w:r w:rsidRPr="003011F5">
        <w:rPr>
          <w:lang w:val="en-US"/>
        </w:rPr>
        <w:t xml:space="preserve">, [online] 22(22), pp.91–108. </w:t>
      </w:r>
      <w:proofErr w:type="spellStart"/>
      <w:r w:rsidRPr="003011F5">
        <w:rPr>
          <w:lang w:val="en-US"/>
        </w:rPr>
        <w:t>doi:</w:t>
      </w:r>
      <w:hyperlink r:id="rId18" w:history="1">
        <w:r w:rsidRPr="003011F5">
          <w:rPr>
            <w:lang w:val="en-US"/>
          </w:rPr>
          <w:t>https</w:t>
        </w:r>
        <w:proofErr w:type="spellEnd"/>
        <w:r w:rsidRPr="003011F5">
          <w:rPr>
            <w:lang w:val="en-US"/>
          </w:rPr>
          <w:t>://doi.org/10.1007/s12142-020-00608-8</w:t>
        </w:r>
      </w:hyperlink>
      <w:r w:rsidRPr="003011F5">
        <w:rPr>
          <w:lang w:val="en-US"/>
        </w:rPr>
        <w:t>.</w:t>
      </w:r>
    </w:p>
    <w:p w14:paraId="25BFD7CB" w14:textId="77777777" w:rsidR="003841EA" w:rsidRDefault="003841EA" w:rsidP="00C27BA2">
      <w:pPr>
        <w:rPr>
          <w:lang w:val="en-US"/>
        </w:rPr>
      </w:pPr>
      <w:r>
        <w:rPr>
          <w:lang w:val="en-US"/>
        </w:rPr>
        <w:t xml:space="preserve">Jowell, J. (2018). </w:t>
      </w:r>
      <w:r>
        <w:rPr>
          <w:i/>
          <w:iCs/>
          <w:lang w:val="en-US"/>
        </w:rPr>
        <w:t>Proportionality in the United Kingdom</w:t>
      </w:r>
      <w:r>
        <w:rPr>
          <w:lang w:val="en-US"/>
        </w:rPr>
        <w:t xml:space="preserve">. [online] Revue </w:t>
      </w:r>
      <w:proofErr w:type="spellStart"/>
      <w:r>
        <w:rPr>
          <w:lang w:val="en-US"/>
        </w:rPr>
        <w:t>générale</w:t>
      </w:r>
      <w:proofErr w:type="spellEnd"/>
      <w:r>
        <w:rPr>
          <w:lang w:val="en-US"/>
        </w:rPr>
        <w:t xml:space="preserve"> du droit. Available at: </w:t>
      </w:r>
      <w:hyperlink r:id="rId19" w:anchor=":~:text=I.%20In%20this%20sense%2C%20proportionality%20serves%20to" w:history="1">
        <w:r>
          <w:rPr>
            <w:lang w:val="en-US"/>
          </w:rPr>
          <w:t>https://www.revuegeneraledudroit.eu/blog/2018/11/15/proportionality-in-the-united-kingdom/#:~:text=I.%20In%20this%20sense%2C%20proportionality%20serves%20to</w:t>
        </w:r>
      </w:hyperlink>
      <w:r>
        <w:rPr>
          <w:lang w:val="en-US"/>
        </w:rPr>
        <w:t xml:space="preserve"> [Accessed 7 Nov. 2023].</w:t>
      </w:r>
    </w:p>
    <w:p w14:paraId="4BC64982" w14:textId="77777777" w:rsidR="003841EA" w:rsidRPr="003011F5" w:rsidRDefault="003841EA" w:rsidP="00C27BA2">
      <w:pPr>
        <w:rPr>
          <w:lang w:val="en-US"/>
        </w:rPr>
      </w:pPr>
      <w:r w:rsidRPr="003011F5">
        <w:rPr>
          <w:lang w:val="en-US"/>
        </w:rPr>
        <w:t xml:space="preserve">Kingsley </w:t>
      </w:r>
      <w:proofErr w:type="spellStart"/>
      <w:r w:rsidRPr="003011F5">
        <w:rPr>
          <w:lang w:val="en-US"/>
        </w:rPr>
        <w:t>Napley</w:t>
      </w:r>
      <w:proofErr w:type="spellEnd"/>
      <w:r w:rsidRPr="003011F5">
        <w:rPr>
          <w:lang w:val="en-US"/>
        </w:rPr>
        <w:t xml:space="preserve"> (2023). </w:t>
      </w:r>
      <w:r w:rsidRPr="003011F5">
        <w:rPr>
          <w:i/>
          <w:iCs/>
          <w:lang w:val="en-US"/>
        </w:rPr>
        <w:t>Reconciliation Contracts | Lawyers, Solicitors London | Independent Law Firm of the Year 2022</w:t>
      </w:r>
      <w:r w:rsidRPr="003011F5">
        <w:rPr>
          <w:lang w:val="en-US"/>
        </w:rPr>
        <w:t xml:space="preserve">. [online] www.kingsleynapley.co.uk. Available at: </w:t>
      </w:r>
      <w:hyperlink r:id="rId20" w:anchor=":~:text=It%20is%20a%20form%20of" w:history="1">
        <w:r w:rsidRPr="003011F5">
          <w:rPr>
            <w:lang w:val="en-US"/>
          </w:rPr>
          <w:t>https://www.kingsleynapley.co.uk/services/department/family-and-divorce/getting-married/reconciliation-contracts#:~:text=It%20is%20a%20form%20of</w:t>
        </w:r>
      </w:hyperlink>
      <w:r w:rsidRPr="003011F5">
        <w:rPr>
          <w:lang w:val="en-US"/>
        </w:rPr>
        <w:t xml:space="preserve"> [Accessed 7 Nov. 2023].</w:t>
      </w:r>
    </w:p>
    <w:p w14:paraId="10FED400" w14:textId="77777777" w:rsidR="003841EA" w:rsidRDefault="003841EA" w:rsidP="00C27BA2">
      <w:pPr>
        <w:rPr>
          <w:lang w:val="en-US"/>
        </w:rPr>
      </w:pPr>
      <w:r>
        <w:rPr>
          <w:lang w:val="en-US"/>
        </w:rPr>
        <w:t xml:space="preserve">Lee, Y. (2013). What is Philosophy of Criminal Law? </w:t>
      </w:r>
      <w:r>
        <w:rPr>
          <w:i/>
          <w:iCs/>
          <w:lang w:val="en-US"/>
        </w:rPr>
        <w:t>Criminal Law and Philosophy</w:t>
      </w:r>
      <w:r>
        <w:rPr>
          <w:lang w:val="en-US"/>
        </w:rPr>
        <w:t xml:space="preserve">, [online] 8(3), pp.671–685. </w:t>
      </w:r>
      <w:proofErr w:type="spellStart"/>
      <w:r>
        <w:rPr>
          <w:lang w:val="en-US"/>
        </w:rPr>
        <w:t>doi:</w:t>
      </w:r>
      <w:hyperlink r:id="rId21" w:history="1">
        <w:r>
          <w:rPr>
            <w:lang w:val="en-US"/>
          </w:rPr>
          <w:t>https</w:t>
        </w:r>
        <w:proofErr w:type="spellEnd"/>
        <w:r>
          <w:rPr>
            <w:lang w:val="en-US"/>
          </w:rPr>
          <w:t>://doi.org/10.1007/s11572-013-9222-0</w:t>
        </w:r>
      </w:hyperlink>
      <w:r>
        <w:rPr>
          <w:lang w:val="en-US"/>
        </w:rPr>
        <w:t>.</w:t>
      </w:r>
    </w:p>
    <w:p w14:paraId="1B17BA53" w14:textId="77777777" w:rsidR="003841EA" w:rsidRDefault="003841EA" w:rsidP="00C27BA2">
      <w:pPr>
        <w:rPr>
          <w:lang w:val="en-US"/>
        </w:rPr>
      </w:pPr>
      <w:r>
        <w:rPr>
          <w:lang w:val="en-US"/>
        </w:rPr>
        <w:lastRenderedPageBreak/>
        <w:t xml:space="preserve">Smith, S.A. (2004). </w:t>
      </w:r>
      <w:r>
        <w:rPr>
          <w:i/>
          <w:iCs/>
          <w:lang w:val="en-US"/>
        </w:rPr>
        <w:t>Contract Theory</w:t>
      </w:r>
      <w:r>
        <w:rPr>
          <w:lang w:val="en-US"/>
        </w:rPr>
        <w:t xml:space="preserve">. [online] </w:t>
      </w:r>
      <w:r>
        <w:rPr>
          <w:i/>
          <w:iCs/>
          <w:lang w:val="en-US"/>
        </w:rPr>
        <w:t>Google Books</w:t>
      </w:r>
      <w:r>
        <w:rPr>
          <w:lang w:val="en-US"/>
        </w:rPr>
        <w:t xml:space="preserve">. OUP Oxford. Available at: </w:t>
      </w:r>
      <w:hyperlink r:id="rId22" w:anchor="v=onepage&amp;q=in%20particular%20the%20English%20common%20law%2C&amp;f=false" w:history="1">
        <w:r>
          <w:rPr>
            <w:lang w:val="en-US"/>
          </w:rPr>
          <w:t>https://books.google.co.in/books?hl=en&amp;lr=&amp;id=V25CAgAAQBAJ&amp;oi=fnd&amp;pg=PP23&amp;dq=Contract+theory+in+criminal++law&amp;ots=QIJJG5CREf&amp;sig=NK6Zyksnw5iwG7LZmHdf5qFzTm8&amp;redir_esc=y#v=onepage&amp;q=in%20particular%20the%20English%20common%20law%2C&amp;f=false</w:t>
        </w:r>
      </w:hyperlink>
      <w:r>
        <w:rPr>
          <w:lang w:val="en-US"/>
        </w:rPr>
        <w:t xml:space="preserve"> [Accessed 7 Nov. 2023].</w:t>
      </w:r>
    </w:p>
    <w:p w14:paraId="7853D013" w14:textId="77777777" w:rsidR="003841EA" w:rsidRPr="003011F5" w:rsidRDefault="003841EA" w:rsidP="00C27BA2">
      <w:pPr>
        <w:rPr>
          <w:lang w:val="en-US"/>
        </w:rPr>
      </w:pPr>
      <w:proofErr w:type="spellStart"/>
      <w:r w:rsidRPr="003011F5">
        <w:rPr>
          <w:lang w:val="en-US"/>
        </w:rPr>
        <w:t>Szczucki</w:t>
      </w:r>
      <w:proofErr w:type="spellEnd"/>
      <w:r w:rsidRPr="003011F5">
        <w:rPr>
          <w:lang w:val="en-US"/>
        </w:rPr>
        <w:t xml:space="preserve">, K. (2018). Ethical legitimacy of criminal law. </w:t>
      </w:r>
      <w:r w:rsidRPr="003011F5">
        <w:rPr>
          <w:i/>
          <w:iCs/>
          <w:lang w:val="en-US"/>
        </w:rPr>
        <w:t>International Journal of Law, Crime and Justice</w:t>
      </w:r>
      <w:r w:rsidRPr="003011F5">
        <w:rPr>
          <w:lang w:val="en-US"/>
        </w:rPr>
        <w:t xml:space="preserve">, [online] 53, pp.67–76. </w:t>
      </w:r>
      <w:proofErr w:type="spellStart"/>
      <w:r w:rsidRPr="003011F5">
        <w:rPr>
          <w:lang w:val="en-US"/>
        </w:rPr>
        <w:t>doi:</w:t>
      </w:r>
      <w:hyperlink r:id="rId23" w:history="1">
        <w:r w:rsidRPr="003011F5">
          <w:rPr>
            <w:lang w:val="en-US"/>
          </w:rPr>
          <w:t>https</w:t>
        </w:r>
        <w:proofErr w:type="spellEnd"/>
        <w:r w:rsidRPr="003011F5">
          <w:rPr>
            <w:lang w:val="en-US"/>
          </w:rPr>
          <w:t>://doi.org/10.1016/j.ijlcj.2018.03.002</w:t>
        </w:r>
      </w:hyperlink>
      <w:r w:rsidRPr="003011F5">
        <w:rPr>
          <w:lang w:val="en-US"/>
        </w:rPr>
        <w:t>.</w:t>
      </w:r>
    </w:p>
    <w:p w14:paraId="42626582" w14:textId="77777777" w:rsidR="003841EA" w:rsidRDefault="003841EA" w:rsidP="00C27BA2">
      <w:pPr>
        <w:rPr>
          <w:lang w:val="en-US"/>
        </w:rPr>
      </w:pPr>
      <w:proofErr w:type="spellStart"/>
      <w:r>
        <w:rPr>
          <w:lang w:val="en-US"/>
        </w:rPr>
        <w:t>Vallithan</w:t>
      </w:r>
      <w:proofErr w:type="spellEnd"/>
      <w:r>
        <w:rPr>
          <w:lang w:val="en-US"/>
        </w:rPr>
        <w:t xml:space="preserve">, S. (2017). </w:t>
      </w:r>
      <w:r>
        <w:rPr>
          <w:i/>
          <w:iCs/>
          <w:lang w:val="en-US"/>
        </w:rPr>
        <w:t>R v R [1992] 1 AC 599: A contextual appreciation of the law on marital rape from jurisprudential perspectives | Request PDF</w:t>
      </w:r>
      <w:r>
        <w:rPr>
          <w:lang w:val="en-US"/>
        </w:rPr>
        <w:t xml:space="preserve">. [online] ResearchGate. Available at: </w:t>
      </w:r>
      <w:hyperlink r:id="rId24" w:history="1">
        <w:r>
          <w:rPr>
            <w:lang w:val="en-US"/>
          </w:rPr>
          <w:t>https://www.researchgate.net/publication/321772092_R_v_R_1992_1_AC_599_A_contextual_appreciation_of_the_law_on_marital_rape_from_jurisprudential_perspectives</w:t>
        </w:r>
      </w:hyperlink>
      <w:r>
        <w:rPr>
          <w:lang w:val="en-US"/>
        </w:rPr>
        <w:t xml:space="preserve"> [Accessed 7 Nov. 2023].</w:t>
      </w:r>
    </w:p>
    <w:p w14:paraId="5C556DBA" w14:textId="77777777" w:rsidR="006B3CB0" w:rsidRPr="00EA6BA3" w:rsidRDefault="006B3CB0" w:rsidP="00F6172F">
      <w:pPr>
        <w:rPr>
          <w:lang w:val="en-GB"/>
        </w:rPr>
      </w:pPr>
    </w:p>
    <w:sectPr w:rsidR="006B3CB0" w:rsidRPr="00EA6BA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8BE52" w14:textId="77777777" w:rsidR="00F832F4" w:rsidRDefault="00F832F4" w:rsidP="00BB6046">
      <w:pPr>
        <w:spacing w:after="0" w:line="240" w:lineRule="auto"/>
      </w:pPr>
      <w:r>
        <w:separator/>
      </w:r>
    </w:p>
  </w:endnote>
  <w:endnote w:type="continuationSeparator" w:id="0">
    <w:p w14:paraId="2FDFE79A" w14:textId="77777777" w:rsidR="00F832F4" w:rsidRDefault="00F832F4" w:rsidP="00BB6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209041"/>
      <w:docPartObj>
        <w:docPartGallery w:val="Page Numbers (Bottom of Page)"/>
        <w:docPartUnique/>
      </w:docPartObj>
    </w:sdtPr>
    <w:sdtEndPr>
      <w:rPr>
        <w:noProof/>
      </w:rPr>
    </w:sdtEndPr>
    <w:sdtContent>
      <w:p w14:paraId="61481041" w14:textId="54E4BEFF" w:rsidR="00BB6046" w:rsidRDefault="00BB60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D9C84" w14:textId="77777777" w:rsidR="00BB6046" w:rsidRDefault="00BB6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5F41B" w14:textId="77777777" w:rsidR="00F832F4" w:rsidRDefault="00F832F4" w:rsidP="00BB6046">
      <w:pPr>
        <w:spacing w:after="0" w:line="240" w:lineRule="auto"/>
      </w:pPr>
      <w:r>
        <w:separator/>
      </w:r>
    </w:p>
  </w:footnote>
  <w:footnote w:type="continuationSeparator" w:id="0">
    <w:p w14:paraId="4515DABB" w14:textId="77777777" w:rsidR="00F832F4" w:rsidRDefault="00F832F4" w:rsidP="00BB60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0FB"/>
    <w:rsid w:val="000E1EF8"/>
    <w:rsid w:val="001702A1"/>
    <w:rsid w:val="002550BB"/>
    <w:rsid w:val="003841EA"/>
    <w:rsid w:val="00392905"/>
    <w:rsid w:val="003B7E27"/>
    <w:rsid w:val="004A1C62"/>
    <w:rsid w:val="004C6859"/>
    <w:rsid w:val="00530923"/>
    <w:rsid w:val="0054734B"/>
    <w:rsid w:val="005904A1"/>
    <w:rsid w:val="006B3CB0"/>
    <w:rsid w:val="007511CA"/>
    <w:rsid w:val="007C293A"/>
    <w:rsid w:val="009970FB"/>
    <w:rsid w:val="00B3598D"/>
    <w:rsid w:val="00BB6046"/>
    <w:rsid w:val="00C27BA2"/>
    <w:rsid w:val="00CA2F4B"/>
    <w:rsid w:val="00D26ACA"/>
    <w:rsid w:val="00D35E12"/>
    <w:rsid w:val="00D7757B"/>
    <w:rsid w:val="00D84675"/>
    <w:rsid w:val="00EA6BA3"/>
    <w:rsid w:val="00F44832"/>
    <w:rsid w:val="00F6172F"/>
    <w:rsid w:val="00F740E5"/>
    <w:rsid w:val="00F804B7"/>
    <w:rsid w:val="00F832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DFE2"/>
  <w15:chartTrackingRefBased/>
  <w15:docId w15:val="{13AD79C9-5F9C-4D22-97CA-D9504379A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BA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A6BA3"/>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0923"/>
    <w:pPr>
      <w:spacing w:before="100" w:beforeAutospacing="1" w:after="100" w:afterAutospacing="1" w:line="240" w:lineRule="auto"/>
    </w:pPr>
    <w:rPr>
      <w:rFonts w:eastAsia="Times New Roman" w:cs="Times New Roman"/>
      <w:kern w:val="0"/>
      <w:szCs w:val="24"/>
      <w:lang w:eastAsia="en-IN"/>
      <w14:ligatures w14:val="none"/>
    </w:rPr>
  </w:style>
  <w:style w:type="character" w:customStyle="1" w:styleId="Heading1Char">
    <w:name w:val="Heading 1 Char"/>
    <w:basedOn w:val="DefaultParagraphFont"/>
    <w:link w:val="Heading1"/>
    <w:uiPriority w:val="9"/>
    <w:rsid w:val="00EA6BA3"/>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BB6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046"/>
    <w:rPr>
      <w:rFonts w:ascii="Times New Roman" w:hAnsi="Times New Roman"/>
      <w:sz w:val="24"/>
    </w:rPr>
  </w:style>
  <w:style w:type="paragraph" w:styleId="Footer">
    <w:name w:val="footer"/>
    <w:basedOn w:val="Normal"/>
    <w:link w:val="FooterChar"/>
    <w:uiPriority w:val="99"/>
    <w:unhideWhenUsed/>
    <w:rsid w:val="00BB6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046"/>
    <w:rPr>
      <w:rFonts w:ascii="Times New Roman" w:hAnsi="Times New Roman"/>
      <w:sz w:val="24"/>
    </w:rPr>
  </w:style>
  <w:style w:type="paragraph" w:styleId="TOCHeading">
    <w:name w:val="TOC Heading"/>
    <w:basedOn w:val="Heading1"/>
    <w:next w:val="Normal"/>
    <w:uiPriority w:val="39"/>
    <w:unhideWhenUsed/>
    <w:qFormat/>
    <w:rsid w:val="00BB604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B6046"/>
    <w:pPr>
      <w:spacing w:after="100"/>
    </w:pPr>
  </w:style>
  <w:style w:type="character" w:styleId="Hyperlink">
    <w:name w:val="Hyperlink"/>
    <w:basedOn w:val="DefaultParagraphFont"/>
    <w:uiPriority w:val="99"/>
    <w:unhideWhenUsed/>
    <w:rsid w:val="00BB60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1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78/seeur-2021-0017" TargetMode="External" /><Relationship Id="rId13" Type="http://schemas.openxmlformats.org/officeDocument/2006/relationships/hyperlink" Target="https://doi.org/10.14198/raei.2015.28.04" TargetMode="External" /><Relationship Id="rId18" Type="http://schemas.openxmlformats.org/officeDocument/2006/relationships/hyperlink" Target="https://doi.org/10.1007/s12142-020-00608-8"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doi.org/10.1007/s11572-013-9222-0" TargetMode="External" /><Relationship Id="rId7" Type="http://schemas.openxmlformats.org/officeDocument/2006/relationships/image" Target="media/image1.jpeg" /><Relationship Id="rId12" Type="http://schemas.openxmlformats.org/officeDocument/2006/relationships/hyperlink" Target="https://doi.org/10.1093/ojls/gqab029" TargetMode="External" /><Relationship Id="rId17" Type="http://schemas.openxmlformats.org/officeDocument/2006/relationships/hyperlink" Target="https://www.fairtrials.org/the-right-to-a-fair-trial/"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echr.coe.int/documents/d/echr/guide_art_6_criminal_eng" TargetMode="External" /><Relationship Id="rId20" Type="http://schemas.openxmlformats.org/officeDocument/2006/relationships/hyperlink" Target="https://www.kingsleynapley.co.uk/services/department/family-and-divorce/getting-married/reconciliation-contracts"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cps.gov.uk/legal-guidance/human-rights-and-criminal-prosecutions-general-principles" TargetMode="External" /><Relationship Id="rId24" Type="http://schemas.openxmlformats.org/officeDocument/2006/relationships/hyperlink" Target="https://www.researchgate.net/publication/321772092_R_v_R_1992_1_AC_599_A_contextual_appreciation_of_the_law_on_marital_rape_from_jurisprudential_perspectives" TargetMode="External" /><Relationship Id="rId5" Type="http://schemas.openxmlformats.org/officeDocument/2006/relationships/footnotes" Target="footnotes.xml" /><Relationship Id="rId15" Type="http://schemas.openxmlformats.org/officeDocument/2006/relationships/hyperlink" Target="https://doi.org/10.1093/acprof:oso/9780199559152.001.0001" TargetMode="External" /><Relationship Id="rId23" Type="http://schemas.openxmlformats.org/officeDocument/2006/relationships/hyperlink" Target="https://doi.org/10.1016/j.ijlcj.2018.03.002" TargetMode="External" /><Relationship Id="rId10" Type="http://schemas.openxmlformats.org/officeDocument/2006/relationships/hyperlink" Target="https://doi.org/10.1093/slr/hmi021" TargetMode="External" /><Relationship Id="rId19" Type="http://schemas.openxmlformats.org/officeDocument/2006/relationships/hyperlink" Target="https://www.revuegeneraledudroit.eu/blog/2018/11/15/proportionality-in-the-united-kingdom/" TargetMode="External" /><Relationship Id="rId4" Type="http://schemas.openxmlformats.org/officeDocument/2006/relationships/webSettings" Target="webSettings.xml" /><Relationship Id="rId9" Type="http://schemas.openxmlformats.org/officeDocument/2006/relationships/hyperlink" Target="https://doi.org/10.1111/j.1468-2230.2009.00773.x" TargetMode="External" /><Relationship Id="rId14" Type="http://schemas.openxmlformats.org/officeDocument/2006/relationships/hyperlink" Target="https://books.google.co.in/books?hl=en&amp;lr=&amp;id=vvDbBAAAQBAJ&amp;oi=fnd&amp;pg=PP1&amp;dq=human+rights+philosophy+in+the+uk+criminal+law&amp;ots=Brhi7nu4BM&amp;sig=VPOIU24RfRAEUj8NRT2aBZx5tCM&amp;redir_esc=y" TargetMode="External" /><Relationship Id="rId22" Type="http://schemas.openxmlformats.org/officeDocument/2006/relationships/hyperlink" Target="https://books.google.co.in/books?hl=en&amp;lr=&amp;id=V25CAgAAQBAJ&amp;oi=fnd&amp;pg=PP23&amp;dq=Contract+theory+in+criminal++law&amp;ots=QIJJG5CREf&amp;sig=NK6Zyksnw5iwG7LZmHdf5qFzTm8&amp;redir_esc=y"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0EF99-428B-4E51-8FD6-74D57E1E8C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2428</Words>
  <Characters>13841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SOUMI PRAMANIK</dc:creator>
  <cp:keywords/>
  <dc:description/>
  <cp:lastModifiedBy>Daniel Ionut Anghel (2224081)</cp:lastModifiedBy>
  <cp:revision>2</cp:revision>
  <dcterms:created xsi:type="dcterms:W3CDTF">2023-11-10T12:55:00Z</dcterms:created>
  <dcterms:modified xsi:type="dcterms:W3CDTF">2023-11-10T12:55:00Z</dcterms:modified>
</cp:coreProperties>
</file>