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785CC" w14:textId="69650905" w:rsidR="003A1EDB" w:rsidRDefault="003A1EDB" w:rsidP="00D26C32">
      <w:pPr>
        <w:pStyle w:val="NoSpacing"/>
        <w:spacing w:line="360" w:lineRule="auto"/>
        <w:rPr>
          <w:rFonts w:ascii="Arial" w:hAnsi="Arial" w:cs="Arial"/>
          <w:b/>
          <w:bCs/>
          <w:sz w:val="22"/>
          <w:szCs w:val="22"/>
        </w:rPr>
      </w:pPr>
      <w:r>
        <w:rPr>
          <w:rFonts w:ascii="Arial" w:hAnsi="Arial" w:cs="Arial"/>
          <w:b/>
          <w:bCs/>
          <w:sz w:val="22"/>
          <w:szCs w:val="22"/>
        </w:rPr>
        <w:t>NAME:</w:t>
      </w:r>
    </w:p>
    <w:p w14:paraId="07886DDF" w14:textId="708ED311" w:rsidR="003A1EDB" w:rsidRPr="002A458E" w:rsidRDefault="002A458E" w:rsidP="00D26C32">
      <w:pPr>
        <w:pStyle w:val="NoSpacing"/>
        <w:spacing w:line="360" w:lineRule="auto"/>
        <w:rPr>
          <w:rFonts w:ascii="Arial" w:hAnsi="Arial" w:cs="Arial"/>
          <w:sz w:val="22"/>
          <w:szCs w:val="22"/>
        </w:rPr>
      </w:pPr>
      <w:r>
        <w:rPr>
          <w:rFonts w:ascii="Arial" w:hAnsi="Arial" w:cs="Arial"/>
          <w:sz w:val="22"/>
          <w:szCs w:val="22"/>
        </w:rPr>
        <w:t>Phumla Precious Gasa</w:t>
      </w:r>
    </w:p>
    <w:p w14:paraId="4B74AADB" w14:textId="77777777" w:rsidR="003A1EDB" w:rsidRDefault="003A1EDB" w:rsidP="00D26C32">
      <w:pPr>
        <w:pStyle w:val="NoSpacing"/>
        <w:spacing w:line="360" w:lineRule="auto"/>
        <w:rPr>
          <w:rFonts w:ascii="Arial" w:hAnsi="Arial" w:cs="Arial"/>
          <w:b/>
          <w:bCs/>
          <w:sz w:val="22"/>
          <w:szCs w:val="22"/>
        </w:rPr>
      </w:pPr>
    </w:p>
    <w:p w14:paraId="163FFFA7" w14:textId="77777777" w:rsidR="002A458E" w:rsidRDefault="002A458E" w:rsidP="00D26C32">
      <w:pPr>
        <w:pStyle w:val="NoSpacing"/>
        <w:spacing w:line="360" w:lineRule="auto"/>
        <w:rPr>
          <w:rFonts w:ascii="Arial" w:hAnsi="Arial" w:cs="Arial"/>
          <w:b/>
          <w:bCs/>
          <w:sz w:val="22"/>
          <w:szCs w:val="22"/>
        </w:rPr>
      </w:pPr>
    </w:p>
    <w:p w14:paraId="2C8523F0" w14:textId="12A31A98" w:rsidR="002A458E" w:rsidRDefault="003A1EDB" w:rsidP="00D26C32">
      <w:pPr>
        <w:pStyle w:val="NoSpacing"/>
        <w:spacing w:line="360" w:lineRule="auto"/>
        <w:rPr>
          <w:rFonts w:ascii="Arial" w:hAnsi="Arial" w:cs="Arial"/>
          <w:b/>
          <w:bCs/>
          <w:sz w:val="22"/>
          <w:szCs w:val="22"/>
        </w:rPr>
      </w:pPr>
      <w:r>
        <w:rPr>
          <w:rFonts w:ascii="Arial" w:hAnsi="Arial" w:cs="Arial"/>
          <w:b/>
          <w:bCs/>
          <w:sz w:val="22"/>
          <w:szCs w:val="22"/>
        </w:rPr>
        <w:t>TUTOR:</w:t>
      </w:r>
    </w:p>
    <w:p w14:paraId="0315F091" w14:textId="202C83F5" w:rsidR="002A458E" w:rsidRDefault="002A458E" w:rsidP="00D26C32">
      <w:pPr>
        <w:pStyle w:val="NoSpacing"/>
        <w:spacing w:line="360" w:lineRule="auto"/>
        <w:rPr>
          <w:rFonts w:ascii="Arial" w:hAnsi="Arial" w:cs="Arial"/>
          <w:sz w:val="22"/>
          <w:szCs w:val="22"/>
        </w:rPr>
      </w:pPr>
      <w:r>
        <w:rPr>
          <w:rFonts w:ascii="Arial" w:hAnsi="Arial" w:cs="Arial"/>
          <w:sz w:val="22"/>
          <w:szCs w:val="22"/>
        </w:rPr>
        <w:t>Neale Haddon</w:t>
      </w:r>
    </w:p>
    <w:p w14:paraId="4718B0CA" w14:textId="77777777" w:rsidR="002A458E" w:rsidRDefault="002A458E" w:rsidP="00D26C32">
      <w:pPr>
        <w:pStyle w:val="NoSpacing"/>
        <w:spacing w:line="360" w:lineRule="auto"/>
        <w:rPr>
          <w:rFonts w:ascii="Arial" w:hAnsi="Arial" w:cs="Arial"/>
          <w:sz w:val="22"/>
          <w:szCs w:val="22"/>
        </w:rPr>
      </w:pPr>
    </w:p>
    <w:p w14:paraId="3B220119" w14:textId="77777777" w:rsidR="002A458E" w:rsidRPr="002A458E" w:rsidRDefault="002A458E" w:rsidP="00D26C32">
      <w:pPr>
        <w:pStyle w:val="NoSpacing"/>
        <w:spacing w:line="360" w:lineRule="auto"/>
        <w:rPr>
          <w:rFonts w:ascii="Arial" w:hAnsi="Arial" w:cs="Arial"/>
          <w:sz w:val="22"/>
          <w:szCs w:val="22"/>
        </w:rPr>
      </w:pPr>
    </w:p>
    <w:p w14:paraId="114BD947" w14:textId="77777777" w:rsidR="003A1EDB" w:rsidRDefault="003A1EDB" w:rsidP="00D26C32">
      <w:pPr>
        <w:pStyle w:val="NoSpacing"/>
        <w:spacing w:line="360" w:lineRule="auto"/>
        <w:rPr>
          <w:rFonts w:ascii="Arial" w:hAnsi="Arial" w:cs="Arial"/>
          <w:b/>
          <w:bCs/>
          <w:sz w:val="22"/>
          <w:szCs w:val="22"/>
        </w:rPr>
      </w:pPr>
    </w:p>
    <w:p w14:paraId="655AB7EF" w14:textId="5C988274" w:rsidR="003A1EDB" w:rsidRDefault="003A1EDB" w:rsidP="00D26C32">
      <w:pPr>
        <w:pStyle w:val="NoSpacing"/>
        <w:spacing w:line="360" w:lineRule="auto"/>
        <w:rPr>
          <w:rFonts w:ascii="Arial" w:hAnsi="Arial" w:cs="Arial"/>
          <w:b/>
          <w:bCs/>
          <w:sz w:val="22"/>
          <w:szCs w:val="22"/>
        </w:rPr>
      </w:pPr>
      <w:r>
        <w:rPr>
          <w:rFonts w:ascii="Arial" w:hAnsi="Arial" w:cs="Arial"/>
          <w:b/>
          <w:bCs/>
          <w:sz w:val="22"/>
          <w:szCs w:val="22"/>
        </w:rPr>
        <w:t>ASSIGNMENT:</w:t>
      </w:r>
    </w:p>
    <w:p w14:paraId="432F3A60" w14:textId="21965284" w:rsidR="002A458E" w:rsidRDefault="002A458E" w:rsidP="00D26C32">
      <w:pPr>
        <w:pStyle w:val="NoSpacing"/>
        <w:spacing w:line="360" w:lineRule="auto"/>
        <w:rPr>
          <w:rFonts w:ascii="Arial" w:hAnsi="Arial" w:cs="Arial"/>
          <w:b/>
          <w:bCs/>
          <w:sz w:val="22"/>
          <w:szCs w:val="22"/>
        </w:rPr>
      </w:pPr>
      <w:r>
        <w:rPr>
          <w:rFonts w:ascii="Arial" w:hAnsi="Arial" w:cs="Arial"/>
          <w:sz w:val="22"/>
          <w:szCs w:val="22"/>
        </w:rPr>
        <w:t>Component 2: Written Report (</w:t>
      </w:r>
      <w:r>
        <w:rPr>
          <w:rFonts w:ascii="Arial" w:hAnsi="Arial" w:cs="Arial"/>
          <w:b/>
          <w:bCs/>
          <w:sz w:val="22"/>
          <w:szCs w:val="22"/>
        </w:rPr>
        <w:t xml:space="preserve">GENERALISED ANXIETY DISORDER). </w:t>
      </w:r>
    </w:p>
    <w:p w14:paraId="23FD5D04" w14:textId="77777777" w:rsidR="002A458E" w:rsidRDefault="002A458E" w:rsidP="00D26C32">
      <w:pPr>
        <w:pStyle w:val="NoSpacing"/>
        <w:spacing w:line="360" w:lineRule="auto"/>
        <w:rPr>
          <w:rFonts w:ascii="Arial" w:hAnsi="Arial" w:cs="Arial"/>
          <w:b/>
          <w:bCs/>
          <w:sz w:val="22"/>
          <w:szCs w:val="22"/>
        </w:rPr>
      </w:pPr>
    </w:p>
    <w:p w14:paraId="1D14A3EB" w14:textId="77777777" w:rsidR="002A458E" w:rsidRPr="002A458E" w:rsidRDefault="002A458E" w:rsidP="00D26C32">
      <w:pPr>
        <w:pStyle w:val="NoSpacing"/>
        <w:spacing w:line="360" w:lineRule="auto"/>
        <w:rPr>
          <w:rFonts w:ascii="Arial" w:hAnsi="Arial" w:cs="Arial"/>
          <w:b/>
          <w:bCs/>
          <w:sz w:val="22"/>
          <w:szCs w:val="22"/>
        </w:rPr>
      </w:pPr>
    </w:p>
    <w:p w14:paraId="61772430" w14:textId="77777777" w:rsidR="002A458E" w:rsidRDefault="002A458E" w:rsidP="00D26C32">
      <w:pPr>
        <w:pStyle w:val="NoSpacing"/>
        <w:spacing w:line="360" w:lineRule="auto"/>
        <w:rPr>
          <w:rFonts w:ascii="Arial" w:hAnsi="Arial" w:cs="Arial"/>
          <w:b/>
          <w:bCs/>
          <w:sz w:val="22"/>
          <w:szCs w:val="22"/>
        </w:rPr>
      </w:pPr>
    </w:p>
    <w:p w14:paraId="44E6E408" w14:textId="4DBB2C22" w:rsidR="002A458E" w:rsidRDefault="002A458E" w:rsidP="00D26C32">
      <w:pPr>
        <w:pStyle w:val="NoSpacing"/>
        <w:spacing w:line="360" w:lineRule="auto"/>
        <w:rPr>
          <w:rFonts w:ascii="Arial" w:hAnsi="Arial" w:cs="Arial"/>
          <w:b/>
          <w:bCs/>
          <w:sz w:val="22"/>
          <w:szCs w:val="22"/>
        </w:rPr>
      </w:pPr>
      <w:r>
        <w:rPr>
          <w:rFonts w:ascii="Arial" w:hAnsi="Arial" w:cs="Arial"/>
          <w:b/>
          <w:bCs/>
          <w:sz w:val="22"/>
          <w:szCs w:val="22"/>
        </w:rPr>
        <w:t>MODULE:</w:t>
      </w:r>
    </w:p>
    <w:p w14:paraId="271052CD" w14:textId="5130F58D" w:rsidR="002A458E" w:rsidRDefault="002A458E" w:rsidP="00D26C32">
      <w:pPr>
        <w:pStyle w:val="NoSpacing"/>
        <w:spacing w:line="360" w:lineRule="auto"/>
        <w:rPr>
          <w:rFonts w:ascii="Arial" w:hAnsi="Arial" w:cs="Arial"/>
          <w:sz w:val="22"/>
          <w:szCs w:val="22"/>
        </w:rPr>
      </w:pPr>
      <w:r>
        <w:rPr>
          <w:rFonts w:ascii="Arial" w:hAnsi="Arial" w:cs="Arial"/>
          <w:sz w:val="22"/>
          <w:szCs w:val="22"/>
        </w:rPr>
        <w:t>BMHP6029: Psychopathological Classifications and Provisions</w:t>
      </w:r>
    </w:p>
    <w:p w14:paraId="1C780664" w14:textId="77777777" w:rsidR="002A458E" w:rsidRDefault="002A458E" w:rsidP="00D26C32">
      <w:pPr>
        <w:pStyle w:val="NoSpacing"/>
        <w:spacing w:line="360" w:lineRule="auto"/>
        <w:rPr>
          <w:rFonts w:ascii="Arial" w:hAnsi="Arial" w:cs="Arial"/>
          <w:sz w:val="22"/>
          <w:szCs w:val="22"/>
        </w:rPr>
      </w:pPr>
    </w:p>
    <w:p w14:paraId="02716768" w14:textId="77777777" w:rsidR="002A458E" w:rsidRPr="002A458E" w:rsidRDefault="002A458E" w:rsidP="00D26C32">
      <w:pPr>
        <w:pStyle w:val="NoSpacing"/>
        <w:spacing w:line="360" w:lineRule="auto"/>
        <w:rPr>
          <w:rFonts w:ascii="Arial" w:hAnsi="Arial" w:cs="Arial"/>
          <w:sz w:val="22"/>
          <w:szCs w:val="22"/>
        </w:rPr>
      </w:pPr>
    </w:p>
    <w:p w14:paraId="54D9DE6D" w14:textId="77777777" w:rsidR="002A458E" w:rsidRDefault="002A458E" w:rsidP="00D26C32">
      <w:pPr>
        <w:pStyle w:val="NoSpacing"/>
        <w:spacing w:line="360" w:lineRule="auto"/>
        <w:rPr>
          <w:rFonts w:ascii="Arial" w:hAnsi="Arial" w:cs="Arial"/>
          <w:b/>
          <w:bCs/>
          <w:sz w:val="22"/>
          <w:szCs w:val="22"/>
        </w:rPr>
      </w:pPr>
    </w:p>
    <w:p w14:paraId="67501132" w14:textId="7452BAAB" w:rsidR="002A458E" w:rsidRDefault="002A458E" w:rsidP="00D26C32">
      <w:pPr>
        <w:pStyle w:val="NoSpacing"/>
        <w:spacing w:line="360" w:lineRule="auto"/>
        <w:rPr>
          <w:rFonts w:ascii="Arial" w:hAnsi="Arial" w:cs="Arial"/>
          <w:b/>
          <w:bCs/>
          <w:sz w:val="22"/>
          <w:szCs w:val="22"/>
        </w:rPr>
      </w:pPr>
      <w:r>
        <w:rPr>
          <w:rFonts w:ascii="Arial" w:hAnsi="Arial" w:cs="Arial"/>
          <w:b/>
          <w:bCs/>
          <w:sz w:val="22"/>
          <w:szCs w:val="22"/>
        </w:rPr>
        <w:t>STUDENT NUMBER:</w:t>
      </w:r>
    </w:p>
    <w:p w14:paraId="181F31FC" w14:textId="5E4F362A" w:rsidR="002A458E" w:rsidRPr="002A458E" w:rsidRDefault="002A458E" w:rsidP="00D26C32">
      <w:pPr>
        <w:pStyle w:val="NoSpacing"/>
        <w:spacing w:line="360" w:lineRule="auto"/>
        <w:rPr>
          <w:rFonts w:ascii="Arial" w:hAnsi="Arial" w:cs="Arial"/>
          <w:sz w:val="22"/>
          <w:szCs w:val="22"/>
        </w:rPr>
      </w:pPr>
      <w:r>
        <w:rPr>
          <w:rFonts w:ascii="Arial" w:hAnsi="Arial" w:cs="Arial"/>
          <w:sz w:val="22"/>
          <w:szCs w:val="22"/>
        </w:rPr>
        <w:t>2236694</w:t>
      </w:r>
    </w:p>
    <w:p w14:paraId="60A5D28D" w14:textId="77777777" w:rsidR="003A1EDB" w:rsidRDefault="003A1EDB" w:rsidP="00D26C32">
      <w:pPr>
        <w:pStyle w:val="NoSpacing"/>
        <w:spacing w:line="360" w:lineRule="auto"/>
        <w:rPr>
          <w:rFonts w:ascii="Arial" w:hAnsi="Arial" w:cs="Arial"/>
          <w:b/>
          <w:bCs/>
          <w:sz w:val="22"/>
          <w:szCs w:val="22"/>
        </w:rPr>
      </w:pPr>
    </w:p>
    <w:p w14:paraId="027A13B9" w14:textId="77777777" w:rsidR="003A1EDB" w:rsidRDefault="003A1EDB" w:rsidP="00D26C32">
      <w:pPr>
        <w:pStyle w:val="NoSpacing"/>
        <w:spacing w:line="360" w:lineRule="auto"/>
        <w:rPr>
          <w:rFonts w:ascii="Arial" w:hAnsi="Arial" w:cs="Arial"/>
          <w:b/>
          <w:bCs/>
          <w:sz w:val="22"/>
          <w:szCs w:val="22"/>
        </w:rPr>
      </w:pPr>
    </w:p>
    <w:p w14:paraId="38A9E7A5" w14:textId="77777777" w:rsidR="003A1EDB" w:rsidRDefault="003A1EDB" w:rsidP="00D26C32">
      <w:pPr>
        <w:pStyle w:val="NoSpacing"/>
        <w:spacing w:line="360" w:lineRule="auto"/>
        <w:rPr>
          <w:rFonts w:ascii="Arial" w:hAnsi="Arial" w:cs="Arial"/>
          <w:b/>
          <w:bCs/>
          <w:sz w:val="22"/>
          <w:szCs w:val="22"/>
        </w:rPr>
      </w:pPr>
    </w:p>
    <w:p w14:paraId="504FBEF1" w14:textId="77777777" w:rsidR="003A1EDB" w:rsidRDefault="003A1EDB" w:rsidP="00D26C32">
      <w:pPr>
        <w:pStyle w:val="NoSpacing"/>
        <w:spacing w:line="360" w:lineRule="auto"/>
        <w:rPr>
          <w:rFonts w:ascii="Arial" w:hAnsi="Arial" w:cs="Arial"/>
          <w:b/>
          <w:bCs/>
          <w:sz w:val="22"/>
          <w:szCs w:val="22"/>
        </w:rPr>
      </w:pPr>
    </w:p>
    <w:p w14:paraId="712C8E97" w14:textId="77777777" w:rsidR="003A1EDB" w:rsidRDefault="003A1EDB" w:rsidP="00D26C32">
      <w:pPr>
        <w:pStyle w:val="NoSpacing"/>
        <w:spacing w:line="360" w:lineRule="auto"/>
        <w:rPr>
          <w:rFonts w:ascii="Arial" w:hAnsi="Arial" w:cs="Arial"/>
          <w:b/>
          <w:bCs/>
          <w:sz w:val="22"/>
          <w:szCs w:val="22"/>
        </w:rPr>
      </w:pPr>
    </w:p>
    <w:p w14:paraId="73C0ABE1" w14:textId="77777777" w:rsidR="003A1EDB" w:rsidRDefault="003A1EDB" w:rsidP="00D26C32">
      <w:pPr>
        <w:pStyle w:val="NoSpacing"/>
        <w:spacing w:line="360" w:lineRule="auto"/>
        <w:rPr>
          <w:rFonts w:ascii="Arial" w:hAnsi="Arial" w:cs="Arial"/>
          <w:b/>
          <w:bCs/>
          <w:sz w:val="22"/>
          <w:szCs w:val="22"/>
        </w:rPr>
      </w:pPr>
    </w:p>
    <w:p w14:paraId="2003CB6F" w14:textId="77777777" w:rsidR="003A1EDB" w:rsidRDefault="003A1EDB" w:rsidP="00D26C32">
      <w:pPr>
        <w:pStyle w:val="NoSpacing"/>
        <w:spacing w:line="360" w:lineRule="auto"/>
        <w:rPr>
          <w:rFonts w:ascii="Arial" w:hAnsi="Arial" w:cs="Arial"/>
          <w:b/>
          <w:bCs/>
          <w:sz w:val="22"/>
          <w:szCs w:val="22"/>
        </w:rPr>
      </w:pPr>
    </w:p>
    <w:p w14:paraId="388C3D21" w14:textId="77777777" w:rsidR="003A1EDB" w:rsidRDefault="003A1EDB" w:rsidP="00D26C32">
      <w:pPr>
        <w:pStyle w:val="NoSpacing"/>
        <w:spacing w:line="360" w:lineRule="auto"/>
        <w:rPr>
          <w:rFonts w:ascii="Arial" w:hAnsi="Arial" w:cs="Arial"/>
          <w:b/>
          <w:bCs/>
          <w:sz w:val="22"/>
          <w:szCs w:val="22"/>
        </w:rPr>
      </w:pPr>
    </w:p>
    <w:p w14:paraId="087F8875" w14:textId="77777777" w:rsidR="003A1EDB" w:rsidRDefault="003A1EDB" w:rsidP="00D26C32">
      <w:pPr>
        <w:pStyle w:val="NoSpacing"/>
        <w:spacing w:line="360" w:lineRule="auto"/>
        <w:rPr>
          <w:rFonts w:ascii="Arial" w:hAnsi="Arial" w:cs="Arial"/>
          <w:b/>
          <w:bCs/>
          <w:sz w:val="22"/>
          <w:szCs w:val="22"/>
        </w:rPr>
      </w:pPr>
    </w:p>
    <w:p w14:paraId="3C93B034" w14:textId="77777777" w:rsidR="003A1EDB" w:rsidRDefault="003A1EDB" w:rsidP="00D26C32">
      <w:pPr>
        <w:pStyle w:val="NoSpacing"/>
        <w:spacing w:line="360" w:lineRule="auto"/>
        <w:rPr>
          <w:rFonts w:ascii="Arial" w:hAnsi="Arial" w:cs="Arial"/>
          <w:b/>
          <w:bCs/>
          <w:sz w:val="22"/>
          <w:szCs w:val="22"/>
        </w:rPr>
      </w:pPr>
    </w:p>
    <w:p w14:paraId="687E7747" w14:textId="77777777" w:rsidR="003A1EDB" w:rsidRDefault="003A1EDB" w:rsidP="00D26C32">
      <w:pPr>
        <w:pStyle w:val="NoSpacing"/>
        <w:spacing w:line="360" w:lineRule="auto"/>
        <w:rPr>
          <w:rFonts w:ascii="Arial" w:hAnsi="Arial" w:cs="Arial"/>
          <w:b/>
          <w:bCs/>
          <w:sz w:val="22"/>
          <w:szCs w:val="22"/>
        </w:rPr>
      </w:pPr>
    </w:p>
    <w:p w14:paraId="26FF2FDD" w14:textId="77777777" w:rsidR="003A1EDB" w:rsidRDefault="003A1EDB" w:rsidP="00D26C32">
      <w:pPr>
        <w:pStyle w:val="NoSpacing"/>
        <w:spacing w:line="360" w:lineRule="auto"/>
        <w:rPr>
          <w:rFonts w:ascii="Arial" w:hAnsi="Arial" w:cs="Arial"/>
          <w:b/>
          <w:bCs/>
          <w:sz w:val="22"/>
          <w:szCs w:val="22"/>
        </w:rPr>
      </w:pPr>
    </w:p>
    <w:p w14:paraId="5E7C0C25" w14:textId="77777777" w:rsidR="003A1EDB" w:rsidRDefault="003A1EDB" w:rsidP="00D26C32">
      <w:pPr>
        <w:pStyle w:val="NoSpacing"/>
        <w:spacing w:line="360" w:lineRule="auto"/>
        <w:rPr>
          <w:rFonts w:ascii="Arial" w:hAnsi="Arial" w:cs="Arial"/>
          <w:b/>
          <w:bCs/>
          <w:sz w:val="22"/>
          <w:szCs w:val="22"/>
        </w:rPr>
      </w:pPr>
    </w:p>
    <w:p w14:paraId="683E8833" w14:textId="77777777" w:rsidR="003A1EDB" w:rsidRDefault="003A1EDB" w:rsidP="00D26C32">
      <w:pPr>
        <w:pStyle w:val="NoSpacing"/>
        <w:spacing w:line="360" w:lineRule="auto"/>
        <w:rPr>
          <w:rFonts w:ascii="Arial" w:hAnsi="Arial" w:cs="Arial"/>
          <w:b/>
          <w:bCs/>
          <w:sz w:val="22"/>
          <w:szCs w:val="22"/>
        </w:rPr>
      </w:pPr>
    </w:p>
    <w:p w14:paraId="7B310E3E" w14:textId="77777777" w:rsidR="003A1EDB" w:rsidRDefault="003A1EDB" w:rsidP="00D26C32">
      <w:pPr>
        <w:pStyle w:val="NoSpacing"/>
        <w:spacing w:line="360" w:lineRule="auto"/>
        <w:rPr>
          <w:rFonts w:ascii="Arial" w:hAnsi="Arial" w:cs="Arial"/>
          <w:b/>
          <w:bCs/>
          <w:sz w:val="22"/>
          <w:szCs w:val="22"/>
        </w:rPr>
      </w:pPr>
    </w:p>
    <w:p w14:paraId="24C4098F" w14:textId="77777777" w:rsidR="003A1EDB" w:rsidRDefault="003A1EDB" w:rsidP="00D26C32">
      <w:pPr>
        <w:pStyle w:val="NoSpacing"/>
        <w:spacing w:line="360" w:lineRule="auto"/>
        <w:rPr>
          <w:rFonts w:ascii="Arial" w:hAnsi="Arial" w:cs="Arial"/>
          <w:b/>
          <w:bCs/>
          <w:sz w:val="22"/>
          <w:szCs w:val="22"/>
        </w:rPr>
      </w:pPr>
    </w:p>
    <w:p w14:paraId="5B23A54A" w14:textId="77777777" w:rsidR="003A1EDB" w:rsidRDefault="003A1EDB" w:rsidP="00D26C32">
      <w:pPr>
        <w:pStyle w:val="NoSpacing"/>
        <w:spacing w:line="360" w:lineRule="auto"/>
        <w:rPr>
          <w:rFonts w:ascii="Arial" w:hAnsi="Arial" w:cs="Arial"/>
          <w:b/>
          <w:bCs/>
          <w:sz w:val="22"/>
          <w:szCs w:val="22"/>
        </w:rPr>
      </w:pPr>
    </w:p>
    <w:p w14:paraId="4A5AD4FB" w14:textId="06C0B8AC" w:rsidR="00A828CA" w:rsidRPr="00F44BB3" w:rsidRDefault="00F44BB3" w:rsidP="00D26C32">
      <w:pPr>
        <w:pStyle w:val="NoSpacing"/>
        <w:spacing w:line="360" w:lineRule="auto"/>
        <w:rPr>
          <w:rFonts w:ascii="Arial" w:hAnsi="Arial" w:cs="Arial"/>
          <w:b/>
          <w:bCs/>
          <w:sz w:val="22"/>
          <w:szCs w:val="22"/>
        </w:rPr>
      </w:pPr>
      <w:r>
        <w:rPr>
          <w:rFonts w:ascii="Arial" w:hAnsi="Arial" w:cs="Arial"/>
          <w:b/>
          <w:bCs/>
          <w:sz w:val="22"/>
          <w:szCs w:val="22"/>
        </w:rPr>
        <w:t>Contents:</w:t>
      </w:r>
    </w:p>
    <w:p w14:paraId="15D8C73E" w14:textId="77777777" w:rsidR="00A828CA" w:rsidRDefault="00A828CA" w:rsidP="00D26C32">
      <w:pPr>
        <w:pStyle w:val="NoSpacing"/>
        <w:spacing w:line="360" w:lineRule="auto"/>
        <w:rPr>
          <w:rFonts w:ascii="Arial" w:hAnsi="Arial" w:cs="Arial"/>
          <w:b/>
          <w:bCs/>
          <w:sz w:val="22"/>
          <w:szCs w:val="22"/>
        </w:rPr>
      </w:pPr>
    </w:p>
    <w:tbl>
      <w:tblPr>
        <w:tblStyle w:val="TableGrid"/>
        <w:tblW w:w="10348" w:type="dxa"/>
        <w:tblInd w:w="-714" w:type="dxa"/>
        <w:tblLook w:val="04A0" w:firstRow="1" w:lastRow="0" w:firstColumn="1" w:lastColumn="0" w:noHBand="0" w:noVBand="1"/>
      </w:tblPr>
      <w:tblGrid>
        <w:gridCol w:w="5220"/>
        <w:gridCol w:w="5128"/>
      </w:tblGrid>
      <w:tr w:rsidR="009A3C09" w14:paraId="7725D075" w14:textId="77777777" w:rsidTr="00C024DD">
        <w:tc>
          <w:tcPr>
            <w:tcW w:w="5220" w:type="dxa"/>
          </w:tcPr>
          <w:p w14:paraId="2D8F8361" w14:textId="6A90BB88" w:rsidR="009A3C09" w:rsidRPr="004D7A96" w:rsidRDefault="004D7A96" w:rsidP="00D26C32">
            <w:pPr>
              <w:pStyle w:val="NoSpacing"/>
              <w:spacing w:line="360" w:lineRule="auto"/>
              <w:rPr>
                <w:rFonts w:ascii="Arial" w:hAnsi="Arial" w:cs="Arial"/>
                <w:b/>
                <w:bCs/>
                <w:sz w:val="22"/>
                <w:szCs w:val="22"/>
              </w:rPr>
            </w:pPr>
            <w:r>
              <w:rPr>
                <w:rFonts w:ascii="Arial" w:hAnsi="Arial" w:cs="Arial"/>
                <w:b/>
                <w:bCs/>
                <w:sz w:val="22"/>
                <w:szCs w:val="22"/>
              </w:rPr>
              <w:t>Section:</w:t>
            </w:r>
          </w:p>
        </w:tc>
        <w:tc>
          <w:tcPr>
            <w:tcW w:w="5128" w:type="dxa"/>
          </w:tcPr>
          <w:p w14:paraId="75AFDFB3" w14:textId="59FD423B" w:rsidR="009A3C09" w:rsidRDefault="00BF1C1D" w:rsidP="00D26C32">
            <w:pPr>
              <w:pStyle w:val="NoSpacing"/>
              <w:spacing w:line="360" w:lineRule="auto"/>
              <w:rPr>
                <w:rFonts w:ascii="Arial" w:hAnsi="Arial" w:cs="Arial"/>
                <w:b/>
                <w:bCs/>
                <w:sz w:val="22"/>
                <w:szCs w:val="22"/>
              </w:rPr>
            </w:pPr>
            <w:r>
              <w:rPr>
                <w:rFonts w:ascii="Arial" w:hAnsi="Arial" w:cs="Arial"/>
                <w:b/>
                <w:bCs/>
                <w:sz w:val="22"/>
                <w:szCs w:val="22"/>
              </w:rPr>
              <w:t>Page:</w:t>
            </w:r>
          </w:p>
        </w:tc>
      </w:tr>
      <w:tr w:rsidR="009A3C09" w14:paraId="6E8516CA" w14:textId="77777777" w:rsidTr="00C024DD">
        <w:tc>
          <w:tcPr>
            <w:tcW w:w="5220" w:type="dxa"/>
          </w:tcPr>
          <w:p w14:paraId="00BB1138" w14:textId="77777777" w:rsidR="009A3C09" w:rsidRDefault="009A3C09" w:rsidP="00D26C32">
            <w:pPr>
              <w:pStyle w:val="NoSpacing"/>
              <w:spacing w:line="360" w:lineRule="auto"/>
              <w:rPr>
                <w:rFonts w:ascii="Arial" w:hAnsi="Arial" w:cs="Arial"/>
                <w:b/>
                <w:bCs/>
                <w:sz w:val="22"/>
                <w:szCs w:val="22"/>
              </w:rPr>
            </w:pPr>
          </w:p>
        </w:tc>
        <w:tc>
          <w:tcPr>
            <w:tcW w:w="5128" w:type="dxa"/>
          </w:tcPr>
          <w:p w14:paraId="2390366F" w14:textId="56FF3ECE" w:rsidR="009A3C09" w:rsidRDefault="009A3C09" w:rsidP="00D26C32">
            <w:pPr>
              <w:pStyle w:val="NoSpacing"/>
              <w:spacing w:line="360" w:lineRule="auto"/>
              <w:rPr>
                <w:rFonts w:ascii="Arial" w:hAnsi="Arial" w:cs="Arial"/>
                <w:b/>
                <w:bCs/>
                <w:sz w:val="22"/>
                <w:szCs w:val="22"/>
              </w:rPr>
            </w:pPr>
          </w:p>
        </w:tc>
      </w:tr>
      <w:tr w:rsidR="009A3C09" w14:paraId="0EA84353" w14:textId="77777777" w:rsidTr="00C024DD">
        <w:tc>
          <w:tcPr>
            <w:tcW w:w="5220" w:type="dxa"/>
          </w:tcPr>
          <w:p w14:paraId="02C84041" w14:textId="1F4CD449" w:rsidR="009A3C09" w:rsidRDefault="00BF1C1D" w:rsidP="00D26C32">
            <w:pPr>
              <w:pStyle w:val="NoSpacing"/>
              <w:spacing w:line="360" w:lineRule="auto"/>
              <w:rPr>
                <w:rFonts w:ascii="Arial" w:hAnsi="Arial" w:cs="Arial"/>
                <w:b/>
                <w:bCs/>
                <w:sz w:val="22"/>
                <w:szCs w:val="22"/>
              </w:rPr>
            </w:pPr>
            <w:r>
              <w:rPr>
                <w:rFonts w:ascii="Arial" w:hAnsi="Arial" w:cs="Arial"/>
                <w:b/>
                <w:bCs/>
                <w:sz w:val="22"/>
                <w:szCs w:val="22"/>
              </w:rPr>
              <w:t>Introduction</w:t>
            </w:r>
          </w:p>
        </w:tc>
        <w:tc>
          <w:tcPr>
            <w:tcW w:w="5128" w:type="dxa"/>
          </w:tcPr>
          <w:p w14:paraId="5755B908" w14:textId="36401ABD" w:rsidR="009A3C09" w:rsidRDefault="003F6D0F" w:rsidP="00D26C32">
            <w:pPr>
              <w:pStyle w:val="NoSpacing"/>
              <w:spacing w:line="360" w:lineRule="auto"/>
              <w:rPr>
                <w:rFonts w:ascii="Arial" w:hAnsi="Arial" w:cs="Arial"/>
                <w:b/>
                <w:bCs/>
                <w:sz w:val="22"/>
                <w:szCs w:val="22"/>
              </w:rPr>
            </w:pPr>
            <w:r>
              <w:rPr>
                <w:rFonts w:ascii="Arial" w:hAnsi="Arial" w:cs="Arial"/>
                <w:b/>
                <w:bCs/>
                <w:sz w:val="22"/>
                <w:szCs w:val="22"/>
              </w:rPr>
              <w:t>3</w:t>
            </w:r>
            <w:r w:rsidR="00E714B2">
              <w:rPr>
                <w:rFonts w:ascii="Arial" w:hAnsi="Arial" w:cs="Arial"/>
                <w:b/>
                <w:bCs/>
                <w:sz w:val="22"/>
                <w:szCs w:val="22"/>
              </w:rPr>
              <w:t>.</w:t>
            </w:r>
          </w:p>
        </w:tc>
      </w:tr>
      <w:tr w:rsidR="009A3C09" w14:paraId="3AF44D06" w14:textId="77777777" w:rsidTr="00C024DD">
        <w:tc>
          <w:tcPr>
            <w:tcW w:w="5220" w:type="dxa"/>
          </w:tcPr>
          <w:p w14:paraId="682B8258" w14:textId="77777777" w:rsidR="009A3C09" w:rsidRDefault="009A3C09" w:rsidP="00D26C32">
            <w:pPr>
              <w:pStyle w:val="NoSpacing"/>
              <w:spacing w:line="360" w:lineRule="auto"/>
              <w:rPr>
                <w:rFonts w:ascii="Arial" w:hAnsi="Arial" w:cs="Arial"/>
                <w:b/>
                <w:bCs/>
                <w:sz w:val="22"/>
                <w:szCs w:val="22"/>
              </w:rPr>
            </w:pPr>
          </w:p>
        </w:tc>
        <w:tc>
          <w:tcPr>
            <w:tcW w:w="5128" w:type="dxa"/>
          </w:tcPr>
          <w:p w14:paraId="683456D6" w14:textId="77777777" w:rsidR="009A3C09" w:rsidRDefault="009A3C09" w:rsidP="00D26C32">
            <w:pPr>
              <w:pStyle w:val="NoSpacing"/>
              <w:spacing w:line="360" w:lineRule="auto"/>
              <w:rPr>
                <w:rFonts w:ascii="Arial" w:hAnsi="Arial" w:cs="Arial"/>
                <w:b/>
                <w:bCs/>
                <w:sz w:val="22"/>
                <w:szCs w:val="22"/>
              </w:rPr>
            </w:pPr>
          </w:p>
        </w:tc>
      </w:tr>
      <w:tr w:rsidR="009A3C09" w14:paraId="173DA36C" w14:textId="77777777" w:rsidTr="00C024DD">
        <w:tc>
          <w:tcPr>
            <w:tcW w:w="5220" w:type="dxa"/>
          </w:tcPr>
          <w:p w14:paraId="493BADA1" w14:textId="6223C1F2" w:rsidR="009A3C09" w:rsidRDefault="00BD68AA" w:rsidP="00D26C32">
            <w:pPr>
              <w:pStyle w:val="NoSpacing"/>
              <w:spacing w:line="360" w:lineRule="auto"/>
              <w:rPr>
                <w:rFonts w:ascii="Arial" w:hAnsi="Arial" w:cs="Arial"/>
                <w:b/>
                <w:bCs/>
                <w:sz w:val="22"/>
                <w:szCs w:val="22"/>
              </w:rPr>
            </w:pPr>
            <w:r>
              <w:rPr>
                <w:rFonts w:ascii="Arial" w:hAnsi="Arial" w:cs="Arial"/>
                <w:b/>
                <w:bCs/>
                <w:sz w:val="22"/>
                <w:szCs w:val="22"/>
              </w:rPr>
              <w:t>Classification and Diagnosis</w:t>
            </w:r>
          </w:p>
        </w:tc>
        <w:tc>
          <w:tcPr>
            <w:tcW w:w="5128" w:type="dxa"/>
          </w:tcPr>
          <w:p w14:paraId="1180DA26" w14:textId="5470D6B2" w:rsidR="009A3C09" w:rsidRDefault="003F6D0F" w:rsidP="00D26C32">
            <w:pPr>
              <w:pStyle w:val="NoSpacing"/>
              <w:spacing w:line="360" w:lineRule="auto"/>
              <w:rPr>
                <w:rFonts w:ascii="Arial" w:hAnsi="Arial" w:cs="Arial"/>
                <w:b/>
                <w:bCs/>
                <w:sz w:val="22"/>
                <w:szCs w:val="22"/>
              </w:rPr>
            </w:pPr>
            <w:r>
              <w:rPr>
                <w:rFonts w:ascii="Arial" w:hAnsi="Arial" w:cs="Arial"/>
                <w:b/>
                <w:bCs/>
                <w:sz w:val="22"/>
                <w:szCs w:val="22"/>
              </w:rPr>
              <w:t>4.</w:t>
            </w:r>
          </w:p>
        </w:tc>
      </w:tr>
      <w:tr w:rsidR="009A3C09" w14:paraId="0F3430DC" w14:textId="77777777" w:rsidTr="00C024DD">
        <w:tc>
          <w:tcPr>
            <w:tcW w:w="5220" w:type="dxa"/>
          </w:tcPr>
          <w:p w14:paraId="32B321E1" w14:textId="77777777" w:rsidR="009A3C09" w:rsidRDefault="009A3C09" w:rsidP="00D26C32">
            <w:pPr>
              <w:pStyle w:val="NoSpacing"/>
              <w:spacing w:line="360" w:lineRule="auto"/>
              <w:rPr>
                <w:rFonts w:ascii="Arial" w:hAnsi="Arial" w:cs="Arial"/>
                <w:b/>
                <w:bCs/>
                <w:sz w:val="22"/>
                <w:szCs w:val="22"/>
              </w:rPr>
            </w:pPr>
          </w:p>
        </w:tc>
        <w:tc>
          <w:tcPr>
            <w:tcW w:w="5128" w:type="dxa"/>
          </w:tcPr>
          <w:p w14:paraId="1D277EB2" w14:textId="77777777" w:rsidR="009A3C09" w:rsidRDefault="009A3C09" w:rsidP="00D26C32">
            <w:pPr>
              <w:pStyle w:val="NoSpacing"/>
              <w:spacing w:line="360" w:lineRule="auto"/>
              <w:rPr>
                <w:rFonts w:ascii="Arial" w:hAnsi="Arial" w:cs="Arial"/>
                <w:b/>
                <w:bCs/>
                <w:sz w:val="22"/>
                <w:szCs w:val="22"/>
              </w:rPr>
            </w:pPr>
          </w:p>
        </w:tc>
      </w:tr>
      <w:tr w:rsidR="00021502" w14:paraId="6E139759" w14:textId="77777777" w:rsidTr="00C024DD">
        <w:tc>
          <w:tcPr>
            <w:tcW w:w="5220" w:type="dxa"/>
          </w:tcPr>
          <w:p w14:paraId="46E775A7" w14:textId="53BAF632" w:rsidR="00021502" w:rsidRDefault="00BD68AA" w:rsidP="00D26C32">
            <w:pPr>
              <w:pStyle w:val="NoSpacing"/>
              <w:spacing w:line="360" w:lineRule="auto"/>
              <w:rPr>
                <w:rFonts w:ascii="Arial" w:hAnsi="Arial" w:cs="Arial"/>
                <w:b/>
                <w:bCs/>
                <w:sz w:val="22"/>
                <w:szCs w:val="22"/>
              </w:rPr>
            </w:pPr>
            <w:r>
              <w:rPr>
                <w:rFonts w:ascii="Arial" w:hAnsi="Arial" w:cs="Arial"/>
                <w:b/>
                <w:bCs/>
                <w:sz w:val="22"/>
                <w:szCs w:val="22"/>
              </w:rPr>
              <w:t>Treatment Approaches</w:t>
            </w:r>
          </w:p>
        </w:tc>
        <w:tc>
          <w:tcPr>
            <w:tcW w:w="5128" w:type="dxa"/>
          </w:tcPr>
          <w:p w14:paraId="389959B7" w14:textId="2845EE8C" w:rsidR="00021502" w:rsidRDefault="00BB0B2C" w:rsidP="00D26C32">
            <w:pPr>
              <w:pStyle w:val="NoSpacing"/>
              <w:spacing w:line="360" w:lineRule="auto"/>
              <w:rPr>
                <w:rFonts w:ascii="Arial" w:hAnsi="Arial" w:cs="Arial"/>
                <w:b/>
                <w:bCs/>
                <w:sz w:val="22"/>
                <w:szCs w:val="22"/>
              </w:rPr>
            </w:pPr>
            <w:r>
              <w:rPr>
                <w:rFonts w:ascii="Arial" w:hAnsi="Arial" w:cs="Arial"/>
                <w:b/>
                <w:bCs/>
                <w:sz w:val="22"/>
                <w:szCs w:val="22"/>
              </w:rPr>
              <w:t>5.</w:t>
            </w:r>
          </w:p>
        </w:tc>
      </w:tr>
      <w:tr w:rsidR="00021502" w14:paraId="17273A4C" w14:textId="77777777" w:rsidTr="00C024DD">
        <w:tc>
          <w:tcPr>
            <w:tcW w:w="5220" w:type="dxa"/>
          </w:tcPr>
          <w:p w14:paraId="7BB39953" w14:textId="77777777" w:rsidR="00021502" w:rsidRDefault="00021502" w:rsidP="00D26C32">
            <w:pPr>
              <w:pStyle w:val="NoSpacing"/>
              <w:spacing w:line="360" w:lineRule="auto"/>
              <w:rPr>
                <w:rFonts w:ascii="Arial" w:hAnsi="Arial" w:cs="Arial"/>
                <w:b/>
                <w:bCs/>
                <w:sz w:val="22"/>
                <w:szCs w:val="22"/>
              </w:rPr>
            </w:pPr>
          </w:p>
        </w:tc>
        <w:tc>
          <w:tcPr>
            <w:tcW w:w="5128" w:type="dxa"/>
          </w:tcPr>
          <w:p w14:paraId="340DF971" w14:textId="77777777" w:rsidR="00021502" w:rsidRDefault="00021502" w:rsidP="00D26C32">
            <w:pPr>
              <w:pStyle w:val="NoSpacing"/>
              <w:spacing w:line="360" w:lineRule="auto"/>
              <w:rPr>
                <w:rFonts w:ascii="Arial" w:hAnsi="Arial" w:cs="Arial"/>
                <w:b/>
                <w:bCs/>
                <w:sz w:val="22"/>
                <w:szCs w:val="22"/>
              </w:rPr>
            </w:pPr>
          </w:p>
        </w:tc>
      </w:tr>
      <w:tr w:rsidR="00021502" w14:paraId="7FEF2592" w14:textId="77777777" w:rsidTr="00C024DD">
        <w:tc>
          <w:tcPr>
            <w:tcW w:w="5220" w:type="dxa"/>
          </w:tcPr>
          <w:p w14:paraId="06E88753" w14:textId="3527F080" w:rsidR="00021502" w:rsidRDefault="00476CF1" w:rsidP="00D26C32">
            <w:pPr>
              <w:pStyle w:val="NoSpacing"/>
              <w:spacing w:line="360" w:lineRule="auto"/>
              <w:rPr>
                <w:rFonts w:ascii="Arial" w:hAnsi="Arial" w:cs="Arial"/>
                <w:b/>
                <w:bCs/>
                <w:sz w:val="22"/>
                <w:szCs w:val="22"/>
              </w:rPr>
            </w:pPr>
            <w:r>
              <w:rPr>
                <w:rFonts w:ascii="Arial" w:hAnsi="Arial" w:cs="Arial"/>
                <w:b/>
                <w:bCs/>
                <w:sz w:val="22"/>
                <w:szCs w:val="22"/>
              </w:rPr>
              <w:t>Rehabilitation and Long-Term Management</w:t>
            </w:r>
          </w:p>
        </w:tc>
        <w:tc>
          <w:tcPr>
            <w:tcW w:w="5128" w:type="dxa"/>
          </w:tcPr>
          <w:p w14:paraId="219C3021" w14:textId="64C3472F" w:rsidR="00021502" w:rsidRDefault="00FD6E8C" w:rsidP="00D26C32">
            <w:pPr>
              <w:pStyle w:val="NoSpacing"/>
              <w:spacing w:line="360" w:lineRule="auto"/>
              <w:rPr>
                <w:rFonts w:ascii="Arial" w:hAnsi="Arial" w:cs="Arial"/>
                <w:b/>
                <w:bCs/>
                <w:sz w:val="22"/>
                <w:szCs w:val="22"/>
              </w:rPr>
            </w:pPr>
            <w:r>
              <w:rPr>
                <w:rFonts w:ascii="Arial" w:hAnsi="Arial" w:cs="Arial"/>
                <w:b/>
                <w:bCs/>
                <w:sz w:val="22"/>
                <w:szCs w:val="22"/>
              </w:rPr>
              <w:t>6 and 7</w:t>
            </w:r>
          </w:p>
        </w:tc>
      </w:tr>
      <w:tr w:rsidR="00383F0D" w14:paraId="0FEC3831" w14:textId="77777777" w:rsidTr="00C024DD">
        <w:tc>
          <w:tcPr>
            <w:tcW w:w="5220" w:type="dxa"/>
          </w:tcPr>
          <w:p w14:paraId="0AF577A2" w14:textId="77777777" w:rsidR="00383F0D" w:rsidRDefault="00383F0D" w:rsidP="00D26C32">
            <w:pPr>
              <w:pStyle w:val="NoSpacing"/>
              <w:spacing w:line="360" w:lineRule="auto"/>
              <w:rPr>
                <w:rFonts w:ascii="Arial" w:hAnsi="Arial" w:cs="Arial"/>
                <w:b/>
                <w:bCs/>
                <w:sz w:val="22"/>
                <w:szCs w:val="22"/>
              </w:rPr>
            </w:pPr>
          </w:p>
        </w:tc>
        <w:tc>
          <w:tcPr>
            <w:tcW w:w="5128" w:type="dxa"/>
          </w:tcPr>
          <w:p w14:paraId="05FB2CA4" w14:textId="77777777" w:rsidR="00383F0D" w:rsidRDefault="00383F0D" w:rsidP="00D26C32">
            <w:pPr>
              <w:pStyle w:val="NoSpacing"/>
              <w:spacing w:line="360" w:lineRule="auto"/>
              <w:rPr>
                <w:rFonts w:ascii="Arial" w:hAnsi="Arial" w:cs="Arial"/>
                <w:b/>
                <w:bCs/>
                <w:sz w:val="22"/>
                <w:szCs w:val="22"/>
              </w:rPr>
            </w:pPr>
          </w:p>
        </w:tc>
      </w:tr>
      <w:tr w:rsidR="00383F0D" w14:paraId="487E0D79" w14:textId="77777777" w:rsidTr="00C024DD">
        <w:tc>
          <w:tcPr>
            <w:tcW w:w="5220" w:type="dxa"/>
          </w:tcPr>
          <w:p w14:paraId="74347482" w14:textId="738703DF" w:rsidR="00383F0D" w:rsidRDefault="00106235" w:rsidP="00D26C32">
            <w:pPr>
              <w:pStyle w:val="NoSpacing"/>
              <w:spacing w:line="360" w:lineRule="auto"/>
              <w:rPr>
                <w:rFonts w:ascii="Arial" w:hAnsi="Arial" w:cs="Arial"/>
                <w:b/>
                <w:bCs/>
                <w:sz w:val="22"/>
                <w:szCs w:val="22"/>
              </w:rPr>
            </w:pPr>
            <w:r>
              <w:rPr>
                <w:rFonts w:ascii="Arial" w:hAnsi="Arial" w:cs="Arial"/>
                <w:b/>
                <w:bCs/>
                <w:sz w:val="22"/>
                <w:szCs w:val="22"/>
              </w:rPr>
              <w:t>Current Debates and Emerging Issues</w:t>
            </w:r>
          </w:p>
        </w:tc>
        <w:tc>
          <w:tcPr>
            <w:tcW w:w="5128" w:type="dxa"/>
          </w:tcPr>
          <w:p w14:paraId="1B668EB9" w14:textId="75690C38" w:rsidR="00383F0D" w:rsidRDefault="008028AC" w:rsidP="00D26C32">
            <w:pPr>
              <w:pStyle w:val="NoSpacing"/>
              <w:spacing w:line="360" w:lineRule="auto"/>
              <w:rPr>
                <w:rFonts w:ascii="Arial" w:hAnsi="Arial" w:cs="Arial"/>
                <w:b/>
                <w:bCs/>
                <w:sz w:val="22"/>
                <w:szCs w:val="22"/>
              </w:rPr>
            </w:pPr>
            <w:r>
              <w:rPr>
                <w:rFonts w:ascii="Arial" w:hAnsi="Arial" w:cs="Arial"/>
                <w:b/>
                <w:bCs/>
                <w:sz w:val="22"/>
                <w:szCs w:val="22"/>
              </w:rPr>
              <w:t>7 and 8</w:t>
            </w:r>
          </w:p>
        </w:tc>
      </w:tr>
      <w:tr w:rsidR="00383F0D" w14:paraId="77E61E37" w14:textId="77777777" w:rsidTr="00C024DD">
        <w:trPr>
          <w:trHeight w:val="473"/>
        </w:trPr>
        <w:tc>
          <w:tcPr>
            <w:tcW w:w="5220" w:type="dxa"/>
          </w:tcPr>
          <w:p w14:paraId="26D7B2A0" w14:textId="77777777" w:rsidR="00383F0D" w:rsidRDefault="00383F0D" w:rsidP="00D26C32">
            <w:pPr>
              <w:pStyle w:val="NoSpacing"/>
              <w:spacing w:line="360" w:lineRule="auto"/>
              <w:rPr>
                <w:rFonts w:ascii="Arial" w:hAnsi="Arial" w:cs="Arial"/>
                <w:b/>
                <w:bCs/>
                <w:sz w:val="22"/>
                <w:szCs w:val="22"/>
              </w:rPr>
            </w:pPr>
          </w:p>
        </w:tc>
        <w:tc>
          <w:tcPr>
            <w:tcW w:w="5128" w:type="dxa"/>
          </w:tcPr>
          <w:p w14:paraId="3BEC6B88" w14:textId="77777777" w:rsidR="00383F0D" w:rsidRDefault="00383F0D" w:rsidP="00D26C32">
            <w:pPr>
              <w:pStyle w:val="NoSpacing"/>
              <w:spacing w:line="360" w:lineRule="auto"/>
              <w:rPr>
                <w:rFonts w:ascii="Arial" w:hAnsi="Arial" w:cs="Arial"/>
                <w:b/>
                <w:bCs/>
                <w:sz w:val="22"/>
                <w:szCs w:val="22"/>
              </w:rPr>
            </w:pPr>
          </w:p>
        </w:tc>
      </w:tr>
      <w:tr w:rsidR="00383F0D" w14:paraId="36E97173" w14:textId="77777777" w:rsidTr="00C024DD">
        <w:tc>
          <w:tcPr>
            <w:tcW w:w="5220" w:type="dxa"/>
          </w:tcPr>
          <w:p w14:paraId="52220DB4" w14:textId="2DEC8C0E" w:rsidR="00383F0D" w:rsidRDefault="00383F0D" w:rsidP="00D26C32">
            <w:pPr>
              <w:pStyle w:val="NoSpacing"/>
              <w:spacing w:line="360" w:lineRule="auto"/>
              <w:rPr>
                <w:rFonts w:ascii="Arial" w:hAnsi="Arial" w:cs="Arial"/>
                <w:b/>
                <w:bCs/>
                <w:sz w:val="22"/>
                <w:szCs w:val="22"/>
              </w:rPr>
            </w:pPr>
          </w:p>
        </w:tc>
        <w:tc>
          <w:tcPr>
            <w:tcW w:w="5128" w:type="dxa"/>
          </w:tcPr>
          <w:p w14:paraId="7F74979D" w14:textId="77777777" w:rsidR="00383F0D" w:rsidRDefault="00383F0D" w:rsidP="00D26C32">
            <w:pPr>
              <w:pStyle w:val="NoSpacing"/>
              <w:spacing w:line="360" w:lineRule="auto"/>
              <w:rPr>
                <w:rFonts w:ascii="Arial" w:hAnsi="Arial" w:cs="Arial"/>
                <w:b/>
                <w:bCs/>
                <w:sz w:val="22"/>
                <w:szCs w:val="22"/>
              </w:rPr>
            </w:pPr>
          </w:p>
        </w:tc>
      </w:tr>
      <w:tr w:rsidR="00383F0D" w14:paraId="0BD33BBD" w14:textId="77777777" w:rsidTr="00C024DD">
        <w:tc>
          <w:tcPr>
            <w:tcW w:w="5220" w:type="dxa"/>
          </w:tcPr>
          <w:p w14:paraId="34B215BB" w14:textId="77777777" w:rsidR="00383F0D" w:rsidRDefault="00383F0D" w:rsidP="00D26C32">
            <w:pPr>
              <w:pStyle w:val="NoSpacing"/>
              <w:spacing w:line="360" w:lineRule="auto"/>
              <w:rPr>
                <w:rFonts w:ascii="Arial" w:hAnsi="Arial" w:cs="Arial"/>
                <w:b/>
                <w:bCs/>
                <w:sz w:val="22"/>
                <w:szCs w:val="22"/>
              </w:rPr>
            </w:pPr>
          </w:p>
        </w:tc>
        <w:tc>
          <w:tcPr>
            <w:tcW w:w="5128" w:type="dxa"/>
          </w:tcPr>
          <w:p w14:paraId="2EF86F51" w14:textId="77777777" w:rsidR="00383F0D" w:rsidRDefault="00383F0D" w:rsidP="00D26C32">
            <w:pPr>
              <w:pStyle w:val="NoSpacing"/>
              <w:spacing w:line="360" w:lineRule="auto"/>
              <w:rPr>
                <w:rFonts w:ascii="Arial" w:hAnsi="Arial" w:cs="Arial"/>
                <w:b/>
                <w:bCs/>
                <w:sz w:val="22"/>
                <w:szCs w:val="22"/>
              </w:rPr>
            </w:pPr>
          </w:p>
        </w:tc>
      </w:tr>
      <w:tr w:rsidR="00383F0D" w14:paraId="7861155E" w14:textId="77777777" w:rsidTr="00C024DD">
        <w:tc>
          <w:tcPr>
            <w:tcW w:w="5220" w:type="dxa"/>
          </w:tcPr>
          <w:p w14:paraId="41A775CF" w14:textId="33DC11A5" w:rsidR="00383F0D" w:rsidRDefault="00383F0D" w:rsidP="00D26C32">
            <w:pPr>
              <w:pStyle w:val="NoSpacing"/>
              <w:spacing w:line="360" w:lineRule="auto"/>
              <w:rPr>
                <w:rFonts w:ascii="Arial" w:hAnsi="Arial" w:cs="Arial"/>
                <w:b/>
                <w:bCs/>
                <w:sz w:val="22"/>
                <w:szCs w:val="22"/>
              </w:rPr>
            </w:pPr>
          </w:p>
        </w:tc>
        <w:tc>
          <w:tcPr>
            <w:tcW w:w="5128" w:type="dxa"/>
          </w:tcPr>
          <w:p w14:paraId="505F7039" w14:textId="77777777" w:rsidR="00383F0D" w:rsidRDefault="00383F0D" w:rsidP="00D26C32">
            <w:pPr>
              <w:pStyle w:val="NoSpacing"/>
              <w:spacing w:line="360" w:lineRule="auto"/>
              <w:rPr>
                <w:rFonts w:ascii="Arial" w:hAnsi="Arial" w:cs="Arial"/>
                <w:b/>
                <w:bCs/>
                <w:sz w:val="22"/>
                <w:szCs w:val="22"/>
              </w:rPr>
            </w:pPr>
          </w:p>
        </w:tc>
      </w:tr>
      <w:tr w:rsidR="00383F0D" w14:paraId="2BCE5470" w14:textId="77777777" w:rsidTr="00C024DD">
        <w:tc>
          <w:tcPr>
            <w:tcW w:w="5220" w:type="dxa"/>
          </w:tcPr>
          <w:p w14:paraId="3F7DAF1C" w14:textId="77777777" w:rsidR="00383F0D" w:rsidRDefault="00383F0D" w:rsidP="00D26C32">
            <w:pPr>
              <w:pStyle w:val="NoSpacing"/>
              <w:spacing w:line="360" w:lineRule="auto"/>
              <w:rPr>
                <w:rFonts w:ascii="Arial" w:hAnsi="Arial" w:cs="Arial"/>
                <w:b/>
                <w:bCs/>
                <w:sz w:val="22"/>
                <w:szCs w:val="22"/>
              </w:rPr>
            </w:pPr>
          </w:p>
        </w:tc>
        <w:tc>
          <w:tcPr>
            <w:tcW w:w="5128" w:type="dxa"/>
          </w:tcPr>
          <w:p w14:paraId="53B397AB" w14:textId="77777777" w:rsidR="00383F0D" w:rsidRDefault="00383F0D" w:rsidP="00D26C32">
            <w:pPr>
              <w:pStyle w:val="NoSpacing"/>
              <w:spacing w:line="360" w:lineRule="auto"/>
              <w:rPr>
                <w:rFonts w:ascii="Arial" w:hAnsi="Arial" w:cs="Arial"/>
                <w:b/>
                <w:bCs/>
                <w:sz w:val="22"/>
                <w:szCs w:val="22"/>
              </w:rPr>
            </w:pPr>
          </w:p>
        </w:tc>
      </w:tr>
      <w:tr w:rsidR="00383F0D" w14:paraId="5B40E2FC" w14:textId="77777777" w:rsidTr="00C024DD">
        <w:tc>
          <w:tcPr>
            <w:tcW w:w="5220" w:type="dxa"/>
          </w:tcPr>
          <w:p w14:paraId="258A13F2" w14:textId="211AF949" w:rsidR="00383F0D" w:rsidRDefault="005C4583" w:rsidP="00D26C32">
            <w:pPr>
              <w:pStyle w:val="NoSpacing"/>
              <w:spacing w:line="360" w:lineRule="auto"/>
              <w:rPr>
                <w:rFonts w:ascii="Arial" w:hAnsi="Arial" w:cs="Arial"/>
                <w:b/>
                <w:bCs/>
                <w:sz w:val="22"/>
                <w:szCs w:val="22"/>
              </w:rPr>
            </w:pPr>
            <w:r>
              <w:rPr>
                <w:rFonts w:ascii="Arial" w:hAnsi="Arial" w:cs="Arial"/>
                <w:b/>
                <w:bCs/>
                <w:sz w:val="22"/>
                <w:szCs w:val="22"/>
              </w:rPr>
              <w:t>Recommendations</w:t>
            </w:r>
          </w:p>
        </w:tc>
        <w:tc>
          <w:tcPr>
            <w:tcW w:w="5128" w:type="dxa"/>
          </w:tcPr>
          <w:p w14:paraId="3D2BFACA" w14:textId="5F69C768" w:rsidR="00383F0D" w:rsidRDefault="00063816" w:rsidP="00D26C32">
            <w:pPr>
              <w:pStyle w:val="NoSpacing"/>
              <w:spacing w:line="360" w:lineRule="auto"/>
              <w:rPr>
                <w:rFonts w:ascii="Arial" w:hAnsi="Arial" w:cs="Arial"/>
                <w:b/>
                <w:bCs/>
                <w:sz w:val="22"/>
                <w:szCs w:val="22"/>
              </w:rPr>
            </w:pPr>
            <w:r>
              <w:rPr>
                <w:rFonts w:ascii="Arial" w:hAnsi="Arial" w:cs="Arial"/>
                <w:b/>
                <w:bCs/>
                <w:sz w:val="22"/>
                <w:szCs w:val="22"/>
              </w:rPr>
              <w:t>8 and 9</w:t>
            </w:r>
          </w:p>
        </w:tc>
      </w:tr>
      <w:tr w:rsidR="00383F0D" w14:paraId="663DF330" w14:textId="77777777" w:rsidTr="00C024DD">
        <w:tc>
          <w:tcPr>
            <w:tcW w:w="5220" w:type="dxa"/>
          </w:tcPr>
          <w:p w14:paraId="6350C1F3" w14:textId="77777777" w:rsidR="00383F0D" w:rsidRDefault="00383F0D" w:rsidP="00D26C32">
            <w:pPr>
              <w:pStyle w:val="NoSpacing"/>
              <w:spacing w:line="360" w:lineRule="auto"/>
              <w:rPr>
                <w:rFonts w:ascii="Arial" w:hAnsi="Arial" w:cs="Arial"/>
                <w:b/>
                <w:bCs/>
                <w:sz w:val="22"/>
                <w:szCs w:val="22"/>
              </w:rPr>
            </w:pPr>
          </w:p>
        </w:tc>
        <w:tc>
          <w:tcPr>
            <w:tcW w:w="5128" w:type="dxa"/>
          </w:tcPr>
          <w:p w14:paraId="2C2D7067" w14:textId="77777777" w:rsidR="00383F0D" w:rsidRDefault="00383F0D" w:rsidP="00D26C32">
            <w:pPr>
              <w:pStyle w:val="NoSpacing"/>
              <w:spacing w:line="360" w:lineRule="auto"/>
              <w:rPr>
                <w:rFonts w:ascii="Arial" w:hAnsi="Arial" w:cs="Arial"/>
                <w:b/>
                <w:bCs/>
                <w:sz w:val="22"/>
                <w:szCs w:val="22"/>
              </w:rPr>
            </w:pPr>
          </w:p>
        </w:tc>
      </w:tr>
      <w:tr w:rsidR="005C4583" w14:paraId="72C965CC" w14:textId="77777777" w:rsidTr="00C024DD">
        <w:tc>
          <w:tcPr>
            <w:tcW w:w="5220" w:type="dxa"/>
          </w:tcPr>
          <w:p w14:paraId="07469D60" w14:textId="2912C172" w:rsidR="005C4583" w:rsidRDefault="00350F3C" w:rsidP="00D26C32">
            <w:pPr>
              <w:pStyle w:val="NoSpacing"/>
              <w:spacing w:line="360" w:lineRule="auto"/>
              <w:rPr>
                <w:rFonts w:ascii="Arial" w:hAnsi="Arial" w:cs="Arial"/>
                <w:b/>
                <w:bCs/>
                <w:sz w:val="22"/>
                <w:szCs w:val="22"/>
              </w:rPr>
            </w:pPr>
            <w:r>
              <w:rPr>
                <w:rFonts w:ascii="Arial" w:hAnsi="Arial" w:cs="Arial"/>
                <w:b/>
                <w:bCs/>
                <w:sz w:val="22"/>
                <w:szCs w:val="22"/>
              </w:rPr>
              <w:t>Conclusion</w:t>
            </w:r>
          </w:p>
        </w:tc>
        <w:tc>
          <w:tcPr>
            <w:tcW w:w="5128" w:type="dxa"/>
          </w:tcPr>
          <w:p w14:paraId="3B101383" w14:textId="434E7075" w:rsidR="005C4583" w:rsidRDefault="00063816" w:rsidP="00D26C32">
            <w:pPr>
              <w:pStyle w:val="NoSpacing"/>
              <w:spacing w:line="360" w:lineRule="auto"/>
              <w:rPr>
                <w:rFonts w:ascii="Arial" w:hAnsi="Arial" w:cs="Arial"/>
                <w:b/>
                <w:bCs/>
                <w:sz w:val="22"/>
                <w:szCs w:val="22"/>
              </w:rPr>
            </w:pPr>
            <w:r>
              <w:rPr>
                <w:rFonts w:ascii="Arial" w:hAnsi="Arial" w:cs="Arial"/>
                <w:b/>
                <w:bCs/>
                <w:sz w:val="22"/>
                <w:szCs w:val="22"/>
              </w:rPr>
              <w:t>9 and 10</w:t>
            </w:r>
          </w:p>
        </w:tc>
      </w:tr>
      <w:tr w:rsidR="005C4583" w14:paraId="461910BE" w14:textId="77777777" w:rsidTr="00C024DD">
        <w:tc>
          <w:tcPr>
            <w:tcW w:w="5220" w:type="dxa"/>
          </w:tcPr>
          <w:p w14:paraId="335341D0" w14:textId="77777777" w:rsidR="005C4583" w:rsidRDefault="005C4583" w:rsidP="00D26C32">
            <w:pPr>
              <w:pStyle w:val="NoSpacing"/>
              <w:spacing w:line="360" w:lineRule="auto"/>
              <w:rPr>
                <w:rFonts w:ascii="Arial" w:hAnsi="Arial" w:cs="Arial"/>
                <w:b/>
                <w:bCs/>
                <w:sz w:val="22"/>
                <w:szCs w:val="22"/>
              </w:rPr>
            </w:pPr>
          </w:p>
        </w:tc>
        <w:tc>
          <w:tcPr>
            <w:tcW w:w="5128" w:type="dxa"/>
          </w:tcPr>
          <w:p w14:paraId="1C10A866" w14:textId="77777777" w:rsidR="005C4583" w:rsidRDefault="005C4583" w:rsidP="00D26C32">
            <w:pPr>
              <w:pStyle w:val="NoSpacing"/>
              <w:spacing w:line="360" w:lineRule="auto"/>
              <w:rPr>
                <w:rFonts w:ascii="Arial" w:hAnsi="Arial" w:cs="Arial"/>
                <w:b/>
                <w:bCs/>
                <w:sz w:val="22"/>
                <w:szCs w:val="22"/>
              </w:rPr>
            </w:pPr>
          </w:p>
        </w:tc>
      </w:tr>
      <w:tr w:rsidR="005C4583" w14:paraId="75E3A34E" w14:textId="77777777" w:rsidTr="00C024DD">
        <w:tc>
          <w:tcPr>
            <w:tcW w:w="5220" w:type="dxa"/>
          </w:tcPr>
          <w:p w14:paraId="4AA431FF" w14:textId="5D33A76B" w:rsidR="005C4583" w:rsidRDefault="00350F3C" w:rsidP="00D26C32">
            <w:pPr>
              <w:pStyle w:val="NoSpacing"/>
              <w:spacing w:line="360" w:lineRule="auto"/>
              <w:rPr>
                <w:rFonts w:ascii="Arial" w:hAnsi="Arial" w:cs="Arial"/>
                <w:b/>
                <w:bCs/>
                <w:sz w:val="22"/>
                <w:szCs w:val="22"/>
              </w:rPr>
            </w:pPr>
            <w:r>
              <w:rPr>
                <w:rFonts w:ascii="Arial" w:hAnsi="Arial" w:cs="Arial"/>
                <w:b/>
                <w:bCs/>
                <w:sz w:val="22"/>
                <w:szCs w:val="22"/>
              </w:rPr>
              <w:t>References</w:t>
            </w:r>
          </w:p>
        </w:tc>
        <w:tc>
          <w:tcPr>
            <w:tcW w:w="5128" w:type="dxa"/>
          </w:tcPr>
          <w:p w14:paraId="181EEFD6" w14:textId="27597F8C" w:rsidR="005C4583" w:rsidRDefault="003F2434" w:rsidP="00D26C32">
            <w:pPr>
              <w:pStyle w:val="NoSpacing"/>
              <w:spacing w:line="360" w:lineRule="auto"/>
              <w:rPr>
                <w:rFonts w:ascii="Arial" w:hAnsi="Arial" w:cs="Arial"/>
                <w:b/>
                <w:bCs/>
                <w:sz w:val="22"/>
                <w:szCs w:val="22"/>
              </w:rPr>
            </w:pPr>
            <w:r>
              <w:rPr>
                <w:rFonts w:ascii="Arial" w:hAnsi="Arial" w:cs="Arial"/>
                <w:b/>
                <w:bCs/>
                <w:sz w:val="22"/>
                <w:szCs w:val="22"/>
              </w:rPr>
              <w:t>11 and 12</w:t>
            </w:r>
          </w:p>
        </w:tc>
      </w:tr>
      <w:tr w:rsidR="005C4583" w14:paraId="70D71271" w14:textId="77777777" w:rsidTr="00C024DD">
        <w:tc>
          <w:tcPr>
            <w:tcW w:w="5220" w:type="dxa"/>
          </w:tcPr>
          <w:p w14:paraId="38FCDAE0" w14:textId="77777777" w:rsidR="005C4583" w:rsidRDefault="005C4583" w:rsidP="00D26C32">
            <w:pPr>
              <w:pStyle w:val="NoSpacing"/>
              <w:spacing w:line="360" w:lineRule="auto"/>
              <w:rPr>
                <w:rFonts w:ascii="Arial" w:hAnsi="Arial" w:cs="Arial"/>
                <w:b/>
                <w:bCs/>
                <w:sz w:val="22"/>
                <w:szCs w:val="22"/>
              </w:rPr>
            </w:pPr>
          </w:p>
        </w:tc>
        <w:tc>
          <w:tcPr>
            <w:tcW w:w="5128" w:type="dxa"/>
          </w:tcPr>
          <w:p w14:paraId="5765A0CF" w14:textId="77777777" w:rsidR="005C4583" w:rsidRDefault="005C4583" w:rsidP="00D26C32">
            <w:pPr>
              <w:pStyle w:val="NoSpacing"/>
              <w:spacing w:line="360" w:lineRule="auto"/>
              <w:rPr>
                <w:rFonts w:ascii="Arial" w:hAnsi="Arial" w:cs="Arial"/>
                <w:b/>
                <w:bCs/>
                <w:sz w:val="22"/>
                <w:szCs w:val="22"/>
              </w:rPr>
            </w:pPr>
          </w:p>
        </w:tc>
      </w:tr>
      <w:tr w:rsidR="005C4583" w14:paraId="7C20A300" w14:textId="77777777" w:rsidTr="00C024DD">
        <w:tc>
          <w:tcPr>
            <w:tcW w:w="5220" w:type="dxa"/>
          </w:tcPr>
          <w:p w14:paraId="49618324" w14:textId="77777777" w:rsidR="005C4583" w:rsidRDefault="005C4583" w:rsidP="00D26C32">
            <w:pPr>
              <w:pStyle w:val="NoSpacing"/>
              <w:spacing w:line="360" w:lineRule="auto"/>
              <w:rPr>
                <w:rFonts w:ascii="Arial" w:hAnsi="Arial" w:cs="Arial"/>
                <w:b/>
                <w:bCs/>
                <w:sz w:val="22"/>
                <w:szCs w:val="22"/>
              </w:rPr>
            </w:pPr>
          </w:p>
        </w:tc>
        <w:tc>
          <w:tcPr>
            <w:tcW w:w="5128" w:type="dxa"/>
          </w:tcPr>
          <w:p w14:paraId="3CF0C775" w14:textId="77777777" w:rsidR="005C4583" w:rsidRDefault="005C4583" w:rsidP="00D26C32">
            <w:pPr>
              <w:pStyle w:val="NoSpacing"/>
              <w:spacing w:line="360" w:lineRule="auto"/>
              <w:rPr>
                <w:rFonts w:ascii="Arial" w:hAnsi="Arial" w:cs="Arial"/>
                <w:b/>
                <w:bCs/>
                <w:sz w:val="22"/>
                <w:szCs w:val="22"/>
              </w:rPr>
            </w:pPr>
          </w:p>
        </w:tc>
      </w:tr>
      <w:tr w:rsidR="005C4583" w14:paraId="02A22257" w14:textId="77777777" w:rsidTr="00C024DD">
        <w:tc>
          <w:tcPr>
            <w:tcW w:w="5220" w:type="dxa"/>
          </w:tcPr>
          <w:p w14:paraId="0B1A2C7E" w14:textId="77777777" w:rsidR="005C4583" w:rsidRDefault="005C4583" w:rsidP="00D26C32">
            <w:pPr>
              <w:pStyle w:val="NoSpacing"/>
              <w:spacing w:line="360" w:lineRule="auto"/>
              <w:rPr>
                <w:rFonts w:ascii="Arial" w:hAnsi="Arial" w:cs="Arial"/>
                <w:b/>
                <w:bCs/>
                <w:sz w:val="22"/>
                <w:szCs w:val="22"/>
              </w:rPr>
            </w:pPr>
          </w:p>
        </w:tc>
        <w:tc>
          <w:tcPr>
            <w:tcW w:w="5128" w:type="dxa"/>
          </w:tcPr>
          <w:p w14:paraId="06298A0F" w14:textId="77777777" w:rsidR="005C4583" w:rsidRDefault="005C4583" w:rsidP="00D26C32">
            <w:pPr>
              <w:pStyle w:val="NoSpacing"/>
              <w:spacing w:line="360" w:lineRule="auto"/>
              <w:rPr>
                <w:rFonts w:ascii="Arial" w:hAnsi="Arial" w:cs="Arial"/>
                <w:b/>
                <w:bCs/>
                <w:sz w:val="22"/>
                <w:szCs w:val="22"/>
              </w:rPr>
            </w:pPr>
          </w:p>
        </w:tc>
      </w:tr>
      <w:tr w:rsidR="005C4583" w14:paraId="2D63F787" w14:textId="77777777" w:rsidTr="00C024DD">
        <w:tc>
          <w:tcPr>
            <w:tcW w:w="5220" w:type="dxa"/>
          </w:tcPr>
          <w:p w14:paraId="210C229F" w14:textId="77777777" w:rsidR="005C4583" w:rsidRDefault="005C4583" w:rsidP="00D26C32">
            <w:pPr>
              <w:pStyle w:val="NoSpacing"/>
              <w:spacing w:line="360" w:lineRule="auto"/>
              <w:rPr>
                <w:rFonts w:ascii="Arial" w:hAnsi="Arial" w:cs="Arial"/>
                <w:b/>
                <w:bCs/>
                <w:sz w:val="22"/>
                <w:szCs w:val="22"/>
              </w:rPr>
            </w:pPr>
          </w:p>
        </w:tc>
        <w:tc>
          <w:tcPr>
            <w:tcW w:w="5128" w:type="dxa"/>
          </w:tcPr>
          <w:p w14:paraId="6998FE62" w14:textId="77777777" w:rsidR="005C4583" w:rsidRDefault="005C4583" w:rsidP="00D26C32">
            <w:pPr>
              <w:pStyle w:val="NoSpacing"/>
              <w:spacing w:line="360" w:lineRule="auto"/>
              <w:rPr>
                <w:rFonts w:ascii="Arial" w:hAnsi="Arial" w:cs="Arial"/>
                <w:b/>
                <w:bCs/>
                <w:sz w:val="22"/>
                <w:szCs w:val="22"/>
              </w:rPr>
            </w:pPr>
          </w:p>
        </w:tc>
      </w:tr>
    </w:tbl>
    <w:p w14:paraId="607C78D7" w14:textId="77777777" w:rsidR="00A828CA" w:rsidRDefault="00A828CA" w:rsidP="00D26C32">
      <w:pPr>
        <w:pStyle w:val="NoSpacing"/>
        <w:spacing w:line="360" w:lineRule="auto"/>
        <w:rPr>
          <w:rFonts w:ascii="Arial" w:hAnsi="Arial" w:cs="Arial"/>
          <w:b/>
          <w:bCs/>
          <w:sz w:val="22"/>
          <w:szCs w:val="22"/>
        </w:rPr>
      </w:pPr>
    </w:p>
    <w:p w14:paraId="599F1821" w14:textId="77777777" w:rsidR="00A828CA" w:rsidRDefault="00A828CA" w:rsidP="00D26C32">
      <w:pPr>
        <w:pStyle w:val="NoSpacing"/>
        <w:spacing w:line="360" w:lineRule="auto"/>
        <w:rPr>
          <w:rFonts w:ascii="Arial" w:hAnsi="Arial" w:cs="Arial"/>
          <w:b/>
          <w:bCs/>
          <w:sz w:val="22"/>
          <w:szCs w:val="22"/>
        </w:rPr>
      </w:pPr>
    </w:p>
    <w:p w14:paraId="4F19912E" w14:textId="77777777" w:rsidR="00A828CA" w:rsidRDefault="00A828CA" w:rsidP="00D26C32">
      <w:pPr>
        <w:pStyle w:val="NoSpacing"/>
        <w:spacing w:line="360" w:lineRule="auto"/>
        <w:rPr>
          <w:rFonts w:ascii="Arial" w:hAnsi="Arial" w:cs="Arial"/>
          <w:b/>
          <w:bCs/>
          <w:sz w:val="22"/>
          <w:szCs w:val="22"/>
        </w:rPr>
      </w:pPr>
    </w:p>
    <w:p w14:paraId="08FDF945" w14:textId="77777777" w:rsidR="00A828CA" w:rsidRDefault="00A828CA" w:rsidP="00D26C32">
      <w:pPr>
        <w:pStyle w:val="NoSpacing"/>
        <w:spacing w:line="360" w:lineRule="auto"/>
        <w:rPr>
          <w:rFonts w:ascii="Arial" w:hAnsi="Arial" w:cs="Arial"/>
          <w:b/>
          <w:bCs/>
          <w:sz w:val="22"/>
          <w:szCs w:val="22"/>
        </w:rPr>
      </w:pPr>
    </w:p>
    <w:p w14:paraId="35DDA1CC" w14:textId="77777777" w:rsidR="00A828CA" w:rsidRDefault="00A828CA" w:rsidP="00D26C32">
      <w:pPr>
        <w:pStyle w:val="NoSpacing"/>
        <w:spacing w:line="360" w:lineRule="auto"/>
        <w:rPr>
          <w:rFonts w:ascii="Arial" w:hAnsi="Arial" w:cs="Arial"/>
          <w:b/>
          <w:bCs/>
          <w:sz w:val="22"/>
          <w:szCs w:val="22"/>
        </w:rPr>
      </w:pPr>
    </w:p>
    <w:p w14:paraId="74F32CDF" w14:textId="77777777" w:rsidR="00A828CA" w:rsidRDefault="00A828CA" w:rsidP="00D26C32">
      <w:pPr>
        <w:pStyle w:val="NoSpacing"/>
        <w:spacing w:line="360" w:lineRule="auto"/>
        <w:rPr>
          <w:rFonts w:ascii="Arial" w:hAnsi="Arial" w:cs="Arial"/>
          <w:b/>
          <w:bCs/>
          <w:sz w:val="22"/>
          <w:szCs w:val="22"/>
        </w:rPr>
      </w:pPr>
    </w:p>
    <w:p w14:paraId="09CB025C" w14:textId="77777777" w:rsidR="00A828CA" w:rsidRDefault="00A828CA" w:rsidP="00D26C32">
      <w:pPr>
        <w:pStyle w:val="NoSpacing"/>
        <w:spacing w:line="360" w:lineRule="auto"/>
        <w:rPr>
          <w:rFonts w:ascii="Arial" w:hAnsi="Arial" w:cs="Arial"/>
          <w:b/>
          <w:bCs/>
          <w:sz w:val="22"/>
          <w:szCs w:val="22"/>
        </w:rPr>
      </w:pPr>
    </w:p>
    <w:p w14:paraId="70E4096C" w14:textId="77777777" w:rsidR="00A828CA" w:rsidRDefault="00A828CA" w:rsidP="00D26C32">
      <w:pPr>
        <w:pStyle w:val="NoSpacing"/>
        <w:spacing w:line="360" w:lineRule="auto"/>
        <w:rPr>
          <w:rFonts w:ascii="Arial" w:hAnsi="Arial" w:cs="Arial"/>
          <w:b/>
          <w:bCs/>
          <w:sz w:val="22"/>
          <w:szCs w:val="22"/>
        </w:rPr>
      </w:pPr>
    </w:p>
    <w:p w14:paraId="7D50AAA4" w14:textId="77777777" w:rsidR="00A828CA" w:rsidRDefault="00A828CA" w:rsidP="00D26C32">
      <w:pPr>
        <w:pStyle w:val="NoSpacing"/>
        <w:spacing w:line="360" w:lineRule="auto"/>
        <w:rPr>
          <w:rFonts w:ascii="Arial" w:hAnsi="Arial" w:cs="Arial"/>
          <w:b/>
          <w:bCs/>
          <w:sz w:val="22"/>
          <w:szCs w:val="22"/>
        </w:rPr>
      </w:pPr>
    </w:p>
    <w:p w14:paraId="5BBDC4AE" w14:textId="018187ED" w:rsidR="001D259D" w:rsidRDefault="00D26C32" w:rsidP="00D26C32">
      <w:pPr>
        <w:pStyle w:val="NoSpacing"/>
        <w:spacing w:line="360" w:lineRule="auto"/>
        <w:rPr>
          <w:rFonts w:ascii="Arial" w:hAnsi="Arial" w:cs="Arial"/>
          <w:b/>
          <w:bCs/>
          <w:sz w:val="22"/>
          <w:szCs w:val="22"/>
        </w:rPr>
      </w:pPr>
      <w:r w:rsidRPr="00D26C32">
        <w:rPr>
          <w:rFonts w:ascii="Arial" w:hAnsi="Arial" w:cs="Arial"/>
          <w:b/>
          <w:bCs/>
          <w:sz w:val="22"/>
          <w:szCs w:val="22"/>
        </w:rPr>
        <w:t>Introduction</w:t>
      </w:r>
      <w:r w:rsidR="001D259D">
        <w:rPr>
          <w:rFonts w:ascii="Arial" w:hAnsi="Arial" w:cs="Arial"/>
          <w:b/>
          <w:bCs/>
          <w:sz w:val="22"/>
          <w:szCs w:val="22"/>
        </w:rPr>
        <w:t>:</w:t>
      </w:r>
    </w:p>
    <w:p w14:paraId="6C149065" w14:textId="77777777" w:rsidR="003076E3" w:rsidRDefault="003076E3" w:rsidP="00D26C32">
      <w:pPr>
        <w:pStyle w:val="NoSpacing"/>
        <w:spacing w:line="360" w:lineRule="auto"/>
        <w:rPr>
          <w:rFonts w:ascii="Arial" w:hAnsi="Arial" w:cs="Arial"/>
          <w:b/>
          <w:bCs/>
          <w:sz w:val="22"/>
          <w:szCs w:val="22"/>
        </w:rPr>
      </w:pPr>
    </w:p>
    <w:p w14:paraId="181CF8A7" w14:textId="77777777" w:rsidR="003076E3" w:rsidRPr="003076E3" w:rsidRDefault="003076E3" w:rsidP="00D26C32">
      <w:pPr>
        <w:pStyle w:val="NoSpacing"/>
        <w:spacing w:line="360" w:lineRule="auto"/>
        <w:rPr>
          <w:rFonts w:ascii="Arial" w:hAnsi="Arial" w:cs="Arial"/>
          <w:sz w:val="22"/>
          <w:szCs w:val="22"/>
        </w:rPr>
      </w:pPr>
    </w:p>
    <w:p w14:paraId="202D1DB4" w14:textId="36F94147" w:rsidR="001D259D" w:rsidRDefault="003076E3" w:rsidP="00D26C32">
      <w:pPr>
        <w:pStyle w:val="NoSpacing"/>
        <w:spacing w:line="360" w:lineRule="auto"/>
        <w:rPr>
          <w:rFonts w:ascii="Arial" w:hAnsi="Arial" w:cs="Arial"/>
          <w:sz w:val="22"/>
          <w:szCs w:val="22"/>
        </w:rPr>
      </w:pPr>
      <w:r>
        <w:rPr>
          <w:rFonts w:ascii="Arial" w:hAnsi="Arial" w:cs="Arial"/>
          <w:sz w:val="22"/>
          <w:szCs w:val="22"/>
        </w:rPr>
        <w:t>This report will critically evaluate the classi</w:t>
      </w:r>
      <w:r w:rsidR="00D87271">
        <w:rPr>
          <w:rFonts w:ascii="Arial" w:hAnsi="Arial" w:cs="Arial"/>
          <w:sz w:val="22"/>
          <w:szCs w:val="22"/>
        </w:rPr>
        <w:t xml:space="preserve">fication, diagnosis, </w:t>
      </w:r>
      <w:r w:rsidR="00924B3E">
        <w:rPr>
          <w:rFonts w:ascii="Arial" w:hAnsi="Arial" w:cs="Arial"/>
          <w:sz w:val="22"/>
          <w:szCs w:val="22"/>
        </w:rPr>
        <w:t>treatment,</w:t>
      </w:r>
      <w:r w:rsidR="00D87271">
        <w:rPr>
          <w:rFonts w:ascii="Arial" w:hAnsi="Arial" w:cs="Arial"/>
          <w:sz w:val="22"/>
          <w:szCs w:val="22"/>
        </w:rPr>
        <w:t xml:space="preserve"> and rehabilitation of </w:t>
      </w:r>
      <w:r w:rsidR="005C7FFB">
        <w:rPr>
          <w:rFonts w:ascii="Arial" w:hAnsi="Arial" w:cs="Arial"/>
          <w:sz w:val="22"/>
          <w:szCs w:val="22"/>
        </w:rPr>
        <w:t>Generalised Anxiety Disorder</w:t>
      </w:r>
      <w:r w:rsidR="00CC1CBA">
        <w:rPr>
          <w:rFonts w:ascii="Arial" w:hAnsi="Arial" w:cs="Arial"/>
          <w:sz w:val="22"/>
          <w:szCs w:val="22"/>
        </w:rPr>
        <w:t>. It will further examine</w:t>
      </w:r>
      <w:r w:rsidR="00975E8B">
        <w:rPr>
          <w:rFonts w:ascii="Arial" w:hAnsi="Arial" w:cs="Arial"/>
          <w:sz w:val="22"/>
          <w:szCs w:val="22"/>
        </w:rPr>
        <w:t xml:space="preserve"> current debates, relevant legislation, national </w:t>
      </w:r>
      <w:r w:rsidR="00127000">
        <w:rPr>
          <w:rFonts w:ascii="Arial" w:hAnsi="Arial" w:cs="Arial"/>
          <w:sz w:val="22"/>
          <w:szCs w:val="22"/>
        </w:rPr>
        <w:t>policy,</w:t>
      </w:r>
      <w:r w:rsidR="00975E8B">
        <w:rPr>
          <w:rFonts w:ascii="Arial" w:hAnsi="Arial" w:cs="Arial"/>
          <w:sz w:val="22"/>
          <w:szCs w:val="22"/>
        </w:rPr>
        <w:t xml:space="preserve"> and recent evidence</w:t>
      </w:r>
      <w:r w:rsidR="000F211B">
        <w:rPr>
          <w:rFonts w:ascii="Arial" w:hAnsi="Arial" w:cs="Arial"/>
          <w:sz w:val="22"/>
          <w:szCs w:val="22"/>
        </w:rPr>
        <w:t xml:space="preserve"> before </w:t>
      </w:r>
      <w:r w:rsidR="00924B3E">
        <w:rPr>
          <w:rFonts w:ascii="Arial" w:hAnsi="Arial" w:cs="Arial"/>
          <w:sz w:val="22"/>
          <w:szCs w:val="22"/>
        </w:rPr>
        <w:t>presenting</w:t>
      </w:r>
      <w:r w:rsidR="000F211B">
        <w:rPr>
          <w:rFonts w:ascii="Arial" w:hAnsi="Arial" w:cs="Arial"/>
          <w:sz w:val="22"/>
          <w:szCs w:val="22"/>
        </w:rPr>
        <w:t xml:space="preserve"> recommendations that </w:t>
      </w:r>
      <w:r w:rsidR="00924B3E">
        <w:rPr>
          <w:rFonts w:ascii="Arial" w:hAnsi="Arial" w:cs="Arial"/>
          <w:sz w:val="22"/>
          <w:szCs w:val="22"/>
        </w:rPr>
        <w:t>c</w:t>
      </w:r>
      <w:r w:rsidR="000F211B">
        <w:rPr>
          <w:rFonts w:ascii="Arial" w:hAnsi="Arial" w:cs="Arial"/>
          <w:sz w:val="22"/>
          <w:szCs w:val="22"/>
        </w:rPr>
        <w:t xml:space="preserve">ould improve </w:t>
      </w:r>
      <w:r w:rsidR="00924B3E">
        <w:rPr>
          <w:rFonts w:ascii="Arial" w:hAnsi="Arial" w:cs="Arial"/>
          <w:sz w:val="22"/>
          <w:szCs w:val="22"/>
        </w:rPr>
        <w:t xml:space="preserve">clinical practice and service delivery. </w:t>
      </w:r>
      <w:r w:rsidR="00ED3F66">
        <w:rPr>
          <w:rFonts w:ascii="Arial" w:hAnsi="Arial" w:cs="Arial"/>
          <w:sz w:val="22"/>
          <w:szCs w:val="22"/>
        </w:rPr>
        <w:t xml:space="preserve"> (GAD) is a common mental health disorder </w:t>
      </w:r>
      <w:r w:rsidR="00BA4C57">
        <w:rPr>
          <w:rFonts w:ascii="Arial" w:hAnsi="Arial" w:cs="Arial"/>
          <w:sz w:val="22"/>
          <w:szCs w:val="22"/>
        </w:rPr>
        <w:t>characterised by</w:t>
      </w:r>
      <w:r w:rsidR="00EB4B0F">
        <w:rPr>
          <w:rFonts w:ascii="Arial" w:hAnsi="Arial" w:cs="Arial"/>
          <w:sz w:val="22"/>
          <w:szCs w:val="22"/>
        </w:rPr>
        <w:t xml:space="preserve"> persistent, excessive anxiety and uncontrollable worry that significantly impairs </w:t>
      </w:r>
      <w:r w:rsidR="002A36C4">
        <w:rPr>
          <w:rFonts w:ascii="Arial" w:hAnsi="Arial" w:cs="Arial"/>
          <w:sz w:val="22"/>
          <w:szCs w:val="22"/>
        </w:rPr>
        <w:t xml:space="preserve">social, </w:t>
      </w:r>
      <w:r w:rsidR="00924B3E">
        <w:rPr>
          <w:rFonts w:ascii="Arial" w:hAnsi="Arial" w:cs="Arial"/>
          <w:sz w:val="22"/>
          <w:szCs w:val="22"/>
        </w:rPr>
        <w:t>occupational,</w:t>
      </w:r>
      <w:r w:rsidR="002A36C4">
        <w:rPr>
          <w:rFonts w:ascii="Arial" w:hAnsi="Arial" w:cs="Arial"/>
          <w:sz w:val="22"/>
          <w:szCs w:val="22"/>
        </w:rPr>
        <w:t xml:space="preserve"> and daily functioning (WHO, 202</w:t>
      </w:r>
      <w:r w:rsidR="00BA4C57">
        <w:rPr>
          <w:rFonts w:ascii="Arial" w:hAnsi="Arial" w:cs="Arial"/>
          <w:sz w:val="22"/>
          <w:szCs w:val="22"/>
        </w:rPr>
        <w:t>4). Unlike normal anxiety, GAD is persistent</w:t>
      </w:r>
      <w:r w:rsidR="000378D4">
        <w:rPr>
          <w:rFonts w:ascii="Arial" w:hAnsi="Arial" w:cs="Arial"/>
          <w:sz w:val="22"/>
          <w:szCs w:val="22"/>
        </w:rPr>
        <w:t xml:space="preserve">, </w:t>
      </w:r>
      <w:r w:rsidR="00924B3E">
        <w:rPr>
          <w:rFonts w:ascii="Arial" w:hAnsi="Arial" w:cs="Arial"/>
          <w:sz w:val="22"/>
          <w:szCs w:val="22"/>
        </w:rPr>
        <w:t>disproportionate,</w:t>
      </w:r>
      <w:r w:rsidR="000378D4">
        <w:rPr>
          <w:rFonts w:ascii="Arial" w:hAnsi="Arial" w:cs="Arial"/>
          <w:sz w:val="22"/>
          <w:szCs w:val="22"/>
        </w:rPr>
        <w:t xml:space="preserve"> and associated with psychological</w:t>
      </w:r>
      <w:r w:rsidR="002826A4">
        <w:rPr>
          <w:rFonts w:ascii="Arial" w:hAnsi="Arial" w:cs="Arial"/>
          <w:sz w:val="22"/>
          <w:szCs w:val="22"/>
        </w:rPr>
        <w:t xml:space="preserve"> and physical symptoms that reduce quality of life (</w:t>
      </w:r>
      <w:proofErr w:type="spellStart"/>
      <w:r w:rsidR="005C5F32">
        <w:rPr>
          <w:rFonts w:ascii="Arial" w:hAnsi="Arial" w:cs="Arial"/>
          <w:sz w:val="22"/>
          <w:szCs w:val="22"/>
        </w:rPr>
        <w:t>Croicu</w:t>
      </w:r>
      <w:proofErr w:type="spellEnd"/>
      <w:r w:rsidR="005C5F32">
        <w:rPr>
          <w:rFonts w:ascii="Arial" w:hAnsi="Arial" w:cs="Arial"/>
          <w:sz w:val="22"/>
          <w:szCs w:val="22"/>
        </w:rPr>
        <w:t xml:space="preserve"> et al.,2023). </w:t>
      </w:r>
    </w:p>
    <w:p w14:paraId="196368E4" w14:textId="77777777" w:rsidR="005C5F32" w:rsidRDefault="005C5F32" w:rsidP="00D26C32">
      <w:pPr>
        <w:pStyle w:val="NoSpacing"/>
        <w:spacing w:line="360" w:lineRule="auto"/>
        <w:rPr>
          <w:rFonts w:ascii="Arial" w:hAnsi="Arial" w:cs="Arial"/>
          <w:sz w:val="22"/>
          <w:szCs w:val="22"/>
        </w:rPr>
      </w:pPr>
    </w:p>
    <w:p w14:paraId="5D3DB51B" w14:textId="043EA5C8" w:rsidR="005C5F32" w:rsidRDefault="005C5F32" w:rsidP="00D26C32">
      <w:pPr>
        <w:pStyle w:val="NoSpacing"/>
        <w:spacing w:line="360" w:lineRule="auto"/>
        <w:rPr>
          <w:rFonts w:ascii="Arial" w:hAnsi="Arial" w:cs="Arial"/>
          <w:sz w:val="22"/>
          <w:szCs w:val="22"/>
        </w:rPr>
      </w:pPr>
      <w:r>
        <w:rPr>
          <w:rFonts w:ascii="Arial" w:hAnsi="Arial" w:cs="Arial"/>
          <w:sz w:val="22"/>
          <w:szCs w:val="22"/>
        </w:rPr>
        <w:t>GAD is a major public health concern due to its high prevalence</w:t>
      </w:r>
      <w:r w:rsidR="00106E11">
        <w:rPr>
          <w:rFonts w:ascii="Arial" w:hAnsi="Arial" w:cs="Arial"/>
          <w:sz w:val="22"/>
          <w:szCs w:val="22"/>
        </w:rPr>
        <w:t>, chronic course and frequent comorbidity with depression</w:t>
      </w:r>
      <w:r w:rsidR="006F01DC">
        <w:rPr>
          <w:rFonts w:ascii="Arial" w:hAnsi="Arial" w:cs="Arial"/>
          <w:sz w:val="22"/>
          <w:szCs w:val="22"/>
        </w:rPr>
        <w:t xml:space="preserve"> and other anxiety disorders. (</w:t>
      </w:r>
      <w:proofErr w:type="spellStart"/>
      <w:r w:rsidR="006F01DC">
        <w:rPr>
          <w:rFonts w:ascii="Arial" w:hAnsi="Arial" w:cs="Arial"/>
          <w:sz w:val="22"/>
          <w:szCs w:val="22"/>
        </w:rPr>
        <w:t>Penninx</w:t>
      </w:r>
      <w:proofErr w:type="spellEnd"/>
      <w:r w:rsidR="006F01DC">
        <w:rPr>
          <w:rFonts w:ascii="Arial" w:hAnsi="Arial" w:cs="Arial"/>
          <w:sz w:val="22"/>
          <w:szCs w:val="22"/>
        </w:rPr>
        <w:t xml:space="preserve"> et al</w:t>
      </w:r>
      <w:r w:rsidR="000C24CD">
        <w:rPr>
          <w:rFonts w:ascii="Arial" w:hAnsi="Arial" w:cs="Arial"/>
          <w:sz w:val="22"/>
          <w:szCs w:val="22"/>
        </w:rPr>
        <w:t>, 2021). The adult Psychiatric Mo</w:t>
      </w:r>
      <w:r w:rsidR="007D5509">
        <w:rPr>
          <w:rFonts w:ascii="Arial" w:hAnsi="Arial" w:cs="Arial"/>
          <w:sz w:val="22"/>
          <w:szCs w:val="22"/>
        </w:rPr>
        <w:t xml:space="preserve">rbidity Survey 2023/2024 indicates that </w:t>
      </w:r>
      <w:r w:rsidR="00B71CB3">
        <w:rPr>
          <w:rFonts w:ascii="Arial" w:hAnsi="Arial" w:cs="Arial"/>
          <w:sz w:val="22"/>
          <w:szCs w:val="22"/>
        </w:rPr>
        <w:t>common mental health conditions continue to place substantial pressure on the NHS services</w:t>
      </w:r>
      <w:r w:rsidR="009F0201">
        <w:rPr>
          <w:rFonts w:ascii="Arial" w:hAnsi="Arial" w:cs="Arial"/>
          <w:sz w:val="22"/>
          <w:szCs w:val="22"/>
        </w:rPr>
        <w:t xml:space="preserve">, </w:t>
      </w:r>
      <w:r w:rsidR="00924B3E">
        <w:rPr>
          <w:rFonts w:ascii="Arial" w:hAnsi="Arial" w:cs="Arial"/>
          <w:sz w:val="22"/>
          <w:szCs w:val="22"/>
        </w:rPr>
        <w:t>highlighting</w:t>
      </w:r>
      <w:r w:rsidR="009F0201">
        <w:rPr>
          <w:rFonts w:ascii="Arial" w:hAnsi="Arial" w:cs="Arial"/>
          <w:sz w:val="22"/>
          <w:szCs w:val="22"/>
        </w:rPr>
        <w:t xml:space="preserve"> the need for timely diagnosis</w:t>
      </w:r>
      <w:r w:rsidR="00C83C8D">
        <w:rPr>
          <w:rFonts w:ascii="Arial" w:hAnsi="Arial" w:cs="Arial"/>
          <w:sz w:val="22"/>
          <w:szCs w:val="22"/>
        </w:rPr>
        <w:t xml:space="preserve"> and effective intervention (NHS England, 2025). Furthermore, </w:t>
      </w:r>
      <w:r w:rsidR="00E1649E">
        <w:rPr>
          <w:rFonts w:ascii="Arial" w:hAnsi="Arial" w:cs="Arial"/>
          <w:sz w:val="22"/>
          <w:szCs w:val="22"/>
        </w:rPr>
        <w:t>increasing demand has intensified concerns regarding workforce</w:t>
      </w:r>
      <w:r w:rsidR="004C09F4">
        <w:rPr>
          <w:rFonts w:ascii="Arial" w:hAnsi="Arial" w:cs="Arial"/>
          <w:sz w:val="22"/>
          <w:szCs w:val="22"/>
        </w:rPr>
        <w:t xml:space="preserve"> capacity and easier access to psychological therapies.  </w:t>
      </w:r>
    </w:p>
    <w:p w14:paraId="07D3CB0A" w14:textId="77777777" w:rsidR="004C09F4" w:rsidRDefault="004C09F4" w:rsidP="00D26C32">
      <w:pPr>
        <w:pStyle w:val="NoSpacing"/>
        <w:spacing w:line="360" w:lineRule="auto"/>
        <w:rPr>
          <w:rFonts w:ascii="Arial" w:hAnsi="Arial" w:cs="Arial"/>
          <w:sz w:val="22"/>
          <w:szCs w:val="22"/>
        </w:rPr>
      </w:pPr>
    </w:p>
    <w:p w14:paraId="002EC248" w14:textId="4EDAC472" w:rsidR="004C09F4" w:rsidRDefault="001A1DDB" w:rsidP="00D26C32">
      <w:pPr>
        <w:pStyle w:val="NoSpacing"/>
        <w:spacing w:line="360" w:lineRule="auto"/>
        <w:rPr>
          <w:rFonts w:ascii="Arial" w:hAnsi="Arial" w:cs="Arial"/>
          <w:sz w:val="22"/>
          <w:szCs w:val="22"/>
        </w:rPr>
      </w:pPr>
      <w:r>
        <w:rPr>
          <w:rFonts w:ascii="Arial" w:hAnsi="Arial" w:cs="Arial"/>
          <w:sz w:val="22"/>
          <w:szCs w:val="22"/>
        </w:rPr>
        <w:t>The introduction of ICD-11 has refined the classification of anxiety disorders by improving diagnostic clarity and separa</w:t>
      </w:r>
      <w:r w:rsidR="006E5D57">
        <w:rPr>
          <w:rFonts w:ascii="Arial" w:hAnsi="Arial" w:cs="Arial"/>
          <w:sz w:val="22"/>
          <w:szCs w:val="22"/>
        </w:rPr>
        <w:t>ting GAD from related conditions</w:t>
      </w:r>
      <w:r w:rsidR="00C47E90">
        <w:rPr>
          <w:rFonts w:ascii="Arial" w:hAnsi="Arial" w:cs="Arial"/>
          <w:sz w:val="22"/>
          <w:szCs w:val="22"/>
        </w:rPr>
        <w:t xml:space="preserve"> such as </w:t>
      </w:r>
      <w:r w:rsidR="009727E1">
        <w:rPr>
          <w:rFonts w:ascii="Arial" w:hAnsi="Arial" w:cs="Arial"/>
          <w:sz w:val="22"/>
          <w:szCs w:val="22"/>
        </w:rPr>
        <w:t>obsessive-compulsive disorder</w:t>
      </w:r>
      <w:r w:rsidR="00E74E27">
        <w:rPr>
          <w:rFonts w:ascii="Arial" w:hAnsi="Arial" w:cs="Arial"/>
          <w:sz w:val="22"/>
          <w:szCs w:val="22"/>
        </w:rPr>
        <w:t xml:space="preserve"> (Reed et al., </w:t>
      </w:r>
      <w:r w:rsidR="00BA3D1C">
        <w:rPr>
          <w:rFonts w:ascii="Arial" w:hAnsi="Arial" w:cs="Arial"/>
          <w:sz w:val="22"/>
          <w:szCs w:val="22"/>
        </w:rPr>
        <w:t>2022). However, debates</w:t>
      </w:r>
      <w:r w:rsidR="00E86AF9">
        <w:rPr>
          <w:rFonts w:ascii="Arial" w:hAnsi="Arial" w:cs="Arial"/>
          <w:sz w:val="22"/>
          <w:szCs w:val="22"/>
        </w:rPr>
        <w:t xml:space="preserve"> continue regarding diagnostic thresholds, </w:t>
      </w:r>
      <w:r w:rsidR="00FE4BEA">
        <w:rPr>
          <w:rFonts w:ascii="Arial" w:hAnsi="Arial" w:cs="Arial"/>
          <w:sz w:val="22"/>
          <w:szCs w:val="22"/>
        </w:rPr>
        <w:t xml:space="preserve">neurodivergence and whether </w:t>
      </w:r>
      <w:r w:rsidR="009727E1">
        <w:rPr>
          <w:rFonts w:ascii="Arial" w:hAnsi="Arial" w:cs="Arial"/>
          <w:sz w:val="22"/>
          <w:szCs w:val="22"/>
        </w:rPr>
        <w:t>current</w:t>
      </w:r>
      <w:r w:rsidR="00FE4BEA">
        <w:rPr>
          <w:rFonts w:ascii="Arial" w:hAnsi="Arial" w:cs="Arial"/>
          <w:sz w:val="22"/>
          <w:szCs w:val="22"/>
        </w:rPr>
        <w:t xml:space="preserve"> classifications </w:t>
      </w:r>
      <w:r w:rsidR="00BB2EB3">
        <w:rPr>
          <w:rFonts w:ascii="Arial" w:hAnsi="Arial" w:cs="Arial"/>
          <w:sz w:val="22"/>
          <w:szCs w:val="22"/>
        </w:rPr>
        <w:t>adequately reflect individual experiences of anxiety (Craske et al, 20</w:t>
      </w:r>
      <w:r w:rsidR="004139A7">
        <w:rPr>
          <w:rFonts w:ascii="Arial" w:hAnsi="Arial" w:cs="Arial"/>
          <w:sz w:val="22"/>
          <w:szCs w:val="22"/>
        </w:rPr>
        <w:t xml:space="preserve">23). </w:t>
      </w:r>
    </w:p>
    <w:p w14:paraId="05D55483" w14:textId="77777777" w:rsidR="004139A7" w:rsidRDefault="004139A7" w:rsidP="00D26C32">
      <w:pPr>
        <w:pStyle w:val="NoSpacing"/>
        <w:spacing w:line="360" w:lineRule="auto"/>
        <w:rPr>
          <w:rFonts w:ascii="Arial" w:hAnsi="Arial" w:cs="Arial"/>
          <w:sz w:val="22"/>
          <w:szCs w:val="22"/>
        </w:rPr>
      </w:pPr>
    </w:p>
    <w:p w14:paraId="033F83B8" w14:textId="56AF9612" w:rsidR="004139A7" w:rsidRPr="005C7FFB" w:rsidRDefault="004139A7" w:rsidP="00D26C32">
      <w:pPr>
        <w:pStyle w:val="NoSpacing"/>
        <w:spacing w:line="360" w:lineRule="auto"/>
        <w:rPr>
          <w:rFonts w:ascii="Arial" w:hAnsi="Arial" w:cs="Arial"/>
          <w:sz w:val="22"/>
          <w:szCs w:val="22"/>
        </w:rPr>
      </w:pPr>
    </w:p>
    <w:p w14:paraId="7E0CA5FA" w14:textId="77777777" w:rsidR="000F08AC" w:rsidRDefault="000F08AC" w:rsidP="00D26C32">
      <w:pPr>
        <w:pStyle w:val="NoSpacing"/>
        <w:spacing w:line="360" w:lineRule="auto"/>
        <w:rPr>
          <w:rFonts w:ascii="Arial" w:hAnsi="Arial" w:cs="Arial"/>
          <w:b/>
          <w:bCs/>
          <w:sz w:val="22"/>
          <w:szCs w:val="22"/>
        </w:rPr>
      </w:pPr>
    </w:p>
    <w:p w14:paraId="6801F6CE" w14:textId="4F5300E2" w:rsidR="00D26C32" w:rsidRDefault="00D26C32" w:rsidP="00D26C32">
      <w:pPr>
        <w:pStyle w:val="NoSpacing"/>
        <w:spacing w:line="360" w:lineRule="auto"/>
        <w:rPr>
          <w:rFonts w:ascii="Arial" w:hAnsi="Arial" w:cs="Arial"/>
          <w:b/>
          <w:bCs/>
          <w:sz w:val="22"/>
          <w:szCs w:val="22"/>
        </w:rPr>
      </w:pPr>
      <w:r w:rsidRPr="00D26C32">
        <w:rPr>
          <w:rFonts w:ascii="Arial" w:hAnsi="Arial" w:cs="Arial"/>
          <w:b/>
          <w:bCs/>
          <w:sz w:val="22"/>
          <w:szCs w:val="22"/>
        </w:rPr>
        <w:t>Classification and Diagnosis</w:t>
      </w:r>
      <w:r w:rsidR="005A6A0A">
        <w:rPr>
          <w:rFonts w:ascii="Arial" w:hAnsi="Arial" w:cs="Arial"/>
          <w:b/>
          <w:bCs/>
          <w:sz w:val="22"/>
          <w:szCs w:val="22"/>
        </w:rPr>
        <w:t>:</w:t>
      </w:r>
    </w:p>
    <w:p w14:paraId="57C67F01" w14:textId="77777777" w:rsidR="00127B39" w:rsidRDefault="00127B39" w:rsidP="00D26C32">
      <w:pPr>
        <w:pStyle w:val="NoSpacing"/>
        <w:spacing w:line="360" w:lineRule="auto"/>
        <w:rPr>
          <w:rFonts w:ascii="Arial" w:hAnsi="Arial" w:cs="Arial"/>
          <w:b/>
          <w:bCs/>
          <w:sz w:val="22"/>
          <w:szCs w:val="22"/>
        </w:rPr>
      </w:pPr>
    </w:p>
    <w:p w14:paraId="151F6B6B" w14:textId="77777777" w:rsidR="00127B39" w:rsidRDefault="00127B39" w:rsidP="00D26C32">
      <w:pPr>
        <w:pStyle w:val="NoSpacing"/>
        <w:spacing w:line="360" w:lineRule="auto"/>
        <w:rPr>
          <w:rFonts w:ascii="Arial" w:hAnsi="Arial" w:cs="Arial"/>
          <w:b/>
          <w:bCs/>
          <w:sz w:val="22"/>
          <w:szCs w:val="22"/>
        </w:rPr>
      </w:pPr>
    </w:p>
    <w:p w14:paraId="6209158D" w14:textId="5476CC66"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GAD is classified </w:t>
      </w:r>
      <w:r w:rsidR="006C25CB">
        <w:rPr>
          <w:rFonts w:ascii="Arial" w:hAnsi="Arial" w:cs="Arial"/>
          <w:sz w:val="22"/>
          <w:szCs w:val="22"/>
        </w:rPr>
        <w:t>as</w:t>
      </w:r>
      <w:r w:rsidRPr="00127B39">
        <w:rPr>
          <w:rFonts w:ascii="Arial" w:hAnsi="Arial" w:cs="Arial"/>
          <w:sz w:val="22"/>
          <w:szCs w:val="22"/>
        </w:rPr>
        <w:t xml:space="preserve"> the International Classification of Diseases, 11th Revision (ICD-11) under Anxiety or Fear-Related Disorders. The Clinical Descriptions and Diagnostic Requirements (CDDR) define GAD as persistent and excessive anxiety or worry occurring across multiple aspects of daily life, accompanied by symptoms such as restlessness, muscle tension, fatigue, poor concentration and sleep disturbance that cause clinically </w:t>
      </w:r>
      <w:r w:rsidRPr="00127B39">
        <w:rPr>
          <w:rFonts w:ascii="Arial" w:hAnsi="Arial" w:cs="Arial"/>
          <w:sz w:val="22"/>
          <w:szCs w:val="22"/>
        </w:rPr>
        <w:lastRenderedPageBreak/>
        <w:t>significant distress or functional impairment (WHO, 2024). ICD-11 deliberately uses the term ‘</w:t>
      </w:r>
      <w:r w:rsidR="007A0796" w:rsidRPr="00127B39">
        <w:rPr>
          <w:rFonts w:ascii="Arial" w:hAnsi="Arial" w:cs="Arial"/>
          <w:sz w:val="22"/>
          <w:szCs w:val="22"/>
        </w:rPr>
        <w:t>disorder’</w:t>
      </w:r>
      <w:r w:rsidRPr="00127B39">
        <w:rPr>
          <w:rFonts w:ascii="Arial" w:hAnsi="Arial" w:cs="Arial"/>
          <w:sz w:val="22"/>
          <w:szCs w:val="22"/>
        </w:rPr>
        <w:t>, recognising that symptoms have exceeded normal emotional responses and require clinical intervention.</w:t>
      </w:r>
    </w:p>
    <w:p w14:paraId="118CB936" w14:textId="77777777" w:rsidR="00127B39" w:rsidRPr="00127B39" w:rsidRDefault="00127B39" w:rsidP="00127B39">
      <w:pPr>
        <w:pStyle w:val="NoSpacing"/>
        <w:spacing w:line="360" w:lineRule="auto"/>
        <w:rPr>
          <w:rFonts w:ascii="Arial" w:hAnsi="Arial" w:cs="Arial"/>
          <w:sz w:val="22"/>
          <w:szCs w:val="22"/>
        </w:rPr>
      </w:pPr>
    </w:p>
    <w:p w14:paraId="5EAA112D" w14:textId="0C9F9D56"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The transition from ICD-10 to ICD-11 sought to improve diagnostic accuracy by refining disorder boundaries and enhancing clinical utility (Reed et al., 2022). Furthermore, ICD-11 clearly separates GAD from obsessive-compulsive disorder (OCD) and trauma-related disorders, reflecting advances in psychiatric research. Fineberg et al. (2024) argue that this distinction improves diagnostic specificity, treatment </w:t>
      </w:r>
      <w:r w:rsidR="00BE5C6C" w:rsidRPr="00127B39">
        <w:rPr>
          <w:rFonts w:ascii="Arial" w:hAnsi="Arial" w:cs="Arial"/>
          <w:sz w:val="22"/>
          <w:szCs w:val="22"/>
        </w:rPr>
        <w:t>planning,</w:t>
      </w:r>
      <w:r w:rsidRPr="00127B39">
        <w:rPr>
          <w:rFonts w:ascii="Arial" w:hAnsi="Arial" w:cs="Arial"/>
          <w:sz w:val="22"/>
          <w:szCs w:val="22"/>
        </w:rPr>
        <w:t xml:space="preserve"> and research consistency. Nevertheless, symptom overlap remains common, requiring clinicians to apply professional judgement rather than relying solely on diagnostic criteria.</w:t>
      </w:r>
    </w:p>
    <w:p w14:paraId="3D61CCE8" w14:textId="77777777" w:rsidR="00127B39" w:rsidRPr="00127B39" w:rsidRDefault="00127B39" w:rsidP="00127B39">
      <w:pPr>
        <w:pStyle w:val="NoSpacing"/>
        <w:spacing w:line="360" w:lineRule="auto"/>
        <w:rPr>
          <w:rFonts w:ascii="Arial" w:hAnsi="Arial" w:cs="Arial"/>
          <w:sz w:val="22"/>
          <w:szCs w:val="22"/>
        </w:rPr>
      </w:pPr>
    </w:p>
    <w:p w14:paraId="6BFEA6C9" w14:textId="77777777"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Diagnosis within the UK combines ICD-11 principles with NICE (2011) guidance and comprehensive clinical assessment. Healthcare professionals evaluate symptom severity, duration, functional impairment, comorbid mental or physical health conditions and the impact on daily life. Standardised screening tools, including the Generalised Anxiety Disorder-7 (GAD-7) questionnaire, may support assessment but should complement rather than replace clinical judgement (NICE, 2011).</w:t>
      </w:r>
    </w:p>
    <w:p w14:paraId="23516A4D" w14:textId="77777777" w:rsidR="00127B39" w:rsidRPr="00127B39" w:rsidRDefault="00127B39" w:rsidP="00127B39">
      <w:pPr>
        <w:pStyle w:val="NoSpacing"/>
        <w:spacing w:line="360" w:lineRule="auto"/>
        <w:rPr>
          <w:rFonts w:ascii="Arial" w:hAnsi="Arial" w:cs="Arial"/>
          <w:sz w:val="22"/>
          <w:szCs w:val="22"/>
        </w:rPr>
      </w:pPr>
    </w:p>
    <w:p w14:paraId="0567DA6D" w14:textId="0107BF81"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However, diagnosing GAD remains challenging because anxiety exists on a continuum rather than as a clearly defined condition. Craske et al. (2023) suggest that distinguishing normal anxiety from clinically significant disorder requires careful consideration of both symptom severity and functional impairment. Similarly, </w:t>
      </w:r>
      <w:r w:rsidR="00BF53F6">
        <w:rPr>
          <w:rFonts w:ascii="Arial" w:hAnsi="Arial" w:cs="Arial"/>
          <w:sz w:val="22"/>
          <w:szCs w:val="22"/>
        </w:rPr>
        <w:t>(</w:t>
      </w:r>
      <w:proofErr w:type="spellStart"/>
      <w:r w:rsidRPr="00127B39">
        <w:rPr>
          <w:rFonts w:ascii="Arial" w:hAnsi="Arial" w:cs="Arial"/>
          <w:sz w:val="22"/>
          <w:szCs w:val="22"/>
        </w:rPr>
        <w:t>Croicu</w:t>
      </w:r>
      <w:proofErr w:type="spellEnd"/>
      <w:r w:rsidR="00BF53F6">
        <w:rPr>
          <w:rFonts w:ascii="Arial" w:hAnsi="Arial" w:cs="Arial"/>
          <w:sz w:val="22"/>
          <w:szCs w:val="22"/>
        </w:rPr>
        <w:t xml:space="preserve"> et al</w:t>
      </w:r>
      <w:r w:rsidRPr="00127B39">
        <w:rPr>
          <w:rFonts w:ascii="Arial" w:hAnsi="Arial" w:cs="Arial"/>
          <w:sz w:val="22"/>
          <w:szCs w:val="22"/>
        </w:rPr>
        <w:t>, 2023) note that GAD frequently coexists with depression and other anxiety disorders, increasing the risk of delayed or inaccurate diagnosis.</w:t>
      </w:r>
    </w:p>
    <w:p w14:paraId="7C3341E3" w14:textId="77777777" w:rsidR="00127B39" w:rsidRPr="00127B39" w:rsidRDefault="00127B39" w:rsidP="00127B39">
      <w:pPr>
        <w:pStyle w:val="NoSpacing"/>
        <w:spacing w:line="360" w:lineRule="auto"/>
        <w:rPr>
          <w:rFonts w:ascii="Arial" w:hAnsi="Arial" w:cs="Arial"/>
          <w:sz w:val="22"/>
          <w:szCs w:val="22"/>
        </w:rPr>
      </w:pPr>
    </w:p>
    <w:p w14:paraId="5573ADCE" w14:textId="14F0EF12"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Current diagnostic criteria have also attracted criticism. Ruscio et al. (2024) argue that requiring excessive worry as a core diagnostic feature may exclude individuals experiencing significant anxiety-related impairment who do not present with persistent worry in the traditional sense. Conversely, removing this criterion could reduce diagnostic specificity and increase the risk of </w:t>
      </w:r>
      <w:r w:rsidR="00CC4F4B">
        <w:rPr>
          <w:rFonts w:ascii="Arial" w:hAnsi="Arial" w:cs="Arial"/>
          <w:sz w:val="22"/>
          <w:szCs w:val="22"/>
        </w:rPr>
        <w:t>overdiagnosis</w:t>
      </w:r>
      <w:r w:rsidRPr="00127B39">
        <w:rPr>
          <w:rFonts w:ascii="Arial" w:hAnsi="Arial" w:cs="Arial"/>
          <w:sz w:val="22"/>
          <w:szCs w:val="22"/>
        </w:rPr>
        <w:t>. Therefore, future revisions may need to balance diagnostic reliability with greater recognition of individual variation.</w:t>
      </w:r>
    </w:p>
    <w:p w14:paraId="51DF99EB" w14:textId="77777777" w:rsidR="00127B39" w:rsidRPr="00127B39" w:rsidRDefault="00127B39" w:rsidP="00127B39">
      <w:pPr>
        <w:pStyle w:val="NoSpacing"/>
        <w:spacing w:line="360" w:lineRule="auto"/>
        <w:rPr>
          <w:rFonts w:ascii="Arial" w:hAnsi="Arial" w:cs="Arial"/>
          <w:sz w:val="22"/>
          <w:szCs w:val="22"/>
        </w:rPr>
      </w:pPr>
    </w:p>
    <w:p w14:paraId="0A209D4C" w14:textId="0F8F5CF9" w:rsidR="00127B39"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Neurodivergence has further influenced diagnostic debates. Anxiety commonly co-occurs with autism spectrum disorder and attention-deficit/hyperactivity disorder (ADHD), where symptoms may arise from sensory sensitivities, executive functioning </w:t>
      </w:r>
      <w:r w:rsidR="00CC4F4B" w:rsidRPr="00127B39">
        <w:rPr>
          <w:rFonts w:ascii="Arial" w:hAnsi="Arial" w:cs="Arial"/>
          <w:sz w:val="22"/>
          <w:szCs w:val="22"/>
        </w:rPr>
        <w:t>difficulties,</w:t>
      </w:r>
      <w:r w:rsidRPr="00127B39">
        <w:rPr>
          <w:rFonts w:ascii="Arial" w:hAnsi="Arial" w:cs="Arial"/>
          <w:sz w:val="22"/>
          <w:szCs w:val="22"/>
        </w:rPr>
        <w:t xml:space="preserve"> or social demands rather than representing an isolated anxiety disorder (Kertz et al., 2021). </w:t>
      </w:r>
      <w:r w:rsidRPr="00127B39">
        <w:rPr>
          <w:rFonts w:ascii="Arial" w:hAnsi="Arial" w:cs="Arial"/>
          <w:sz w:val="22"/>
          <w:szCs w:val="22"/>
        </w:rPr>
        <w:lastRenderedPageBreak/>
        <w:t xml:space="preserve">Consequently, clinicians should adopt holistic assessments that consider neurodevelopmental differences alongside psychological, </w:t>
      </w:r>
      <w:r w:rsidR="00CC4F4B" w:rsidRPr="00127B39">
        <w:rPr>
          <w:rFonts w:ascii="Arial" w:hAnsi="Arial" w:cs="Arial"/>
          <w:sz w:val="22"/>
          <w:szCs w:val="22"/>
        </w:rPr>
        <w:t>biological,</w:t>
      </w:r>
      <w:r w:rsidRPr="00127B39">
        <w:rPr>
          <w:rFonts w:ascii="Arial" w:hAnsi="Arial" w:cs="Arial"/>
          <w:sz w:val="22"/>
          <w:szCs w:val="22"/>
        </w:rPr>
        <w:t xml:space="preserve"> and social factors.</w:t>
      </w:r>
    </w:p>
    <w:p w14:paraId="6D88E189" w14:textId="0315DBF9" w:rsidR="00B26F1C" w:rsidRPr="00127B39" w:rsidRDefault="00127B39" w:rsidP="00127B39">
      <w:pPr>
        <w:pStyle w:val="NoSpacing"/>
        <w:spacing w:line="360" w:lineRule="auto"/>
        <w:rPr>
          <w:rFonts w:ascii="Arial" w:hAnsi="Arial" w:cs="Arial"/>
          <w:sz w:val="22"/>
          <w:szCs w:val="22"/>
        </w:rPr>
      </w:pPr>
      <w:r w:rsidRPr="00127B39">
        <w:rPr>
          <w:rFonts w:ascii="Arial" w:hAnsi="Arial" w:cs="Arial"/>
          <w:sz w:val="22"/>
          <w:szCs w:val="22"/>
        </w:rPr>
        <w:t xml:space="preserve">Overall, ICD-11 provides a more clinically useful framework for diagnosing GAD than previous classifications. However, accurate diagnosis </w:t>
      </w:r>
      <w:r w:rsidR="00CC4F4B" w:rsidRPr="00127B39">
        <w:rPr>
          <w:rFonts w:ascii="Arial" w:hAnsi="Arial" w:cs="Arial"/>
          <w:sz w:val="22"/>
          <w:szCs w:val="22"/>
        </w:rPr>
        <w:t>depends</w:t>
      </w:r>
      <w:r w:rsidRPr="00127B39">
        <w:rPr>
          <w:rFonts w:ascii="Arial" w:hAnsi="Arial" w:cs="Arial"/>
          <w:sz w:val="22"/>
          <w:szCs w:val="22"/>
        </w:rPr>
        <w:t xml:space="preserve"> on </w:t>
      </w:r>
      <w:r w:rsidR="00CC4F4B">
        <w:rPr>
          <w:rFonts w:ascii="Arial" w:hAnsi="Arial" w:cs="Arial"/>
          <w:sz w:val="22"/>
          <w:szCs w:val="22"/>
        </w:rPr>
        <w:t xml:space="preserve">a </w:t>
      </w:r>
      <w:r w:rsidRPr="00127B39">
        <w:rPr>
          <w:rFonts w:ascii="Arial" w:hAnsi="Arial" w:cs="Arial"/>
          <w:sz w:val="22"/>
          <w:szCs w:val="22"/>
        </w:rPr>
        <w:t xml:space="preserve">comprehensive assessment that integrates diagnostic criteria with clinical expertise, functional </w:t>
      </w:r>
      <w:r w:rsidR="006C1354" w:rsidRPr="00127B39">
        <w:rPr>
          <w:rFonts w:ascii="Arial" w:hAnsi="Arial" w:cs="Arial"/>
          <w:sz w:val="22"/>
          <w:szCs w:val="22"/>
        </w:rPr>
        <w:t>impairment,</w:t>
      </w:r>
      <w:r w:rsidRPr="00127B39">
        <w:rPr>
          <w:rFonts w:ascii="Arial" w:hAnsi="Arial" w:cs="Arial"/>
          <w:sz w:val="22"/>
          <w:szCs w:val="22"/>
        </w:rPr>
        <w:t xml:space="preserve"> and individual context rather than relying exclusively on symptom checklists.</w:t>
      </w:r>
    </w:p>
    <w:p w14:paraId="3ABAA35C" w14:textId="77777777" w:rsidR="001B7CBE" w:rsidRDefault="001B7CBE" w:rsidP="00D26C32">
      <w:pPr>
        <w:pStyle w:val="NoSpacing"/>
        <w:spacing w:line="360" w:lineRule="auto"/>
        <w:rPr>
          <w:rFonts w:ascii="Arial" w:hAnsi="Arial" w:cs="Arial"/>
          <w:b/>
          <w:bCs/>
          <w:sz w:val="22"/>
          <w:szCs w:val="22"/>
        </w:rPr>
      </w:pPr>
    </w:p>
    <w:p w14:paraId="59232E47" w14:textId="77777777" w:rsidR="00B26F1C" w:rsidRPr="00D26C32" w:rsidRDefault="00B26F1C" w:rsidP="00D26C32">
      <w:pPr>
        <w:pStyle w:val="NoSpacing"/>
        <w:spacing w:line="360" w:lineRule="auto"/>
        <w:rPr>
          <w:rFonts w:ascii="Arial" w:hAnsi="Arial" w:cs="Arial"/>
          <w:sz w:val="22"/>
          <w:szCs w:val="22"/>
        </w:rPr>
      </w:pPr>
    </w:p>
    <w:p w14:paraId="470FA94A" w14:textId="22990556" w:rsidR="00193E46" w:rsidRDefault="00193E46" w:rsidP="00193E46">
      <w:pPr>
        <w:pStyle w:val="NoSpacing"/>
        <w:spacing w:line="360" w:lineRule="auto"/>
        <w:rPr>
          <w:rFonts w:ascii="Arial" w:hAnsi="Arial" w:cs="Arial"/>
          <w:b/>
          <w:bCs/>
          <w:sz w:val="22"/>
          <w:szCs w:val="22"/>
        </w:rPr>
      </w:pPr>
      <w:r w:rsidRPr="00193E46">
        <w:rPr>
          <w:rFonts w:ascii="Arial" w:hAnsi="Arial" w:cs="Arial"/>
          <w:b/>
          <w:bCs/>
          <w:sz w:val="22"/>
          <w:szCs w:val="22"/>
        </w:rPr>
        <w:t>Treatment Approaches</w:t>
      </w:r>
      <w:r w:rsidR="00B8135D">
        <w:rPr>
          <w:rFonts w:ascii="Arial" w:hAnsi="Arial" w:cs="Arial"/>
          <w:b/>
          <w:bCs/>
          <w:sz w:val="22"/>
          <w:szCs w:val="22"/>
        </w:rPr>
        <w:t>:</w:t>
      </w:r>
    </w:p>
    <w:p w14:paraId="1E2CA012" w14:textId="77777777" w:rsidR="00AA5E17" w:rsidRDefault="00AA5E17" w:rsidP="00193E46">
      <w:pPr>
        <w:pStyle w:val="NoSpacing"/>
        <w:spacing w:line="360" w:lineRule="auto"/>
        <w:rPr>
          <w:rFonts w:ascii="Arial" w:hAnsi="Arial" w:cs="Arial"/>
          <w:b/>
          <w:bCs/>
          <w:sz w:val="22"/>
          <w:szCs w:val="22"/>
        </w:rPr>
      </w:pPr>
    </w:p>
    <w:p w14:paraId="3F40331B" w14:textId="5DDFCA2F" w:rsidR="00AA5E17" w:rsidRPr="00D2719D" w:rsidRDefault="00D2719D" w:rsidP="00193E46">
      <w:pPr>
        <w:pStyle w:val="NoSpacing"/>
        <w:spacing w:line="360" w:lineRule="auto"/>
        <w:rPr>
          <w:rFonts w:ascii="Arial" w:hAnsi="Arial" w:cs="Arial"/>
          <w:sz w:val="22"/>
          <w:szCs w:val="22"/>
        </w:rPr>
      </w:pPr>
      <w:r>
        <w:rPr>
          <w:rFonts w:ascii="Arial" w:hAnsi="Arial" w:cs="Arial"/>
          <w:sz w:val="22"/>
          <w:szCs w:val="22"/>
        </w:rPr>
        <w:t xml:space="preserve">Treatment approaches for GAD </w:t>
      </w:r>
      <w:r w:rsidR="004E1E7E">
        <w:rPr>
          <w:rFonts w:ascii="Arial" w:hAnsi="Arial" w:cs="Arial"/>
          <w:sz w:val="22"/>
          <w:szCs w:val="22"/>
        </w:rPr>
        <w:t>follow</w:t>
      </w:r>
      <w:r>
        <w:rPr>
          <w:rFonts w:ascii="Arial" w:hAnsi="Arial" w:cs="Arial"/>
          <w:sz w:val="22"/>
          <w:szCs w:val="22"/>
        </w:rPr>
        <w:t xml:space="preserve"> a stepped care approach, with interventions</w:t>
      </w:r>
      <w:r w:rsidR="004B365E">
        <w:rPr>
          <w:rFonts w:ascii="Arial" w:hAnsi="Arial" w:cs="Arial"/>
          <w:sz w:val="22"/>
          <w:szCs w:val="22"/>
        </w:rPr>
        <w:t xml:space="preserve"> selected according to symptom severity, functional </w:t>
      </w:r>
      <w:r w:rsidR="0091579D">
        <w:rPr>
          <w:rFonts w:ascii="Arial" w:hAnsi="Arial" w:cs="Arial"/>
          <w:sz w:val="22"/>
          <w:szCs w:val="22"/>
        </w:rPr>
        <w:t>impairment,</w:t>
      </w:r>
      <w:r w:rsidR="001D3B81">
        <w:rPr>
          <w:rFonts w:ascii="Arial" w:hAnsi="Arial" w:cs="Arial"/>
          <w:sz w:val="22"/>
          <w:szCs w:val="22"/>
        </w:rPr>
        <w:t xml:space="preserve"> and patient preference (NICE, 2011)</w:t>
      </w:r>
      <w:r w:rsidR="0091579D">
        <w:rPr>
          <w:rFonts w:ascii="Arial" w:hAnsi="Arial" w:cs="Arial"/>
          <w:sz w:val="22"/>
          <w:szCs w:val="22"/>
        </w:rPr>
        <w:t>.</w:t>
      </w:r>
      <w:r w:rsidR="001D3B81">
        <w:rPr>
          <w:rFonts w:ascii="Arial" w:hAnsi="Arial" w:cs="Arial"/>
          <w:sz w:val="22"/>
          <w:szCs w:val="22"/>
        </w:rPr>
        <w:t xml:space="preserve"> The primary aims are to reduce anxiety</w:t>
      </w:r>
      <w:r w:rsidR="00C43F5A">
        <w:rPr>
          <w:rFonts w:ascii="Arial" w:hAnsi="Arial" w:cs="Arial"/>
          <w:sz w:val="22"/>
          <w:szCs w:val="22"/>
        </w:rPr>
        <w:t>,</w:t>
      </w:r>
      <w:r w:rsidR="001D3B81">
        <w:rPr>
          <w:rFonts w:ascii="Arial" w:hAnsi="Arial" w:cs="Arial"/>
          <w:sz w:val="22"/>
          <w:szCs w:val="22"/>
        </w:rPr>
        <w:t xml:space="preserve"> improve </w:t>
      </w:r>
      <w:r w:rsidR="0091579D">
        <w:rPr>
          <w:rFonts w:ascii="Arial" w:hAnsi="Arial" w:cs="Arial"/>
          <w:sz w:val="22"/>
          <w:szCs w:val="22"/>
        </w:rPr>
        <w:t>functioning and</w:t>
      </w:r>
      <w:r w:rsidR="00A341D6">
        <w:rPr>
          <w:rFonts w:ascii="Arial" w:hAnsi="Arial" w:cs="Arial"/>
          <w:sz w:val="22"/>
          <w:szCs w:val="22"/>
        </w:rPr>
        <w:t xml:space="preserve"> prevent relapse through </w:t>
      </w:r>
      <w:r w:rsidR="004E1E7E">
        <w:rPr>
          <w:rFonts w:ascii="Arial" w:hAnsi="Arial" w:cs="Arial"/>
          <w:sz w:val="22"/>
          <w:szCs w:val="22"/>
        </w:rPr>
        <w:t>evidence-based</w:t>
      </w:r>
      <w:r w:rsidR="00A341D6">
        <w:rPr>
          <w:rFonts w:ascii="Arial" w:hAnsi="Arial" w:cs="Arial"/>
          <w:sz w:val="22"/>
          <w:szCs w:val="22"/>
        </w:rPr>
        <w:t xml:space="preserve"> psychological and phar</w:t>
      </w:r>
      <w:r w:rsidR="00B149A4">
        <w:rPr>
          <w:rFonts w:ascii="Arial" w:hAnsi="Arial" w:cs="Arial"/>
          <w:sz w:val="22"/>
          <w:szCs w:val="22"/>
        </w:rPr>
        <w:t>macological interventions. However, treatment effectiveness depends not only on clinical</w:t>
      </w:r>
      <w:r w:rsidR="004E1E7E">
        <w:rPr>
          <w:rFonts w:ascii="Arial" w:hAnsi="Arial" w:cs="Arial"/>
          <w:sz w:val="22"/>
          <w:szCs w:val="22"/>
        </w:rPr>
        <w:t xml:space="preserve"> efficiency but also on timely access, patient engagement, and continuity of care. </w:t>
      </w:r>
      <w:r w:rsidR="00C83677">
        <w:rPr>
          <w:rFonts w:ascii="Arial" w:hAnsi="Arial" w:cs="Arial"/>
          <w:sz w:val="22"/>
          <w:szCs w:val="22"/>
        </w:rPr>
        <w:t>There are treatment approaches such as:</w:t>
      </w:r>
    </w:p>
    <w:p w14:paraId="3CE66252" w14:textId="77777777" w:rsidR="00DA371A" w:rsidRDefault="00DA371A" w:rsidP="00193E46">
      <w:pPr>
        <w:pStyle w:val="NoSpacing"/>
        <w:spacing w:line="360" w:lineRule="auto"/>
        <w:rPr>
          <w:rFonts w:ascii="Arial" w:hAnsi="Arial" w:cs="Arial"/>
          <w:b/>
          <w:bCs/>
          <w:sz w:val="22"/>
          <w:szCs w:val="22"/>
        </w:rPr>
      </w:pPr>
    </w:p>
    <w:p w14:paraId="7BDC35C3" w14:textId="0FB16C78" w:rsidR="00193E46" w:rsidRDefault="00193E46" w:rsidP="00291AF5">
      <w:pPr>
        <w:pStyle w:val="NoSpacing"/>
        <w:numPr>
          <w:ilvl w:val="0"/>
          <w:numId w:val="4"/>
        </w:numPr>
        <w:spacing w:line="360" w:lineRule="auto"/>
        <w:rPr>
          <w:rFonts w:ascii="Arial" w:hAnsi="Arial" w:cs="Arial"/>
          <w:b/>
          <w:bCs/>
          <w:sz w:val="22"/>
          <w:szCs w:val="22"/>
        </w:rPr>
      </w:pPr>
      <w:r w:rsidRPr="00193E46">
        <w:rPr>
          <w:rFonts w:ascii="Arial" w:hAnsi="Arial" w:cs="Arial"/>
          <w:b/>
          <w:bCs/>
          <w:sz w:val="22"/>
          <w:szCs w:val="22"/>
        </w:rPr>
        <w:t>Pharmacological interventions</w:t>
      </w:r>
      <w:r w:rsidR="00CC61F7">
        <w:rPr>
          <w:rFonts w:ascii="Arial" w:hAnsi="Arial" w:cs="Arial"/>
          <w:b/>
          <w:bCs/>
          <w:sz w:val="22"/>
          <w:szCs w:val="22"/>
        </w:rPr>
        <w:t xml:space="preserve">: </w:t>
      </w:r>
      <w:r w:rsidR="00F757EC">
        <w:rPr>
          <w:rFonts w:ascii="Arial" w:hAnsi="Arial" w:cs="Arial"/>
          <w:b/>
          <w:bCs/>
          <w:sz w:val="22"/>
          <w:szCs w:val="22"/>
        </w:rPr>
        <w:t>(Cognitive Behavioural Therapy</w:t>
      </w:r>
      <w:r w:rsidR="00CC61F7">
        <w:rPr>
          <w:rFonts w:ascii="Arial" w:hAnsi="Arial" w:cs="Arial"/>
          <w:b/>
          <w:bCs/>
          <w:sz w:val="22"/>
          <w:szCs w:val="22"/>
        </w:rPr>
        <w:t>, CBT)</w:t>
      </w:r>
    </w:p>
    <w:p w14:paraId="47BDA165" w14:textId="77777777" w:rsidR="005A6BCE" w:rsidRDefault="005A6BCE" w:rsidP="005A6BCE">
      <w:pPr>
        <w:pStyle w:val="NoSpacing"/>
        <w:spacing w:line="360" w:lineRule="auto"/>
        <w:ind w:left="720"/>
        <w:rPr>
          <w:rFonts w:ascii="Arial" w:hAnsi="Arial" w:cs="Arial"/>
          <w:b/>
          <w:bCs/>
          <w:sz w:val="22"/>
          <w:szCs w:val="22"/>
        </w:rPr>
      </w:pPr>
    </w:p>
    <w:p w14:paraId="21A31435" w14:textId="129841F4" w:rsidR="005A6BCE" w:rsidRPr="005A6BCE" w:rsidRDefault="005A6BCE" w:rsidP="00925C6F">
      <w:pPr>
        <w:pStyle w:val="NoSpacing"/>
        <w:numPr>
          <w:ilvl w:val="0"/>
          <w:numId w:val="4"/>
        </w:numPr>
        <w:spacing w:line="360" w:lineRule="auto"/>
        <w:rPr>
          <w:rFonts w:ascii="Arial" w:hAnsi="Arial" w:cs="Arial"/>
          <w:sz w:val="22"/>
          <w:szCs w:val="22"/>
        </w:rPr>
      </w:pPr>
      <w:r w:rsidRPr="005A6BCE">
        <w:rPr>
          <w:rFonts w:ascii="Arial" w:hAnsi="Arial" w:cs="Arial"/>
          <w:sz w:val="22"/>
          <w:szCs w:val="22"/>
        </w:rPr>
        <w:t xml:space="preserve">CBT remains the first-line psychological treatment recommended by NICE (2011). CBT targets maladaptive thoughts and behaviours that maintain excessive worry while helping individuals develop effective coping strategies. Evidence demonstrates that CBT significantly reduces anxiety symptoms and improves long-term functioning (Newman et al., 2021). Nevertheless, outcomes vary according to symptom severity, treatment </w:t>
      </w:r>
      <w:r w:rsidR="002B2800" w:rsidRPr="005A6BCE">
        <w:rPr>
          <w:rFonts w:ascii="Arial" w:hAnsi="Arial" w:cs="Arial"/>
          <w:sz w:val="22"/>
          <w:szCs w:val="22"/>
        </w:rPr>
        <w:t>adherence,</w:t>
      </w:r>
      <w:r w:rsidRPr="005A6BCE">
        <w:rPr>
          <w:rFonts w:ascii="Arial" w:hAnsi="Arial" w:cs="Arial"/>
          <w:sz w:val="22"/>
          <w:szCs w:val="22"/>
        </w:rPr>
        <w:t xml:space="preserve"> and the presence of comorbid conditions, meaning individuals require more intensive or prolonged interventions (</w:t>
      </w:r>
      <w:proofErr w:type="spellStart"/>
      <w:r w:rsidRPr="005A6BCE">
        <w:rPr>
          <w:rFonts w:ascii="Arial" w:hAnsi="Arial" w:cs="Arial"/>
          <w:sz w:val="22"/>
          <w:szCs w:val="22"/>
        </w:rPr>
        <w:t>Croicu</w:t>
      </w:r>
      <w:proofErr w:type="spellEnd"/>
      <w:r w:rsidR="002B2800">
        <w:rPr>
          <w:rFonts w:ascii="Arial" w:hAnsi="Arial" w:cs="Arial"/>
          <w:sz w:val="22"/>
          <w:szCs w:val="22"/>
        </w:rPr>
        <w:t xml:space="preserve"> et al</w:t>
      </w:r>
      <w:r w:rsidR="00F04399">
        <w:rPr>
          <w:rFonts w:ascii="Arial" w:hAnsi="Arial" w:cs="Arial"/>
          <w:sz w:val="22"/>
          <w:szCs w:val="22"/>
        </w:rPr>
        <w:t>.,</w:t>
      </w:r>
      <w:r w:rsidRPr="005A6BCE">
        <w:rPr>
          <w:rFonts w:ascii="Arial" w:hAnsi="Arial" w:cs="Arial"/>
          <w:sz w:val="22"/>
          <w:szCs w:val="22"/>
        </w:rPr>
        <w:t xml:space="preserve"> 2023).</w:t>
      </w:r>
    </w:p>
    <w:p w14:paraId="40A9133F" w14:textId="305F4AB9" w:rsidR="005A6BCE" w:rsidRPr="005A6BCE" w:rsidRDefault="005A6BCE" w:rsidP="005A6BCE">
      <w:pPr>
        <w:pStyle w:val="NoSpacing"/>
        <w:spacing w:line="360" w:lineRule="auto"/>
        <w:rPr>
          <w:rFonts w:ascii="Arial" w:hAnsi="Arial" w:cs="Arial"/>
          <w:sz w:val="22"/>
          <w:szCs w:val="22"/>
        </w:rPr>
      </w:pPr>
    </w:p>
    <w:p w14:paraId="39A70A8B" w14:textId="7A53A065" w:rsidR="00CC61F7" w:rsidRPr="005A6BCE" w:rsidRDefault="005A6BCE" w:rsidP="00925C6F">
      <w:pPr>
        <w:pStyle w:val="NoSpacing"/>
        <w:numPr>
          <w:ilvl w:val="0"/>
          <w:numId w:val="4"/>
        </w:numPr>
        <w:spacing w:line="360" w:lineRule="auto"/>
        <w:rPr>
          <w:rFonts w:ascii="Arial" w:hAnsi="Arial" w:cs="Arial"/>
          <w:sz w:val="22"/>
          <w:szCs w:val="22"/>
        </w:rPr>
      </w:pPr>
      <w:r w:rsidRPr="005A6BCE">
        <w:rPr>
          <w:rFonts w:ascii="Arial" w:hAnsi="Arial" w:cs="Arial"/>
          <w:sz w:val="22"/>
          <w:szCs w:val="22"/>
        </w:rPr>
        <w:t>Where psychological therapy is unavailable, declined</w:t>
      </w:r>
      <w:r w:rsidR="00475761">
        <w:rPr>
          <w:rFonts w:ascii="Arial" w:hAnsi="Arial" w:cs="Arial"/>
          <w:sz w:val="22"/>
          <w:szCs w:val="22"/>
        </w:rPr>
        <w:t>,</w:t>
      </w:r>
      <w:r w:rsidRPr="005A6BCE">
        <w:rPr>
          <w:rFonts w:ascii="Arial" w:hAnsi="Arial" w:cs="Arial"/>
          <w:sz w:val="22"/>
          <w:szCs w:val="22"/>
        </w:rPr>
        <w:t xml:space="preserve"> or insufficiently effective, medication may be offered. Selective serotonin reuptake inhibitors (SSRIs) are recommended as the first-line pharmacological treatment because they provide the most favourable balance between efficacy and tolerability (Bandelow et al., 2022). Serotonin–noradrenaline reuptake inhibitors (SNRIs) and pregabalin may be considered where clinically appropriate. However, adverse effects, delayed therapeutic response and medication adherence should be monitored through regular review. NICE (2011) also advises against the routine long-term use of benzodiazepines because of the risk of dependence.</w:t>
      </w:r>
    </w:p>
    <w:p w14:paraId="53B76FA7" w14:textId="77777777" w:rsidR="00322439" w:rsidRDefault="00322439" w:rsidP="00322439">
      <w:pPr>
        <w:pStyle w:val="ListParagraph"/>
        <w:rPr>
          <w:rFonts w:ascii="Arial" w:hAnsi="Arial" w:cs="Arial"/>
          <w:b/>
          <w:bCs/>
          <w:sz w:val="22"/>
          <w:szCs w:val="22"/>
        </w:rPr>
      </w:pPr>
    </w:p>
    <w:p w14:paraId="7792C5AA" w14:textId="7172947D" w:rsidR="00D76E40" w:rsidRDefault="00D76E40" w:rsidP="00322439">
      <w:pPr>
        <w:pStyle w:val="NoSpacing"/>
        <w:numPr>
          <w:ilvl w:val="0"/>
          <w:numId w:val="4"/>
        </w:numPr>
        <w:spacing w:line="360" w:lineRule="auto"/>
        <w:rPr>
          <w:rFonts w:ascii="Arial" w:hAnsi="Arial" w:cs="Arial"/>
          <w:b/>
          <w:bCs/>
          <w:sz w:val="22"/>
          <w:szCs w:val="22"/>
        </w:rPr>
      </w:pPr>
      <w:r w:rsidRPr="00D76E40">
        <w:rPr>
          <w:rFonts w:ascii="Arial" w:hAnsi="Arial" w:cs="Arial"/>
          <w:b/>
          <w:bCs/>
          <w:sz w:val="22"/>
          <w:szCs w:val="22"/>
        </w:rPr>
        <w:t>Digital and emerging treatment approaches</w:t>
      </w:r>
      <w:r w:rsidR="005E2279">
        <w:rPr>
          <w:rFonts w:ascii="Arial" w:hAnsi="Arial" w:cs="Arial"/>
          <w:b/>
          <w:bCs/>
          <w:sz w:val="22"/>
          <w:szCs w:val="22"/>
        </w:rPr>
        <w:t>:</w:t>
      </w:r>
    </w:p>
    <w:p w14:paraId="7CEA7A41" w14:textId="77777777" w:rsidR="00322439" w:rsidRPr="009A1129" w:rsidRDefault="00322439" w:rsidP="00322439">
      <w:pPr>
        <w:pStyle w:val="ListParagraph"/>
        <w:rPr>
          <w:rFonts w:ascii="Arial" w:hAnsi="Arial" w:cs="Arial"/>
          <w:sz w:val="22"/>
          <w:szCs w:val="22"/>
        </w:rPr>
      </w:pPr>
    </w:p>
    <w:p w14:paraId="2B619D0F" w14:textId="49CA9426" w:rsidR="009A1129" w:rsidRPr="009A1129" w:rsidRDefault="009A1129" w:rsidP="009A1129">
      <w:pPr>
        <w:pStyle w:val="NoSpacing"/>
        <w:numPr>
          <w:ilvl w:val="0"/>
          <w:numId w:val="4"/>
        </w:numPr>
        <w:spacing w:line="360" w:lineRule="auto"/>
        <w:rPr>
          <w:rFonts w:ascii="Arial" w:hAnsi="Arial" w:cs="Arial"/>
          <w:sz w:val="22"/>
          <w:szCs w:val="22"/>
        </w:rPr>
      </w:pPr>
      <w:r w:rsidRPr="009A1129">
        <w:rPr>
          <w:rFonts w:ascii="Arial" w:hAnsi="Arial" w:cs="Arial"/>
          <w:sz w:val="22"/>
          <w:szCs w:val="22"/>
        </w:rPr>
        <w:t>The NHS has expanded access to treatment through NHS Talking Therapies, including guided self-help, therapist-led CBT and digitally delivered interventions. Furthermore, Parsons et al. (2025) found that digital CBT significantly reduced GAD symptoms while improving treatment accessibility. Despite these benefits, digital exclusion, reduced therapeutic interaction</w:t>
      </w:r>
      <w:r w:rsidR="000C1E76">
        <w:rPr>
          <w:rFonts w:ascii="Arial" w:hAnsi="Arial" w:cs="Arial"/>
          <w:sz w:val="22"/>
          <w:szCs w:val="22"/>
        </w:rPr>
        <w:t>,</w:t>
      </w:r>
      <w:r w:rsidRPr="009A1129">
        <w:rPr>
          <w:rFonts w:ascii="Arial" w:hAnsi="Arial" w:cs="Arial"/>
          <w:sz w:val="22"/>
          <w:szCs w:val="22"/>
        </w:rPr>
        <w:t xml:space="preserve"> and limited suitability for complex presentations remain important challenges. Emerging evidence also suggests that </w:t>
      </w:r>
      <w:r w:rsidR="000C1E76" w:rsidRPr="009A1129">
        <w:rPr>
          <w:rFonts w:ascii="Arial" w:hAnsi="Arial" w:cs="Arial"/>
          <w:sz w:val="22"/>
          <w:szCs w:val="22"/>
        </w:rPr>
        <w:t>neurobehavioral</w:t>
      </w:r>
      <w:r w:rsidRPr="009A1129">
        <w:rPr>
          <w:rFonts w:ascii="Arial" w:hAnsi="Arial" w:cs="Arial"/>
          <w:sz w:val="22"/>
          <w:szCs w:val="22"/>
        </w:rPr>
        <w:t xml:space="preserve"> markers may help predict treatment response, supporting future personalised approaches to care (Berg et al., 2025). Nevertheless, further research is required before these innovations can be routinely implemented within NHS practice.</w:t>
      </w:r>
    </w:p>
    <w:p w14:paraId="5AD32463" w14:textId="77777777" w:rsidR="009A1129" w:rsidRPr="009A1129" w:rsidRDefault="009A1129" w:rsidP="009A1129">
      <w:pPr>
        <w:pStyle w:val="NoSpacing"/>
        <w:spacing w:line="360" w:lineRule="auto"/>
        <w:rPr>
          <w:rFonts w:ascii="Arial" w:hAnsi="Arial" w:cs="Arial"/>
          <w:sz w:val="22"/>
          <w:szCs w:val="22"/>
        </w:rPr>
      </w:pPr>
    </w:p>
    <w:p w14:paraId="7127BEEE" w14:textId="77777777" w:rsidR="009A1129" w:rsidRPr="009A1129" w:rsidRDefault="009A1129" w:rsidP="009A1129">
      <w:pPr>
        <w:pStyle w:val="NoSpacing"/>
        <w:spacing w:line="360" w:lineRule="auto"/>
        <w:rPr>
          <w:rFonts w:ascii="Arial" w:hAnsi="Arial" w:cs="Arial"/>
          <w:sz w:val="22"/>
          <w:szCs w:val="22"/>
        </w:rPr>
      </w:pPr>
      <w:r w:rsidRPr="009A1129">
        <w:rPr>
          <w:rFonts w:ascii="Arial" w:hAnsi="Arial" w:cs="Arial"/>
          <w:sz w:val="22"/>
          <w:szCs w:val="22"/>
        </w:rPr>
        <w:t>Overall, CBT remains the most effective first-line intervention for GAD, with medication providing an appropriate alternative or adjunct where indicated. However, improving outcomes requires equitable access to evidence-based treatments alongside continued investment in NHS mental health services.</w:t>
      </w:r>
    </w:p>
    <w:p w14:paraId="10A03E4E" w14:textId="77777777" w:rsidR="00A61CC6" w:rsidRPr="00D76E40" w:rsidRDefault="00A61CC6" w:rsidP="00D76E40">
      <w:pPr>
        <w:pStyle w:val="NoSpacing"/>
        <w:spacing w:line="360" w:lineRule="auto"/>
        <w:rPr>
          <w:rFonts w:ascii="Arial" w:hAnsi="Arial" w:cs="Arial"/>
          <w:sz w:val="22"/>
          <w:szCs w:val="22"/>
        </w:rPr>
      </w:pPr>
    </w:p>
    <w:p w14:paraId="4AF667FB" w14:textId="77777777" w:rsidR="00D76E40" w:rsidRPr="00D76E40" w:rsidRDefault="00D76E40" w:rsidP="00D76E40">
      <w:pPr>
        <w:pStyle w:val="NoSpacing"/>
        <w:spacing w:line="360" w:lineRule="auto"/>
        <w:rPr>
          <w:rFonts w:ascii="Arial" w:hAnsi="Arial" w:cs="Arial"/>
          <w:sz w:val="22"/>
          <w:szCs w:val="22"/>
        </w:rPr>
      </w:pPr>
    </w:p>
    <w:p w14:paraId="69FFF161" w14:textId="77777777" w:rsidR="00D76E40" w:rsidRDefault="00D76E40" w:rsidP="00D76E40">
      <w:pPr>
        <w:pStyle w:val="NoSpacing"/>
        <w:spacing w:line="360" w:lineRule="auto"/>
        <w:rPr>
          <w:rFonts w:ascii="Arial" w:hAnsi="Arial" w:cs="Arial"/>
          <w:b/>
          <w:bCs/>
          <w:sz w:val="22"/>
          <w:szCs w:val="22"/>
        </w:rPr>
      </w:pPr>
      <w:r w:rsidRPr="00D76E40">
        <w:rPr>
          <w:rFonts w:ascii="Arial" w:hAnsi="Arial" w:cs="Arial"/>
          <w:b/>
          <w:bCs/>
          <w:sz w:val="22"/>
          <w:szCs w:val="22"/>
        </w:rPr>
        <w:t>Rehabilitation &amp; Long-Term Management</w:t>
      </w:r>
    </w:p>
    <w:p w14:paraId="0EC8A939" w14:textId="77777777" w:rsidR="00A61CC6" w:rsidRDefault="00A61CC6" w:rsidP="00D76E40">
      <w:pPr>
        <w:pStyle w:val="NoSpacing"/>
        <w:spacing w:line="360" w:lineRule="auto"/>
        <w:rPr>
          <w:rFonts w:ascii="Arial" w:hAnsi="Arial" w:cs="Arial"/>
          <w:b/>
          <w:bCs/>
          <w:sz w:val="22"/>
          <w:szCs w:val="22"/>
        </w:rPr>
      </w:pPr>
    </w:p>
    <w:p w14:paraId="72AF9875" w14:textId="77777777" w:rsidR="00A61CC6" w:rsidRPr="00D76E40" w:rsidRDefault="00A61CC6" w:rsidP="00D76E40">
      <w:pPr>
        <w:pStyle w:val="NoSpacing"/>
        <w:spacing w:line="360" w:lineRule="auto"/>
        <w:rPr>
          <w:rFonts w:ascii="Arial" w:hAnsi="Arial" w:cs="Arial"/>
          <w:sz w:val="22"/>
          <w:szCs w:val="22"/>
        </w:rPr>
      </w:pPr>
    </w:p>
    <w:p w14:paraId="1ADC1758" w14:textId="4A156F68" w:rsidR="00D76E40" w:rsidRPr="00D76E40" w:rsidRDefault="00D76E40" w:rsidP="00D76E40">
      <w:pPr>
        <w:pStyle w:val="NoSpacing"/>
        <w:spacing w:line="360" w:lineRule="auto"/>
        <w:rPr>
          <w:rFonts w:ascii="Arial" w:hAnsi="Arial" w:cs="Arial"/>
          <w:sz w:val="22"/>
          <w:szCs w:val="22"/>
        </w:rPr>
      </w:pPr>
      <w:r w:rsidRPr="00D76E40">
        <w:rPr>
          <w:rFonts w:ascii="Arial" w:hAnsi="Arial" w:cs="Arial"/>
          <w:sz w:val="22"/>
          <w:szCs w:val="22"/>
        </w:rPr>
        <w:t xml:space="preserve">Rehabilitation for GAD focuses on maintaining recovery, preventing </w:t>
      </w:r>
      <w:r w:rsidR="00664563" w:rsidRPr="00D76E40">
        <w:rPr>
          <w:rFonts w:ascii="Arial" w:hAnsi="Arial" w:cs="Arial"/>
          <w:sz w:val="22"/>
          <w:szCs w:val="22"/>
        </w:rPr>
        <w:t>relapse,</w:t>
      </w:r>
      <w:r w:rsidRPr="00D76E40">
        <w:rPr>
          <w:rFonts w:ascii="Arial" w:hAnsi="Arial" w:cs="Arial"/>
          <w:sz w:val="22"/>
          <w:szCs w:val="22"/>
        </w:rPr>
        <w:t xml:space="preserve"> and improving participation in everyday life. Unlike acute treatment, rehabilitation recognises that anxiety symptoms may fluctuate over time and that recovery involves psychological, </w:t>
      </w:r>
      <w:r w:rsidR="00664563" w:rsidRPr="00D76E40">
        <w:rPr>
          <w:rFonts w:ascii="Arial" w:hAnsi="Arial" w:cs="Arial"/>
          <w:sz w:val="22"/>
          <w:szCs w:val="22"/>
        </w:rPr>
        <w:t>social,</w:t>
      </w:r>
      <w:r w:rsidRPr="00D76E40">
        <w:rPr>
          <w:rFonts w:ascii="Arial" w:hAnsi="Arial" w:cs="Arial"/>
          <w:sz w:val="22"/>
          <w:szCs w:val="22"/>
        </w:rPr>
        <w:t xml:space="preserve"> and functional improvements rather than symptom reduction alone.</w:t>
      </w:r>
      <w:r w:rsidR="00620B79">
        <w:rPr>
          <w:rFonts w:ascii="Arial" w:hAnsi="Arial" w:cs="Arial"/>
          <w:sz w:val="22"/>
          <w:szCs w:val="22"/>
        </w:rPr>
        <w:t xml:space="preserve"> Furthermore</w:t>
      </w:r>
      <w:r w:rsidR="00BF693B">
        <w:rPr>
          <w:rFonts w:ascii="Arial" w:hAnsi="Arial" w:cs="Arial"/>
          <w:sz w:val="22"/>
          <w:szCs w:val="22"/>
        </w:rPr>
        <w:t>, rehabilitation requires</w:t>
      </w:r>
      <w:r w:rsidR="00C505A6">
        <w:rPr>
          <w:rFonts w:ascii="Arial" w:hAnsi="Arial" w:cs="Arial"/>
          <w:sz w:val="22"/>
          <w:szCs w:val="22"/>
        </w:rPr>
        <w:t xml:space="preserve"> consideration of wider</w:t>
      </w:r>
      <w:r w:rsidR="008F67ED">
        <w:rPr>
          <w:rFonts w:ascii="Arial" w:hAnsi="Arial" w:cs="Arial"/>
          <w:sz w:val="22"/>
          <w:szCs w:val="22"/>
        </w:rPr>
        <w:t xml:space="preserve"> social factors that influence </w:t>
      </w:r>
      <w:r w:rsidR="00664563">
        <w:rPr>
          <w:rFonts w:ascii="Arial" w:hAnsi="Arial" w:cs="Arial"/>
          <w:sz w:val="22"/>
          <w:szCs w:val="22"/>
        </w:rPr>
        <w:t>long-term</w:t>
      </w:r>
      <w:r w:rsidR="008F67ED">
        <w:rPr>
          <w:rFonts w:ascii="Arial" w:hAnsi="Arial" w:cs="Arial"/>
          <w:sz w:val="22"/>
          <w:szCs w:val="22"/>
        </w:rPr>
        <w:t xml:space="preserve"> outcomes. </w:t>
      </w:r>
    </w:p>
    <w:p w14:paraId="08783D2D" w14:textId="42B50005" w:rsidR="00D76E40" w:rsidRDefault="00D76E40" w:rsidP="00D76E40">
      <w:pPr>
        <w:pStyle w:val="NoSpacing"/>
        <w:spacing w:line="360" w:lineRule="auto"/>
        <w:rPr>
          <w:rFonts w:ascii="Arial" w:hAnsi="Arial" w:cs="Arial"/>
          <w:sz w:val="22"/>
          <w:szCs w:val="22"/>
        </w:rPr>
      </w:pPr>
      <w:r w:rsidRPr="00D76E40">
        <w:rPr>
          <w:rFonts w:ascii="Arial" w:hAnsi="Arial" w:cs="Arial"/>
          <w:sz w:val="22"/>
          <w:szCs w:val="22"/>
        </w:rPr>
        <w:t xml:space="preserve">The ICD-11 framework emphasises the importance of assessing functional impairment and considering how mental disorders affect participation in social, </w:t>
      </w:r>
      <w:r w:rsidR="00664563" w:rsidRPr="00D76E40">
        <w:rPr>
          <w:rFonts w:ascii="Arial" w:hAnsi="Arial" w:cs="Arial"/>
          <w:sz w:val="22"/>
          <w:szCs w:val="22"/>
        </w:rPr>
        <w:t>occupational,</w:t>
      </w:r>
      <w:r w:rsidRPr="00D76E40">
        <w:rPr>
          <w:rFonts w:ascii="Arial" w:hAnsi="Arial" w:cs="Arial"/>
          <w:sz w:val="22"/>
          <w:szCs w:val="22"/>
        </w:rPr>
        <w:t xml:space="preserve"> and personal roles (WHO, 2024). Therefore, long-term management requires</w:t>
      </w:r>
      <w:r w:rsidR="00C37850">
        <w:rPr>
          <w:rFonts w:ascii="Arial" w:hAnsi="Arial" w:cs="Arial"/>
          <w:sz w:val="22"/>
          <w:szCs w:val="22"/>
        </w:rPr>
        <w:t xml:space="preserve"> a holistic</w:t>
      </w:r>
      <w:r w:rsidR="007A0796" w:rsidRPr="00D76E40">
        <w:rPr>
          <w:rFonts w:ascii="Arial" w:hAnsi="Arial" w:cs="Arial"/>
          <w:sz w:val="22"/>
          <w:szCs w:val="22"/>
        </w:rPr>
        <w:t xml:space="preserve"> approach</w:t>
      </w:r>
      <w:r w:rsidRPr="00D76E40">
        <w:rPr>
          <w:rFonts w:ascii="Arial" w:hAnsi="Arial" w:cs="Arial"/>
          <w:sz w:val="22"/>
          <w:szCs w:val="22"/>
        </w:rPr>
        <w:t xml:space="preserve"> that supports independence and quality of life.</w:t>
      </w:r>
    </w:p>
    <w:p w14:paraId="23ABF4E9" w14:textId="77777777" w:rsidR="00C10D3E" w:rsidRDefault="00C10D3E" w:rsidP="00D76E40">
      <w:pPr>
        <w:pStyle w:val="NoSpacing"/>
        <w:spacing w:line="360" w:lineRule="auto"/>
        <w:rPr>
          <w:rFonts w:ascii="Arial" w:hAnsi="Arial" w:cs="Arial"/>
          <w:sz w:val="22"/>
          <w:szCs w:val="22"/>
        </w:rPr>
      </w:pPr>
    </w:p>
    <w:p w14:paraId="0162BD5B" w14:textId="77777777" w:rsidR="00C821D4" w:rsidRDefault="00C821D4" w:rsidP="00D76E40">
      <w:pPr>
        <w:pStyle w:val="NoSpacing"/>
        <w:spacing w:line="360" w:lineRule="auto"/>
        <w:rPr>
          <w:rFonts w:ascii="Arial" w:hAnsi="Arial" w:cs="Arial"/>
          <w:b/>
          <w:bCs/>
          <w:sz w:val="22"/>
          <w:szCs w:val="22"/>
        </w:rPr>
      </w:pPr>
    </w:p>
    <w:p w14:paraId="475DF7BC" w14:textId="77777777" w:rsidR="00C821D4" w:rsidRDefault="00C821D4" w:rsidP="00D76E40">
      <w:pPr>
        <w:pStyle w:val="NoSpacing"/>
        <w:spacing w:line="360" w:lineRule="auto"/>
        <w:rPr>
          <w:rFonts w:ascii="Arial" w:hAnsi="Arial" w:cs="Arial"/>
          <w:b/>
          <w:bCs/>
          <w:sz w:val="22"/>
          <w:szCs w:val="22"/>
        </w:rPr>
      </w:pPr>
    </w:p>
    <w:p w14:paraId="41D6C3B0" w14:textId="77777777" w:rsidR="00C821D4" w:rsidRDefault="00C821D4" w:rsidP="00D76E40">
      <w:pPr>
        <w:pStyle w:val="NoSpacing"/>
        <w:spacing w:line="360" w:lineRule="auto"/>
        <w:rPr>
          <w:rFonts w:ascii="Arial" w:hAnsi="Arial" w:cs="Arial"/>
          <w:b/>
          <w:bCs/>
          <w:sz w:val="22"/>
          <w:szCs w:val="22"/>
        </w:rPr>
      </w:pPr>
    </w:p>
    <w:p w14:paraId="7A48CA0F" w14:textId="77777777" w:rsidR="002F7F0D" w:rsidRDefault="002F7F0D" w:rsidP="00D76E40">
      <w:pPr>
        <w:pStyle w:val="NoSpacing"/>
        <w:spacing w:line="360" w:lineRule="auto"/>
        <w:rPr>
          <w:rFonts w:ascii="Arial" w:hAnsi="Arial" w:cs="Arial"/>
          <w:b/>
          <w:bCs/>
          <w:sz w:val="22"/>
          <w:szCs w:val="22"/>
        </w:rPr>
      </w:pPr>
    </w:p>
    <w:p w14:paraId="293596B6" w14:textId="77777777" w:rsidR="002F7F0D" w:rsidRDefault="002F7F0D" w:rsidP="00D76E40">
      <w:pPr>
        <w:pStyle w:val="NoSpacing"/>
        <w:spacing w:line="360" w:lineRule="auto"/>
        <w:rPr>
          <w:rFonts w:ascii="Arial" w:hAnsi="Arial" w:cs="Arial"/>
          <w:b/>
          <w:bCs/>
          <w:sz w:val="22"/>
          <w:szCs w:val="22"/>
        </w:rPr>
      </w:pPr>
    </w:p>
    <w:p w14:paraId="3DD723BA" w14:textId="77777777" w:rsidR="002F7F0D" w:rsidRDefault="002F7F0D" w:rsidP="00D76E40">
      <w:pPr>
        <w:pStyle w:val="NoSpacing"/>
        <w:spacing w:line="360" w:lineRule="auto"/>
        <w:rPr>
          <w:rFonts w:ascii="Arial" w:hAnsi="Arial" w:cs="Arial"/>
          <w:b/>
          <w:bCs/>
          <w:sz w:val="22"/>
          <w:szCs w:val="22"/>
        </w:rPr>
      </w:pPr>
    </w:p>
    <w:p w14:paraId="122B8092" w14:textId="1F082E95" w:rsidR="00C10D3E" w:rsidRDefault="005D24B1" w:rsidP="00D76E40">
      <w:pPr>
        <w:pStyle w:val="NoSpacing"/>
        <w:spacing w:line="360" w:lineRule="auto"/>
        <w:rPr>
          <w:rFonts w:ascii="Arial" w:hAnsi="Arial" w:cs="Arial"/>
          <w:b/>
          <w:bCs/>
          <w:sz w:val="22"/>
          <w:szCs w:val="22"/>
        </w:rPr>
      </w:pPr>
      <w:r>
        <w:rPr>
          <w:rFonts w:ascii="Arial" w:hAnsi="Arial" w:cs="Arial"/>
          <w:b/>
          <w:bCs/>
          <w:sz w:val="22"/>
          <w:szCs w:val="22"/>
        </w:rPr>
        <w:t>Key Reha</w:t>
      </w:r>
      <w:r w:rsidR="00CE5DE4">
        <w:rPr>
          <w:rFonts w:ascii="Arial" w:hAnsi="Arial" w:cs="Arial"/>
          <w:b/>
          <w:bCs/>
          <w:sz w:val="22"/>
          <w:szCs w:val="22"/>
        </w:rPr>
        <w:t>bilitation strategies may include:</w:t>
      </w:r>
    </w:p>
    <w:p w14:paraId="753C14A9" w14:textId="77777777" w:rsidR="00DF6624" w:rsidRDefault="00DF6624" w:rsidP="00D76E40">
      <w:pPr>
        <w:pStyle w:val="NoSpacing"/>
        <w:spacing w:line="360" w:lineRule="auto"/>
        <w:rPr>
          <w:rFonts w:ascii="Arial" w:hAnsi="Arial" w:cs="Arial"/>
          <w:b/>
          <w:bCs/>
          <w:sz w:val="22"/>
          <w:szCs w:val="22"/>
        </w:rPr>
      </w:pPr>
    </w:p>
    <w:p w14:paraId="0714B85E" w14:textId="77777777" w:rsidR="00C821D4" w:rsidRDefault="00C821D4" w:rsidP="00D76E40">
      <w:pPr>
        <w:pStyle w:val="NoSpacing"/>
        <w:spacing w:line="360" w:lineRule="auto"/>
        <w:rPr>
          <w:rFonts w:ascii="Arial" w:hAnsi="Arial" w:cs="Arial"/>
          <w:b/>
          <w:bCs/>
          <w:sz w:val="22"/>
          <w:szCs w:val="22"/>
        </w:rPr>
      </w:pPr>
    </w:p>
    <w:p w14:paraId="0EC16099" w14:textId="3BF7C3C8" w:rsidR="00C821D4" w:rsidRPr="00AD2F04" w:rsidRDefault="00AD2F04" w:rsidP="00D76E40">
      <w:pPr>
        <w:pStyle w:val="NoSpacing"/>
        <w:spacing w:line="360" w:lineRule="auto"/>
        <w:rPr>
          <w:rFonts w:ascii="Arial" w:hAnsi="Arial" w:cs="Arial"/>
          <w:b/>
          <w:bCs/>
          <w:sz w:val="22"/>
          <w:szCs w:val="22"/>
        </w:rPr>
      </w:pPr>
      <w:r>
        <w:rPr>
          <w:rFonts w:ascii="Arial" w:hAnsi="Arial" w:cs="Arial"/>
          <w:b/>
          <w:bCs/>
          <w:sz w:val="22"/>
          <w:szCs w:val="22"/>
        </w:rPr>
        <w:t xml:space="preserve">Approach                      </w:t>
      </w:r>
      <w:r w:rsidR="0098318F">
        <w:rPr>
          <w:rFonts w:ascii="Arial" w:hAnsi="Arial" w:cs="Arial"/>
          <w:b/>
          <w:bCs/>
          <w:sz w:val="22"/>
          <w:szCs w:val="22"/>
        </w:rPr>
        <w:t>Purpose</w:t>
      </w:r>
    </w:p>
    <w:tbl>
      <w:tblPr>
        <w:tblStyle w:val="TableGrid"/>
        <w:tblW w:w="10201" w:type="dxa"/>
        <w:tblInd w:w="-592" w:type="dxa"/>
        <w:tblLook w:val="04A0" w:firstRow="1" w:lastRow="0" w:firstColumn="1" w:lastColumn="0" w:noHBand="0" w:noVBand="1"/>
      </w:tblPr>
      <w:tblGrid>
        <w:gridCol w:w="2855"/>
        <w:gridCol w:w="7346"/>
      </w:tblGrid>
      <w:tr w:rsidR="00C821D4" w14:paraId="1716FA35" w14:textId="77777777" w:rsidTr="00C821D4">
        <w:tc>
          <w:tcPr>
            <w:tcW w:w="2855" w:type="dxa"/>
          </w:tcPr>
          <w:p w14:paraId="7814B03D" w14:textId="070B1E59" w:rsidR="00C821D4" w:rsidRPr="0098318F" w:rsidRDefault="0098318F" w:rsidP="00D76E40">
            <w:pPr>
              <w:pStyle w:val="NoSpacing"/>
              <w:spacing w:line="360" w:lineRule="auto"/>
              <w:rPr>
                <w:rFonts w:ascii="Arial" w:hAnsi="Arial" w:cs="Arial"/>
                <w:sz w:val="22"/>
                <w:szCs w:val="22"/>
              </w:rPr>
            </w:pPr>
            <w:r>
              <w:rPr>
                <w:rFonts w:ascii="Arial" w:hAnsi="Arial" w:cs="Arial"/>
                <w:sz w:val="22"/>
                <w:szCs w:val="22"/>
              </w:rPr>
              <w:t>Relapse prevention</w:t>
            </w:r>
            <w:r w:rsidR="003B21F4">
              <w:rPr>
                <w:rFonts w:ascii="Arial" w:hAnsi="Arial" w:cs="Arial"/>
                <w:sz w:val="22"/>
                <w:szCs w:val="22"/>
              </w:rPr>
              <w:t xml:space="preserve"> planning</w:t>
            </w:r>
          </w:p>
        </w:tc>
        <w:tc>
          <w:tcPr>
            <w:tcW w:w="7346" w:type="dxa"/>
          </w:tcPr>
          <w:p w14:paraId="4CBA0321" w14:textId="298BC30E" w:rsidR="00C821D4" w:rsidRPr="00C47F87" w:rsidRDefault="00C47F87" w:rsidP="00D76E40">
            <w:pPr>
              <w:pStyle w:val="NoSpacing"/>
              <w:spacing w:line="360" w:lineRule="auto"/>
              <w:rPr>
                <w:rFonts w:ascii="Arial" w:hAnsi="Arial" w:cs="Arial"/>
                <w:sz w:val="22"/>
                <w:szCs w:val="22"/>
              </w:rPr>
            </w:pPr>
            <w:r>
              <w:rPr>
                <w:rFonts w:ascii="Arial" w:hAnsi="Arial" w:cs="Arial"/>
                <w:sz w:val="22"/>
                <w:szCs w:val="22"/>
              </w:rPr>
              <w:t>Helps individuals recognise early warning signs and ma</w:t>
            </w:r>
            <w:r w:rsidR="00986F47">
              <w:rPr>
                <w:rFonts w:ascii="Arial" w:hAnsi="Arial" w:cs="Arial"/>
                <w:sz w:val="22"/>
                <w:szCs w:val="22"/>
              </w:rPr>
              <w:t>intain coping strategies developed during treatment</w:t>
            </w:r>
          </w:p>
        </w:tc>
      </w:tr>
      <w:tr w:rsidR="00C821D4" w14:paraId="14930902" w14:textId="77777777" w:rsidTr="00C821D4">
        <w:tc>
          <w:tcPr>
            <w:tcW w:w="2855" w:type="dxa"/>
          </w:tcPr>
          <w:p w14:paraId="67898856" w14:textId="03A5D289" w:rsidR="00C821D4" w:rsidRPr="003B21F4" w:rsidRDefault="003B21F4" w:rsidP="00D76E40">
            <w:pPr>
              <w:pStyle w:val="NoSpacing"/>
              <w:spacing w:line="360" w:lineRule="auto"/>
              <w:rPr>
                <w:rFonts w:ascii="Arial" w:hAnsi="Arial" w:cs="Arial"/>
                <w:sz w:val="22"/>
                <w:szCs w:val="22"/>
              </w:rPr>
            </w:pPr>
            <w:r>
              <w:rPr>
                <w:rFonts w:ascii="Arial" w:hAnsi="Arial" w:cs="Arial"/>
                <w:sz w:val="22"/>
                <w:szCs w:val="22"/>
              </w:rPr>
              <w:t>Continued Psy</w:t>
            </w:r>
            <w:r w:rsidR="00AD71B3">
              <w:rPr>
                <w:rFonts w:ascii="Arial" w:hAnsi="Arial" w:cs="Arial"/>
                <w:sz w:val="22"/>
                <w:szCs w:val="22"/>
              </w:rPr>
              <w:t>chological skills</w:t>
            </w:r>
          </w:p>
        </w:tc>
        <w:tc>
          <w:tcPr>
            <w:tcW w:w="7346" w:type="dxa"/>
          </w:tcPr>
          <w:p w14:paraId="22403737" w14:textId="2C2D14FB" w:rsidR="00C821D4" w:rsidRPr="00986F47" w:rsidRDefault="00986F47" w:rsidP="00D76E40">
            <w:pPr>
              <w:pStyle w:val="NoSpacing"/>
              <w:spacing w:line="360" w:lineRule="auto"/>
              <w:rPr>
                <w:rFonts w:ascii="Arial" w:hAnsi="Arial" w:cs="Arial"/>
                <w:sz w:val="22"/>
                <w:szCs w:val="22"/>
              </w:rPr>
            </w:pPr>
            <w:r>
              <w:rPr>
                <w:rFonts w:ascii="Arial" w:hAnsi="Arial" w:cs="Arial"/>
                <w:sz w:val="22"/>
                <w:szCs w:val="22"/>
              </w:rPr>
              <w:t>Supports ongoing use of</w:t>
            </w:r>
            <w:r w:rsidR="00AB6FA9">
              <w:rPr>
                <w:rFonts w:ascii="Arial" w:hAnsi="Arial" w:cs="Arial"/>
                <w:sz w:val="22"/>
                <w:szCs w:val="22"/>
              </w:rPr>
              <w:t xml:space="preserve"> </w:t>
            </w:r>
            <w:r w:rsidR="00D16C1B">
              <w:rPr>
                <w:rFonts w:ascii="Arial" w:hAnsi="Arial" w:cs="Arial"/>
                <w:sz w:val="22"/>
                <w:szCs w:val="22"/>
              </w:rPr>
              <w:t>Cognitive behavioural</w:t>
            </w:r>
            <w:r w:rsidR="0027601C">
              <w:rPr>
                <w:rFonts w:ascii="Arial" w:hAnsi="Arial" w:cs="Arial"/>
                <w:sz w:val="22"/>
                <w:szCs w:val="22"/>
              </w:rPr>
              <w:t xml:space="preserve"> therapy (CBT)</w:t>
            </w:r>
            <w:r w:rsidR="006C4471">
              <w:rPr>
                <w:rFonts w:ascii="Arial" w:hAnsi="Arial" w:cs="Arial"/>
                <w:sz w:val="22"/>
                <w:szCs w:val="22"/>
              </w:rPr>
              <w:t xml:space="preserve"> such as Cognitive restru</w:t>
            </w:r>
            <w:r w:rsidR="0050760B">
              <w:rPr>
                <w:rFonts w:ascii="Arial" w:hAnsi="Arial" w:cs="Arial"/>
                <w:sz w:val="22"/>
                <w:szCs w:val="22"/>
              </w:rPr>
              <w:t>cturing, Socratic questioning</w:t>
            </w:r>
            <w:r w:rsidR="00B96977">
              <w:rPr>
                <w:rFonts w:ascii="Arial" w:hAnsi="Arial" w:cs="Arial"/>
                <w:sz w:val="22"/>
                <w:szCs w:val="22"/>
              </w:rPr>
              <w:t xml:space="preserve">. </w:t>
            </w:r>
            <w:r w:rsidR="00FF2B47">
              <w:rPr>
                <w:rFonts w:ascii="Arial" w:hAnsi="Arial" w:cs="Arial"/>
                <w:sz w:val="22"/>
                <w:szCs w:val="22"/>
              </w:rPr>
              <w:t>Emotional regulation and problem solving.</w:t>
            </w:r>
          </w:p>
        </w:tc>
      </w:tr>
      <w:tr w:rsidR="00C821D4" w14:paraId="4EC99F24" w14:textId="77777777" w:rsidTr="00C821D4">
        <w:tc>
          <w:tcPr>
            <w:tcW w:w="2855" w:type="dxa"/>
          </w:tcPr>
          <w:p w14:paraId="67CD44E7" w14:textId="7BE65833" w:rsidR="00C821D4" w:rsidRPr="00AD71B3" w:rsidRDefault="002F7F0D" w:rsidP="00D76E40">
            <w:pPr>
              <w:pStyle w:val="NoSpacing"/>
              <w:spacing w:line="360" w:lineRule="auto"/>
              <w:rPr>
                <w:rFonts w:ascii="Arial" w:hAnsi="Arial" w:cs="Arial"/>
                <w:sz w:val="22"/>
                <w:szCs w:val="22"/>
              </w:rPr>
            </w:pPr>
            <w:r>
              <w:rPr>
                <w:rFonts w:ascii="Arial" w:hAnsi="Arial" w:cs="Arial"/>
                <w:sz w:val="22"/>
                <w:szCs w:val="22"/>
              </w:rPr>
              <w:t>Community-based</w:t>
            </w:r>
            <w:r w:rsidR="00AD71B3">
              <w:rPr>
                <w:rFonts w:ascii="Arial" w:hAnsi="Arial" w:cs="Arial"/>
                <w:sz w:val="22"/>
                <w:szCs w:val="22"/>
              </w:rPr>
              <w:t xml:space="preserve"> support</w:t>
            </w:r>
          </w:p>
        </w:tc>
        <w:tc>
          <w:tcPr>
            <w:tcW w:w="7346" w:type="dxa"/>
          </w:tcPr>
          <w:p w14:paraId="48D92E14" w14:textId="68BAE8EB" w:rsidR="00C821D4" w:rsidRPr="00290763" w:rsidRDefault="00290763" w:rsidP="00D76E40">
            <w:pPr>
              <w:pStyle w:val="NoSpacing"/>
              <w:spacing w:line="360" w:lineRule="auto"/>
              <w:rPr>
                <w:rFonts w:ascii="Arial" w:hAnsi="Arial" w:cs="Arial"/>
                <w:sz w:val="22"/>
                <w:szCs w:val="22"/>
              </w:rPr>
            </w:pPr>
            <w:r>
              <w:rPr>
                <w:rFonts w:ascii="Arial" w:hAnsi="Arial" w:cs="Arial"/>
                <w:sz w:val="22"/>
                <w:szCs w:val="22"/>
              </w:rPr>
              <w:t>Provides social connection and practical</w:t>
            </w:r>
            <w:r w:rsidR="0033623E">
              <w:rPr>
                <w:rFonts w:ascii="Arial" w:hAnsi="Arial" w:cs="Arial"/>
                <w:sz w:val="22"/>
                <w:szCs w:val="22"/>
              </w:rPr>
              <w:t xml:space="preserve"> assistance following formal treatment.</w:t>
            </w:r>
          </w:p>
        </w:tc>
      </w:tr>
      <w:tr w:rsidR="00C821D4" w14:paraId="50F62A85" w14:textId="77777777" w:rsidTr="00C821D4">
        <w:tc>
          <w:tcPr>
            <w:tcW w:w="2855" w:type="dxa"/>
          </w:tcPr>
          <w:p w14:paraId="27EAF4CE" w14:textId="77841DA9" w:rsidR="00C821D4" w:rsidRPr="00AD71B3" w:rsidRDefault="00AD71B3" w:rsidP="00D76E40">
            <w:pPr>
              <w:pStyle w:val="NoSpacing"/>
              <w:spacing w:line="360" w:lineRule="auto"/>
              <w:rPr>
                <w:rFonts w:ascii="Arial" w:hAnsi="Arial" w:cs="Arial"/>
                <w:sz w:val="22"/>
                <w:szCs w:val="22"/>
              </w:rPr>
            </w:pPr>
            <w:r>
              <w:rPr>
                <w:rFonts w:ascii="Arial" w:hAnsi="Arial" w:cs="Arial"/>
                <w:sz w:val="22"/>
                <w:szCs w:val="22"/>
              </w:rPr>
              <w:t>Employment</w:t>
            </w:r>
            <w:r w:rsidR="004134CA">
              <w:rPr>
                <w:rFonts w:ascii="Arial" w:hAnsi="Arial" w:cs="Arial"/>
                <w:sz w:val="22"/>
                <w:szCs w:val="22"/>
              </w:rPr>
              <w:t xml:space="preserve"> and education support</w:t>
            </w:r>
          </w:p>
        </w:tc>
        <w:tc>
          <w:tcPr>
            <w:tcW w:w="7346" w:type="dxa"/>
          </w:tcPr>
          <w:p w14:paraId="7BBE5CAC" w14:textId="59AFF762" w:rsidR="00C821D4" w:rsidRPr="0033623E" w:rsidRDefault="0033623E" w:rsidP="00D76E40">
            <w:pPr>
              <w:pStyle w:val="NoSpacing"/>
              <w:spacing w:line="360" w:lineRule="auto"/>
              <w:rPr>
                <w:rFonts w:ascii="Arial" w:hAnsi="Arial" w:cs="Arial"/>
                <w:sz w:val="22"/>
                <w:szCs w:val="22"/>
              </w:rPr>
            </w:pPr>
            <w:r>
              <w:rPr>
                <w:rFonts w:ascii="Arial" w:hAnsi="Arial" w:cs="Arial"/>
                <w:sz w:val="22"/>
                <w:szCs w:val="22"/>
              </w:rPr>
              <w:t>Reduces functional</w:t>
            </w:r>
            <w:r w:rsidR="00AB0E14">
              <w:rPr>
                <w:rFonts w:ascii="Arial" w:hAnsi="Arial" w:cs="Arial"/>
                <w:sz w:val="22"/>
                <w:szCs w:val="22"/>
              </w:rPr>
              <w:t xml:space="preserve"> impairment and supports social participation.</w:t>
            </w:r>
          </w:p>
        </w:tc>
      </w:tr>
      <w:tr w:rsidR="00C821D4" w14:paraId="3EB466B8" w14:textId="77777777" w:rsidTr="00C821D4">
        <w:tc>
          <w:tcPr>
            <w:tcW w:w="2855" w:type="dxa"/>
          </w:tcPr>
          <w:p w14:paraId="0ECA09DC" w14:textId="2A481843" w:rsidR="00C821D4" w:rsidRPr="004134CA" w:rsidRDefault="004134CA" w:rsidP="00D76E40">
            <w:pPr>
              <w:pStyle w:val="NoSpacing"/>
              <w:spacing w:line="360" w:lineRule="auto"/>
              <w:rPr>
                <w:rFonts w:ascii="Arial" w:hAnsi="Arial" w:cs="Arial"/>
                <w:sz w:val="22"/>
                <w:szCs w:val="22"/>
              </w:rPr>
            </w:pPr>
            <w:r>
              <w:rPr>
                <w:rFonts w:ascii="Arial" w:hAnsi="Arial" w:cs="Arial"/>
                <w:sz w:val="22"/>
                <w:szCs w:val="22"/>
              </w:rPr>
              <w:t>Social prescribing</w:t>
            </w:r>
          </w:p>
        </w:tc>
        <w:tc>
          <w:tcPr>
            <w:tcW w:w="7346" w:type="dxa"/>
          </w:tcPr>
          <w:p w14:paraId="77E8F2B8" w14:textId="27778E5F" w:rsidR="00C821D4" w:rsidRPr="00AB0E14" w:rsidRDefault="00AB0E14" w:rsidP="00D76E40">
            <w:pPr>
              <w:pStyle w:val="NoSpacing"/>
              <w:spacing w:line="360" w:lineRule="auto"/>
              <w:rPr>
                <w:rFonts w:ascii="Arial" w:hAnsi="Arial" w:cs="Arial"/>
                <w:sz w:val="22"/>
                <w:szCs w:val="22"/>
              </w:rPr>
            </w:pPr>
            <w:r>
              <w:rPr>
                <w:rFonts w:ascii="Arial" w:hAnsi="Arial" w:cs="Arial"/>
                <w:sz w:val="22"/>
                <w:szCs w:val="22"/>
              </w:rPr>
              <w:t>Connects individuals with community activities that promote</w:t>
            </w:r>
            <w:r w:rsidR="00FE3AAB">
              <w:rPr>
                <w:rFonts w:ascii="Arial" w:hAnsi="Arial" w:cs="Arial"/>
                <w:sz w:val="22"/>
                <w:szCs w:val="22"/>
              </w:rPr>
              <w:t xml:space="preserve"> wellbeing.</w:t>
            </w:r>
          </w:p>
        </w:tc>
      </w:tr>
    </w:tbl>
    <w:p w14:paraId="7F108F7A" w14:textId="77777777" w:rsidR="00E25C2B" w:rsidRDefault="00E25C2B" w:rsidP="000B798E">
      <w:pPr>
        <w:pStyle w:val="NoSpacing"/>
        <w:spacing w:line="360" w:lineRule="auto"/>
        <w:rPr>
          <w:rFonts w:ascii="Arial" w:hAnsi="Arial" w:cs="Arial"/>
          <w:sz w:val="22"/>
          <w:szCs w:val="22"/>
        </w:rPr>
      </w:pPr>
    </w:p>
    <w:p w14:paraId="6338A5BC" w14:textId="77777777" w:rsidR="00815E6E" w:rsidRDefault="00815E6E" w:rsidP="000B798E">
      <w:pPr>
        <w:pStyle w:val="NoSpacing"/>
        <w:spacing w:line="360" w:lineRule="auto"/>
        <w:rPr>
          <w:rFonts w:ascii="Arial" w:hAnsi="Arial" w:cs="Arial"/>
          <w:sz w:val="22"/>
          <w:szCs w:val="22"/>
        </w:rPr>
      </w:pPr>
    </w:p>
    <w:p w14:paraId="09486AEF" w14:textId="7BC0001C" w:rsidR="001E0A2A" w:rsidRDefault="001E0A2A" w:rsidP="001E0A2A">
      <w:pPr>
        <w:pStyle w:val="NoSpacing"/>
        <w:spacing w:line="360" w:lineRule="auto"/>
        <w:rPr>
          <w:rFonts w:ascii="Arial" w:hAnsi="Arial" w:cs="Arial"/>
          <w:sz w:val="22"/>
          <w:szCs w:val="22"/>
        </w:rPr>
      </w:pPr>
      <w:r w:rsidRPr="001E0A2A">
        <w:rPr>
          <w:rFonts w:ascii="Arial" w:hAnsi="Arial" w:cs="Arial"/>
          <w:sz w:val="22"/>
          <w:szCs w:val="22"/>
        </w:rPr>
        <w:t>Within NHS services, recovery-focused care increasingly involves collaboration between healthcare professionals, social care services, and voluntary organisations. NHS Talking Therapies provides structured psychological interventions; however, continued support after therapy completion remains variable.</w:t>
      </w:r>
    </w:p>
    <w:p w14:paraId="603890D0" w14:textId="77777777" w:rsidR="00C37850" w:rsidRPr="001E0A2A" w:rsidRDefault="00C37850" w:rsidP="001E0A2A">
      <w:pPr>
        <w:pStyle w:val="NoSpacing"/>
        <w:spacing w:line="360" w:lineRule="auto"/>
        <w:rPr>
          <w:rFonts w:ascii="Arial" w:hAnsi="Arial" w:cs="Arial"/>
          <w:sz w:val="22"/>
          <w:szCs w:val="22"/>
        </w:rPr>
      </w:pPr>
    </w:p>
    <w:p w14:paraId="3A3B1343" w14:textId="176507E7" w:rsidR="001E0A2A" w:rsidRPr="001E0A2A" w:rsidRDefault="001E0A2A" w:rsidP="001E0A2A">
      <w:pPr>
        <w:pStyle w:val="NoSpacing"/>
        <w:spacing w:line="360" w:lineRule="auto"/>
        <w:rPr>
          <w:rFonts w:ascii="Arial" w:hAnsi="Arial" w:cs="Arial"/>
          <w:sz w:val="22"/>
          <w:szCs w:val="22"/>
        </w:rPr>
      </w:pPr>
      <w:proofErr w:type="spellStart"/>
      <w:r w:rsidRPr="001E0A2A">
        <w:rPr>
          <w:rFonts w:ascii="Arial" w:hAnsi="Arial" w:cs="Arial"/>
          <w:sz w:val="22"/>
          <w:szCs w:val="22"/>
        </w:rPr>
        <w:t>Verbist</w:t>
      </w:r>
      <w:proofErr w:type="spellEnd"/>
      <w:r w:rsidRPr="001E0A2A">
        <w:rPr>
          <w:rFonts w:ascii="Arial" w:hAnsi="Arial" w:cs="Arial"/>
          <w:sz w:val="22"/>
          <w:szCs w:val="22"/>
        </w:rPr>
        <w:t xml:space="preserve"> et al. (2024) highlight the importance of patient and public involvement within NHS Talking Therapies, arguing that services are </w:t>
      </w:r>
      <w:r w:rsidR="001670C7">
        <w:rPr>
          <w:rFonts w:ascii="Arial" w:hAnsi="Arial" w:cs="Arial"/>
          <w:sz w:val="22"/>
          <w:szCs w:val="22"/>
        </w:rPr>
        <w:t>stronger</w:t>
      </w:r>
      <w:r w:rsidRPr="001E0A2A">
        <w:rPr>
          <w:rFonts w:ascii="Arial" w:hAnsi="Arial" w:cs="Arial"/>
          <w:sz w:val="22"/>
          <w:szCs w:val="22"/>
        </w:rPr>
        <w:t xml:space="preserve"> when lived experience informs service development. This is particularly relevant for GAD, where individual experiences of worry, avoidance and functional impairment differ considerably.</w:t>
      </w:r>
    </w:p>
    <w:p w14:paraId="075ED346" w14:textId="15DEAA3D" w:rsidR="001E0A2A" w:rsidRDefault="001E0A2A" w:rsidP="001E0A2A">
      <w:pPr>
        <w:pStyle w:val="NoSpacing"/>
        <w:spacing w:line="360" w:lineRule="auto"/>
        <w:rPr>
          <w:rFonts w:ascii="Arial" w:hAnsi="Arial" w:cs="Arial"/>
          <w:sz w:val="22"/>
          <w:szCs w:val="22"/>
        </w:rPr>
      </w:pPr>
      <w:r w:rsidRPr="001E0A2A">
        <w:rPr>
          <w:rFonts w:ascii="Arial" w:hAnsi="Arial" w:cs="Arial"/>
          <w:sz w:val="22"/>
          <w:szCs w:val="22"/>
        </w:rPr>
        <w:t xml:space="preserve">Social and environmental factors also influence rehabilitation outcomes. Individuals with GAD may experience difficulties maintaining employment, </w:t>
      </w:r>
      <w:r w:rsidR="001670C7" w:rsidRPr="001E0A2A">
        <w:rPr>
          <w:rFonts w:ascii="Arial" w:hAnsi="Arial" w:cs="Arial"/>
          <w:sz w:val="22"/>
          <w:szCs w:val="22"/>
        </w:rPr>
        <w:t>relationships,</w:t>
      </w:r>
      <w:r w:rsidRPr="001E0A2A">
        <w:rPr>
          <w:rFonts w:ascii="Arial" w:hAnsi="Arial" w:cs="Arial"/>
          <w:sz w:val="22"/>
          <w:szCs w:val="22"/>
        </w:rPr>
        <w:t xml:space="preserve"> and independence due to persistent anxiety symptoms. Therefore, effective rehabilitation requires consideration of wider determinants of health, including financial insecurity, housing </w:t>
      </w:r>
      <w:r w:rsidR="001670C7" w:rsidRPr="001E0A2A">
        <w:rPr>
          <w:rFonts w:ascii="Arial" w:hAnsi="Arial" w:cs="Arial"/>
          <w:sz w:val="22"/>
          <w:szCs w:val="22"/>
        </w:rPr>
        <w:t>challenges,</w:t>
      </w:r>
      <w:r w:rsidRPr="001E0A2A">
        <w:rPr>
          <w:rFonts w:ascii="Arial" w:hAnsi="Arial" w:cs="Arial"/>
          <w:sz w:val="22"/>
          <w:szCs w:val="22"/>
        </w:rPr>
        <w:t xml:space="preserve"> and social isolation.</w:t>
      </w:r>
    </w:p>
    <w:p w14:paraId="1F1C97C9" w14:textId="77777777" w:rsidR="00E64EA8" w:rsidRDefault="00E64EA8" w:rsidP="001E0A2A">
      <w:pPr>
        <w:pStyle w:val="NoSpacing"/>
        <w:spacing w:line="360" w:lineRule="auto"/>
        <w:rPr>
          <w:rFonts w:ascii="Arial" w:hAnsi="Arial" w:cs="Arial"/>
          <w:sz w:val="22"/>
          <w:szCs w:val="22"/>
        </w:rPr>
      </w:pPr>
    </w:p>
    <w:p w14:paraId="0948D32A" w14:textId="77777777" w:rsidR="00D33BDB" w:rsidRPr="00D33BDB" w:rsidRDefault="00D33BDB" w:rsidP="00D33BDB">
      <w:pPr>
        <w:pStyle w:val="NoSpacing"/>
        <w:spacing w:line="360" w:lineRule="auto"/>
        <w:rPr>
          <w:rFonts w:ascii="Arial" w:hAnsi="Arial" w:cs="Arial"/>
          <w:sz w:val="22"/>
          <w:szCs w:val="22"/>
        </w:rPr>
      </w:pPr>
      <w:r w:rsidRPr="00D33BDB">
        <w:rPr>
          <w:rFonts w:ascii="Arial" w:hAnsi="Arial" w:cs="Arial"/>
          <w:sz w:val="22"/>
          <w:szCs w:val="22"/>
        </w:rPr>
        <w:t xml:space="preserve">The Care Act 2014 supports this approach by requiring local authorities to assess eligible care needs and promote wellbeing. Although GAD alone rarely results in compulsory </w:t>
      </w:r>
      <w:r w:rsidRPr="00D33BDB">
        <w:rPr>
          <w:rFonts w:ascii="Arial" w:hAnsi="Arial" w:cs="Arial"/>
          <w:sz w:val="22"/>
          <w:szCs w:val="22"/>
        </w:rPr>
        <w:lastRenderedPageBreak/>
        <w:t>treatment, the Mental Health Act 1983 (amended 2007) remains relevant where severe mental health difficulties coexist and require additional legal safeguards.</w:t>
      </w:r>
    </w:p>
    <w:p w14:paraId="49D9A49C" w14:textId="77777777" w:rsidR="00D33BDB" w:rsidRPr="00D33BDB" w:rsidRDefault="00D33BDB" w:rsidP="00D33BDB">
      <w:pPr>
        <w:pStyle w:val="NoSpacing"/>
        <w:spacing w:line="360" w:lineRule="auto"/>
        <w:rPr>
          <w:rFonts w:ascii="Arial" w:hAnsi="Arial" w:cs="Arial"/>
          <w:sz w:val="22"/>
          <w:szCs w:val="22"/>
        </w:rPr>
      </w:pPr>
    </w:p>
    <w:p w14:paraId="3D8CD0E9" w14:textId="77777777" w:rsidR="00D33BDB" w:rsidRPr="00D33BDB" w:rsidRDefault="00D33BDB" w:rsidP="00D33BDB">
      <w:pPr>
        <w:pStyle w:val="NoSpacing"/>
        <w:spacing w:line="360" w:lineRule="auto"/>
        <w:rPr>
          <w:rFonts w:ascii="Arial" w:hAnsi="Arial" w:cs="Arial"/>
          <w:sz w:val="22"/>
          <w:szCs w:val="22"/>
        </w:rPr>
      </w:pPr>
      <w:r w:rsidRPr="00D33BDB">
        <w:rPr>
          <w:rFonts w:ascii="Arial" w:hAnsi="Arial" w:cs="Arial"/>
          <w:sz w:val="22"/>
          <w:szCs w:val="22"/>
        </w:rPr>
        <w:t>A continuing limitation within UK services is the gap between completing treatment and receiving ongoing support. Strengthening community-based interventions, relapse prevention and integrated care pathways is therefore essential to prevent deterioration and reduce repeated reliance on crisis services.</w:t>
      </w:r>
    </w:p>
    <w:p w14:paraId="5E37451F" w14:textId="77777777" w:rsidR="00D33BDB" w:rsidRPr="00D33BDB" w:rsidRDefault="00D33BDB" w:rsidP="00D33BDB">
      <w:pPr>
        <w:pStyle w:val="NoSpacing"/>
        <w:spacing w:line="360" w:lineRule="auto"/>
        <w:rPr>
          <w:rFonts w:ascii="Arial" w:hAnsi="Arial" w:cs="Arial"/>
          <w:sz w:val="22"/>
          <w:szCs w:val="22"/>
        </w:rPr>
      </w:pPr>
    </w:p>
    <w:p w14:paraId="0963A53C" w14:textId="77777777" w:rsidR="00D33BDB" w:rsidRPr="00D33BDB" w:rsidRDefault="00D33BDB" w:rsidP="00D33BDB">
      <w:pPr>
        <w:pStyle w:val="NoSpacing"/>
        <w:spacing w:line="360" w:lineRule="auto"/>
        <w:rPr>
          <w:rFonts w:ascii="Arial" w:hAnsi="Arial" w:cs="Arial"/>
          <w:sz w:val="22"/>
          <w:szCs w:val="22"/>
        </w:rPr>
      </w:pPr>
    </w:p>
    <w:p w14:paraId="4EC6A2A6" w14:textId="766D6484" w:rsidR="00D33BDB" w:rsidRDefault="00D33BDB" w:rsidP="00D33BDB">
      <w:pPr>
        <w:pStyle w:val="NoSpacing"/>
        <w:spacing w:line="360" w:lineRule="auto"/>
        <w:rPr>
          <w:rFonts w:ascii="Arial" w:hAnsi="Arial" w:cs="Arial"/>
          <w:b/>
          <w:bCs/>
          <w:sz w:val="22"/>
          <w:szCs w:val="22"/>
        </w:rPr>
      </w:pPr>
      <w:r w:rsidRPr="002B0ACA">
        <w:rPr>
          <w:rFonts w:ascii="Arial" w:hAnsi="Arial" w:cs="Arial"/>
          <w:b/>
          <w:bCs/>
          <w:sz w:val="22"/>
          <w:szCs w:val="22"/>
        </w:rPr>
        <w:t>Current Debates &amp; Emerging Issues</w:t>
      </w:r>
      <w:r w:rsidR="002B0ACA">
        <w:rPr>
          <w:rFonts w:ascii="Arial" w:hAnsi="Arial" w:cs="Arial"/>
          <w:b/>
          <w:bCs/>
          <w:sz w:val="22"/>
          <w:szCs w:val="22"/>
        </w:rPr>
        <w:t>:</w:t>
      </w:r>
    </w:p>
    <w:p w14:paraId="278878FB" w14:textId="77777777" w:rsidR="0072036F" w:rsidRDefault="0072036F" w:rsidP="00D33BDB">
      <w:pPr>
        <w:pStyle w:val="NoSpacing"/>
        <w:spacing w:line="360" w:lineRule="auto"/>
        <w:rPr>
          <w:rFonts w:ascii="Arial" w:hAnsi="Arial" w:cs="Arial"/>
          <w:b/>
          <w:bCs/>
          <w:sz w:val="22"/>
          <w:szCs w:val="22"/>
        </w:rPr>
      </w:pPr>
    </w:p>
    <w:p w14:paraId="5DCCCC94" w14:textId="3EA9594C" w:rsidR="007A4AF0"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The understanding and management of GAD continue to evolve, with current debates focusing on diagnostic boundaries, neurodivergence and emerging treatments. Although ICD-11 provides a structured framework for diagnosing GAD, questions remain regarding whether current classifications adequately represent individual experiences of anxiety.</w:t>
      </w:r>
    </w:p>
    <w:p w14:paraId="14D14194" w14:textId="77777777" w:rsidR="007A4AF0" w:rsidRPr="007A4AF0" w:rsidRDefault="007A4AF0" w:rsidP="007A4AF0">
      <w:pPr>
        <w:pStyle w:val="NoSpacing"/>
        <w:spacing w:line="360" w:lineRule="auto"/>
        <w:rPr>
          <w:rFonts w:ascii="Arial" w:hAnsi="Arial" w:cs="Arial"/>
          <w:sz w:val="22"/>
          <w:szCs w:val="22"/>
        </w:rPr>
      </w:pPr>
    </w:p>
    <w:p w14:paraId="3ACD8F40" w14:textId="58E8A7B7" w:rsidR="007A4AF0"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A key debate concerns the distinction between normal anxiety and mental disorder. Craske et al. (2023) argue that anxiety exists on a continuum, requiring clinicians to distinguish adaptive emotional responses from symptoms causing significant distress or functional impairment. Consequently, diagnostic systems must balance accurate identification with avoiding unnecessary medicalisation. While ICD-11 has improved diagnostic clarity, anxiety disorders frequently overlap, making definitive diagnostic boundaries difficult to establish (Reed et al., 2022).</w:t>
      </w:r>
    </w:p>
    <w:p w14:paraId="7AFD64D6" w14:textId="77777777" w:rsidR="007A4AF0" w:rsidRPr="007A4AF0" w:rsidRDefault="007A4AF0" w:rsidP="007A4AF0">
      <w:pPr>
        <w:pStyle w:val="NoSpacing"/>
        <w:spacing w:line="360" w:lineRule="auto"/>
        <w:rPr>
          <w:rFonts w:ascii="Arial" w:hAnsi="Arial" w:cs="Arial"/>
          <w:sz w:val="22"/>
          <w:szCs w:val="22"/>
        </w:rPr>
      </w:pPr>
    </w:p>
    <w:p w14:paraId="661256BB" w14:textId="75448FD8" w:rsidR="007A4AF0"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 xml:space="preserve">Neurodivergence has further challenged traditional diagnostic frameworks. Individuals with autism spectrum disorder (ASD) and attention-deficit/hyperactivity disorder (ADHD) may experience anxiety arising from sensory sensitivities, executive functioning </w:t>
      </w:r>
      <w:r w:rsidR="00F55621" w:rsidRPr="007A4AF0">
        <w:rPr>
          <w:rFonts w:ascii="Arial" w:hAnsi="Arial" w:cs="Arial"/>
          <w:sz w:val="22"/>
          <w:szCs w:val="22"/>
        </w:rPr>
        <w:t>difficulties,</w:t>
      </w:r>
      <w:r w:rsidRPr="007A4AF0">
        <w:rPr>
          <w:rFonts w:ascii="Arial" w:hAnsi="Arial" w:cs="Arial"/>
          <w:sz w:val="22"/>
          <w:szCs w:val="22"/>
        </w:rPr>
        <w:t xml:space="preserve"> or social demands rather than as an isolated anxiety disorder. Kertz et al. (2021) suggest that neuropsychological differences influence symptom presentation, emphasising the need for holistic assessments that consider neurodevelopmental factors alongside psychological symptoms. Failure to do so may result in diagnostic overshadowing or inappropriate treatment.</w:t>
      </w:r>
    </w:p>
    <w:p w14:paraId="689640D6" w14:textId="77777777" w:rsidR="007A4AF0" w:rsidRPr="007A4AF0" w:rsidRDefault="007A4AF0" w:rsidP="007A4AF0">
      <w:pPr>
        <w:pStyle w:val="NoSpacing"/>
        <w:spacing w:line="360" w:lineRule="auto"/>
        <w:rPr>
          <w:rFonts w:ascii="Arial" w:hAnsi="Arial" w:cs="Arial"/>
          <w:sz w:val="22"/>
          <w:szCs w:val="22"/>
        </w:rPr>
      </w:pPr>
    </w:p>
    <w:p w14:paraId="67424A13" w14:textId="68D0F67B" w:rsidR="007A4AF0"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 xml:space="preserve">Another emerging debate concerns whether excessive worry should remain a mandatory diagnostic criterion for GAD. Ruscio et al. (2024) argue that current criteria may exclude individuals experiencing clinically significant impairment without persistent worry. However, </w:t>
      </w:r>
      <w:r w:rsidRPr="007A4AF0">
        <w:rPr>
          <w:rFonts w:ascii="Arial" w:hAnsi="Arial" w:cs="Arial"/>
          <w:sz w:val="22"/>
          <w:szCs w:val="22"/>
        </w:rPr>
        <w:lastRenderedPageBreak/>
        <w:t xml:space="preserve">removing this requirement could reduce diagnostic specificity and increase the risk of </w:t>
      </w:r>
      <w:r w:rsidR="00B535C8">
        <w:rPr>
          <w:rFonts w:ascii="Arial" w:hAnsi="Arial" w:cs="Arial"/>
          <w:sz w:val="22"/>
          <w:szCs w:val="22"/>
        </w:rPr>
        <w:t>overdiagnosis</w:t>
      </w:r>
      <w:r w:rsidRPr="007A4AF0">
        <w:rPr>
          <w:rFonts w:ascii="Arial" w:hAnsi="Arial" w:cs="Arial"/>
          <w:sz w:val="22"/>
          <w:szCs w:val="22"/>
        </w:rPr>
        <w:t>.</w:t>
      </w:r>
    </w:p>
    <w:p w14:paraId="7520B02A" w14:textId="77777777" w:rsidR="007A4AF0" w:rsidRPr="007A4AF0" w:rsidRDefault="007A4AF0" w:rsidP="007A4AF0">
      <w:pPr>
        <w:pStyle w:val="NoSpacing"/>
        <w:spacing w:line="360" w:lineRule="auto"/>
        <w:rPr>
          <w:rFonts w:ascii="Arial" w:hAnsi="Arial" w:cs="Arial"/>
          <w:sz w:val="22"/>
          <w:szCs w:val="22"/>
        </w:rPr>
      </w:pPr>
    </w:p>
    <w:p w14:paraId="02131F5E" w14:textId="23F91615" w:rsidR="007A4AF0"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 xml:space="preserve">Treatment innovation is also reshaping GAD management. Parsons et al. (2025) found that digital cognitive behavioural therapy (CBT) improves treatment accessibility and reduces anxiety symptoms. Nevertheless, digital exclusion, confidentiality </w:t>
      </w:r>
      <w:r w:rsidR="00F55621" w:rsidRPr="007A4AF0">
        <w:rPr>
          <w:rFonts w:ascii="Arial" w:hAnsi="Arial" w:cs="Arial"/>
          <w:sz w:val="22"/>
          <w:szCs w:val="22"/>
        </w:rPr>
        <w:t>concerns,</w:t>
      </w:r>
      <w:r w:rsidRPr="007A4AF0">
        <w:rPr>
          <w:rFonts w:ascii="Arial" w:hAnsi="Arial" w:cs="Arial"/>
          <w:sz w:val="22"/>
          <w:szCs w:val="22"/>
        </w:rPr>
        <w:t xml:space="preserve"> and reduced suitability for individuals with complex mental health needs remain significant limitations. Similarly, Berg et al. (2025) suggest that </w:t>
      </w:r>
      <w:r w:rsidR="00B535C8" w:rsidRPr="007A4AF0">
        <w:rPr>
          <w:rFonts w:ascii="Arial" w:hAnsi="Arial" w:cs="Arial"/>
          <w:sz w:val="22"/>
          <w:szCs w:val="22"/>
        </w:rPr>
        <w:t>neurobehavioral</w:t>
      </w:r>
      <w:r w:rsidRPr="007A4AF0">
        <w:rPr>
          <w:rFonts w:ascii="Arial" w:hAnsi="Arial" w:cs="Arial"/>
          <w:sz w:val="22"/>
          <w:szCs w:val="22"/>
        </w:rPr>
        <w:t xml:space="preserve"> markers may support more personalised interventions, although further evidence is required before routine NHS implementation.</w:t>
      </w:r>
    </w:p>
    <w:p w14:paraId="32A7000A" w14:textId="77777777" w:rsidR="007A4AF0" w:rsidRPr="007A4AF0" w:rsidRDefault="007A4AF0" w:rsidP="007A4AF0">
      <w:pPr>
        <w:pStyle w:val="NoSpacing"/>
        <w:spacing w:line="360" w:lineRule="auto"/>
        <w:rPr>
          <w:rFonts w:ascii="Arial" w:hAnsi="Arial" w:cs="Arial"/>
          <w:sz w:val="22"/>
          <w:szCs w:val="22"/>
        </w:rPr>
      </w:pPr>
    </w:p>
    <w:p w14:paraId="4744EA7B" w14:textId="4BB93D87" w:rsidR="0072036F" w:rsidRPr="007A4AF0" w:rsidRDefault="007A4AF0" w:rsidP="007A4AF0">
      <w:pPr>
        <w:pStyle w:val="NoSpacing"/>
        <w:spacing w:line="360" w:lineRule="auto"/>
        <w:rPr>
          <w:rFonts w:ascii="Arial" w:hAnsi="Arial" w:cs="Arial"/>
          <w:sz w:val="22"/>
          <w:szCs w:val="22"/>
        </w:rPr>
      </w:pPr>
      <w:r w:rsidRPr="007A4AF0">
        <w:rPr>
          <w:rFonts w:ascii="Arial" w:hAnsi="Arial" w:cs="Arial"/>
          <w:sz w:val="22"/>
          <w:szCs w:val="22"/>
        </w:rPr>
        <w:t>Finally, the Equality Act 2010 has strengthened legal protection for individuals experiencing mental health conditions. Despite this, stigma and inconsistent workplace adjustments continue to affect disclosure, access to support and recovery. Overall, contemporary evidence supports more personalised, inclusive and flexible approaches while maintaining robust diagnostic standards.</w:t>
      </w:r>
    </w:p>
    <w:p w14:paraId="2FB90CF7" w14:textId="77777777" w:rsidR="002B0ACA" w:rsidRPr="002B0ACA" w:rsidRDefault="002B0ACA" w:rsidP="00D33BDB">
      <w:pPr>
        <w:pStyle w:val="NoSpacing"/>
        <w:spacing w:line="360" w:lineRule="auto"/>
        <w:rPr>
          <w:rFonts w:ascii="Arial" w:hAnsi="Arial" w:cs="Arial"/>
          <w:b/>
          <w:bCs/>
          <w:sz w:val="22"/>
          <w:szCs w:val="22"/>
        </w:rPr>
      </w:pPr>
    </w:p>
    <w:p w14:paraId="355A8875" w14:textId="77777777" w:rsidR="00D33BDB" w:rsidRPr="00D33BDB" w:rsidRDefault="00D33BDB" w:rsidP="00D33BDB">
      <w:pPr>
        <w:pStyle w:val="NoSpacing"/>
        <w:spacing w:line="360" w:lineRule="auto"/>
        <w:rPr>
          <w:rFonts w:ascii="Arial" w:hAnsi="Arial" w:cs="Arial"/>
          <w:sz w:val="22"/>
          <w:szCs w:val="22"/>
        </w:rPr>
      </w:pPr>
    </w:p>
    <w:p w14:paraId="7E1875D6" w14:textId="77777777" w:rsidR="00230661" w:rsidRPr="00230661" w:rsidRDefault="00230661" w:rsidP="00230661">
      <w:pPr>
        <w:pStyle w:val="NoSpacing"/>
        <w:spacing w:line="360" w:lineRule="auto"/>
        <w:rPr>
          <w:rFonts w:ascii="Arial" w:hAnsi="Arial" w:cs="Arial"/>
          <w:sz w:val="22"/>
          <w:szCs w:val="22"/>
        </w:rPr>
      </w:pPr>
    </w:p>
    <w:p w14:paraId="1C9E466C" w14:textId="7076FA29" w:rsidR="003105B7" w:rsidRDefault="003105B7" w:rsidP="003105B7">
      <w:pPr>
        <w:pStyle w:val="NoSpacing"/>
        <w:spacing w:line="360" w:lineRule="auto"/>
        <w:rPr>
          <w:rFonts w:ascii="Arial" w:hAnsi="Arial" w:cs="Arial"/>
          <w:b/>
          <w:bCs/>
          <w:sz w:val="22"/>
          <w:szCs w:val="22"/>
        </w:rPr>
      </w:pPr>
      <w:r w:rsidRPr="00B535C8">
        <w:rPr>
          <w:rFonts w:ascii="Arial" w:hAnsi="Arial" w:cs="Arial"/>
          <w:b/>
          <w:bCs/>
          <w:sz w:val="22"/>
          <w:szCs w:val="22"/>
        </w:rPr>
        <w:t>Recommendations</w:t>
      </w:r>
      <w:r w:rsidR="00B535C8">
        <w:rPr>
          <w:rFonts w:ascii="Arial" w:hAnsi="Arial" w:cs="Arial"/>
          <w:b/>
          <w:bCs/>
          <w:sz w:val="22"/>
          <w:szCs w:val="22"/>
        </w:rPr>
        <w:t>:</w:t>
      </w:r>
    </w:p>
    <w:p w14:paraId="4DC59E04" w14:textId="74E3A614" w:rsidR="003105B7" w:rsidRPr="003105B7" w:rsidRDefault="003105B7" w:rsidP="003105B7">
      <w:pPr>
        <w:pStyle w:val="NoSpacing"/>
        <w:spacing w:line="360" w:lineRule="auto"/>
        <w:rPr>
          <w:rFonts w:ascii="Arial" w:hAnsi="Arial" w:cs="Arial"/>
          <w:sz w:val="22"/>
          <w:szCs w:val="22"/>
        </w:rPr>
      </w:pPr>
    </w:p>
    <w:p w14:paraId="314BE488" w14:textId="77777777" w:rsidR="003105B7" w:rsidRPr="003105B7" w:rsidRDefault="003105B7" w:rsidP="003105B7">
      <w:pPr>
        <w:pStyle w:val="NoSpacing"/>
        <w:spacing w:line="360" w:lineRule="auto"/>
        <w:rPr>
          <w:rFonts w:ascii="Arial" w:hAnsi="Arial" w:cs="Arial"/>
          <w:sz w:val="22"/>
          <w:szCs w:val="22"/>
        </w:rPr>
      </w:pPr>
    </w:p>
    <w:p w14:paraId="478B1085" w14:textId="7DC56668" w:rsidR="003105B7" w:rsidRPr="00FF783A" w:rsidRDefault="003105B7" w:rsidP="001F6E1D">
      <w:pPr>
        <w:pStyle w:val="NoSpacing"/>
        <w:numPr>
          <w:ilvl w:val="0"/>
          <w:numId w:val="4"/>
        </w:numPr>
        <w:spacing w:line="360" w:lineRule="auto"/>
        <w:rPr>
          <w:rFonts w:ascii="Arial" w:hAnsi="Arial" w:cs="Arial"/>
          <w:b/>
          <w:bCs/>
          <w:sz w:val="22"/>
          <w:szCs w:val="22"/>
        </w:rPr>
      </w:pPr>
      <w:r w:rsidRPr="00FF783A">
        <w:rPr>
          <w:rFonts w:ascii="Arial" w:hAnsi="Arial" w:cs="Arial"/>
          <w:b/>
          <w:bCs/>
          <w:sz w:val="22"/>
          <w:szCs w:val="22"/>
        </w:rPr>
        <w:t xml:space="preserve">Strengthen diagnostic </w:t>
      </w:r>
      <w:r w:rsidR="001F6E1D" w:rsidRPr="00FF783A">
        <w:rPr>
          <w:rFonts w:ascii="Arial" w:hAnsi="Arial" w:cs="Arial"/>
          <w:b/>
          <w:bCs/>
          <w:sz w:val="22"/>
          <w:szCs w:val="22"/>
        </w:rPr>
        <w:t>pathways</w:t>
      </w:r>
      <w:r w:rsidR="001F6E1D">
        <w:rPr>
          <w:rFonts w:ascii="Arial" w:hAnsi="Arial" w:cs="Arial"/>
          <w:b/>
          <w:bCs/>
          <w:sz w:val="22"/>
          <w:szCs w:val="22"/>
        </w:rPr>
        <w:t>.</w:t>
      </w:r>
    </w:p>
    <w:p w14:paraId="3D05935C" w14:textId="77777777" w:rsidR="003105B7" w:rsidRPr="003105B7" w:rsidRDefault="003105B7" w:rsidP="003105B7">
      <w:pPr>
        <w:pStyle w:val="NoSpacing"/>
        <w:spacing w:line="360" w:lineRule="auto"/>
        <w:rPr>
          <w:rFonts w:ascii="Arial" w:hAnsi="Arial" w:cs="Arial"/>
          <w:sz w:val="22"/>
          <w:szCs w:val="22"/>
        </w:rPr>
      </w:pPr>
    </w:p>
    <w:p w14:paraId="19F3107C" w14:textId="7C9BB62A"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 xml:space="preserve">Assessment should incorporate neurodevelopmental screening, cultural </w:t>
      </w:r>
      <w:r w:rsidR="00F55621" w:rsidRPr="003105B7">
        <w:rPr>
          <w:rFonts w:ascii="Arial" w:hAnsi="Arial" w:cs="Arial"/>
          <w:sz w:val="22"/>
          <w:szCs w:val="22"/>
        </w:rPr>
        <w:t>considerations,</w:t>
      </w:r>
      <w:r w:rsidRPr="003105B7">
        <w:rPr>
          <w:rFonts w:ascii="Arial" w:hAnsi="Arial" w:cs="Arial"/>
          <w:sz w:val="22"/>
          <w:szCs w:val="22"/>
        </w:rPr>
        <w:t xml:space="preserve"> and functional impact alongside symptom assessment. This would reduce misdiagnosis and support more personalised care.</w:t>
      </w:r>
    </w:p>
    <w:p w14:paraId="1CCC1348" w14:textId="77777777" w:rsidR="003105B7" w:rsidRPr="003105B7" w:rsidRDefault="003105B7" w:rsidP="003105B7">
      <w:pPr>
        <w:pStyle w:val="NoSpacing"/>
        <w:spacing w:line="360" w:lineRule="auto"/>
        <w:rPr>
          <w:rFonts w:ascii="Arial" w:hAnsi="Arial" w:cs="Arial"/>
          <w:sz w:val="22"/>
          <w:szCs w:val="22"/>
        </w:rPr>
      </w:pPr>
    </w:p>
    <w:p w14:paraId="5C0C6767" w14:textId="18F69E4B" w:rsidR="003105B7" w:rsidRPr="001F6E1D" w:rsidRDefault="003105B7" w:rsidP="001F6E1D">
      <w:pPr>
        <w:pStyle w:val="NoSpacing"/>
        <w:numPr>
          <w:ilvl w:val="0"/>
          <w:numId w:val="4"/>
        </w:numPr>
        <w:spacing w:line="360" w:lineRule="auto"/>
        <w:rPr>
          <w:rFonts w:ascii="Arial" w:hAnsi="Arial" w:cs="Arial"/>
          <w:b/>
          <w:bCs/>
          <w:sz w:val="22"/>
          <w:szCs w:val="22"/>
        </w:rPr>
      </w:pPr>
      <w:r w:rsidRPr="001F6E1D">
        <w:rPr>
          <w:rFonts w:ascii="Arial" w:hAnsi="Arial" w:cs="Arial"/>
          <w:b/>
          <w:bCs/>
          <w:sz w:val="22"/>
          <w:szCs w:val="22"/>
        </w:rPr>
        <w:t>Improve access to psychological therapies</w:t>
      </w:r>
      <w:r w:rsidR="001F6E1D">
        <w:rPr>
          <w:rFonts w:ascii="Arial" w:hAnsi="Arial" w:cs="Arial"/>
          <w:b/>
          <w:bCs/>
          <w:sz w:val="22"/>
          <w:szCs w:val="22"/>
        </w:rPr>
        <w:t>.</w:t>
      </w:r>
    </w:p>
    <w:p w14:paraId="62E7C7BD" w14:textId="77777777" w:rsidR="003105B7" w:rsidRPr="003105B7" w:rsidRDefault="003105B7" w:rsidP="003105B7">
      <w:pPr>
        <w:pStyle w:val="NoSpacing"/>
        <w:spacing w:line="360" w:lineRule="auto"/>
        <w:rPr>
          <w:rFonts w:ascii="Arial" w:hAnsi="Arial" w:cs="Arial"/>
          <w:sz w:val="22"/>
          <w:szCs w:val="22"/>
        </w:rPr>
      </w:pPr>
    </w:p>
    <w:p w14:paraId="70E67805" w14:textId="77777777"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Although CBT remains the recommended intervention, NHS services require continued investment in workforce capacity to reduce waiting times and improve treatment availability.</w:t>
      </w:r>
    </w:p>
    <w:p w14:paraId="54975A44" w14:textId="77777777" w:rsidR="003105B7" w:rsidRPr="003105B7" w:rsidRDefault="003105B7" w:rsidP="003105B7">
      <w:pPr>
        <w:pStyle w:val="NoSpacing"/>
        <w:spacing w:line="360" w:lineRule="auto"/>
        <w:rPr>
          <w:rFonts w:ascii="Arial" w:hAnsi="Arial" w:cs="Arial"/>
          <w:sz w:val="22"/>
          <w:szCs w:val="22"/>
        </w:rPr>
      </w:pPr>
    </w:p>
    <w:p w14:paraId="4D6EC5AF" w14:textId="0F33CF14" w:rsidR="003105B7" w:rsidRPr="001F6E1D" w:rsidRDefault="003105B7" w:rsidP="001F6E1D">
      <w:pPr>
        <w:pStyle w:val="NoSpacing"/>
        <w:numPr>
          <w:ilvl w:val="0"/>
          <w:numId w:val="4"/>
        </w:numPr>
        <w:spacing w:line="360" w:lineRule="auto"/>
        <w:rPr>
          <w:rFonts w:ascii="Arial" w:hAnsi="Arial" w:cs="Arial"/>
          <w:b/>
          <w:bCs/>
          <w:sz w:val="22"/>
          <w:szCs w:val="22"/>
        </w:rPr>
      </w:pPr>
      <w:r w:rsidRPr="001F6E1D">
        <w:rPr>
          <w:rFonts w:ascii="Arial" w:hAnsi="Arial" w:cs="Arial"/>
          <w:b/>
          <w:bCs/>
          <w:sz w:val="22"/>
          <w:szCs w:val="22"/>
        </w:rPr>
        <w:t>Develop neurodiversity-informed practice</w:t>
      </w:r>
      <w:r w:rsidR="001F6E1D">
        <w:rPr>
          <w:rFonts w:ascii="Arial" w:hAnsi="Arial" w:cs="Arial"/>
          <w:b/>
          <w:bCs/>
          <w:sz w:val="22"/>
          <w:szCs w:val="22"/>
        </w:rPr>
        <w:t>.</w:t>
      </w:r>
    </w:p>
    <w:p w14:paraId="2DA2A264" w14:textId="77777777" w:rsidR="003105B7" w:rsidRPr="003105B7" w:rsidRDefault="003105B7" w:rsidP="003105B7">
      <w:pPr>
        <w:pStyle w:val="NoSpacing"/>
        <w:spacing w:line="360" w:lineRule="auto"/>
        <w:rPr>
          <w:rFonts w:ascii="Arial" w:hAnsi="Arial" w:cs="Arial"/>
          <w:sz w:val="22"/>
          <w:szCs w:val="22"/>
        </w:rPr>
      </w:pPr>
    </w:p>
    <w:p w14:paraId="533CABAC" w14:textId="77777777"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lastRenderedPageBreak/>
        <w:t>Mental health professionals should receive enhanced training regarding autism and ADHD presentations to ensure anxiety symptoms are assessed within a broader developmental context.</w:t>
      </w:r>
    </w:p>
    <w:p w14:paraId="5992BB0D" w14:textId="77777777" w:rsidR="003105B7" w:rsidRPr="003105B7" w:rsidRDefault="003105B7" w:rsidP="003105B7">
      <w:pPr>
        <w:pStyle w:val="NoSpacing"/>
        <w:spacing w:line="360" w:lineRule="auto"/>
        <w:rPr>
          <w:rFonts w:ascii="Arial" w:hAnsi="Arial" w:cs="Arial"/>
          <w:sz w:val="22"/>
          <w:szCs w:val="22"/>
        </w:rPr>
      </w:pPr>
    </w:p>
    <w:p w14:paraId="6D1ECC31" w14:textId="1829B5F9" w:rsidR="003105B7" w:rsidRPr="00C976F6" w:rsidRDefault="003105B7" w:rsidP="00C976F6">
      <w:pPr>
        <w:pStyle w:val="NoSpacing"/>
        <w:numPr>
          <w:ilvl w:val="0"/>
          <w:numId w:val="4"/>
        </w:numPr>
        <w:spacing w:line="360" w:lineRule="auto"/>
        <w:rPr>
          <w:rFonts w:ascii="Arial" w:hAnsi="Arial" w:cs="Arial"/>
          <w:b/>
          <w:bCs/>
          <w:sz w:val="22"/>
          <w:szCs w:val="22"/>
        </w:rPr>
      </w:pPr>
      <w:r w:rsidRPr="00C976F6">
        <w:rPr>
          <w:rFonts w:ascii="Arial" w:hAnsi="Arial" w:cs="Arial"/>
          <w:b/>
          <w:bCs/>
          <w:sz w:val="22"/>
          <w:szCs w:val="22"/>
        </w:rPr>
        <w:t>Expand integrated rehabilitation support</w:t>
      </w:r>
      <w:r w:rsidR="00C976F6">
        <w:rPr>
          <w:rFonts w:ascii="Arial" w:hAnsi="Arial" w:cs="Arial"/>
          <w:b/>
          <w:bCs/>
          <w:sz w:val="22"/>
          <w:szCs w:val="22"/>
        </w:rPr>
        <w:t>.</w:t>
      </w:r>
    </w:p>
    <w:p w14:paraId="518C7846" w14:textId="77777777" w:rsidR="003105B7" w:rsidRPr="003105B7" w:rsidRDefault="003105B7" w:rsidP="003105B7">
      <w:pPr>
        <w:pStyle w:val="NoSpacing"/>
        <w:spacing w:line="360" w:lineRule="auto"/>
        <w:rPr>
          <w:rFonts w:ascii="Arial" w:hAnsi="Arial" w:cs="Arial"/>
          <w:sz w:val="22"/>
          <w:szCs w:val="22"/>
        </w:rPr>
      </w:pPr>
    </w:p>
    <w:p w14:paraId="14EEF4AB" w14:textId="77777777"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Services should strengthen links between NHS care, social care, employment support and voluntary organisations to support long-term recovery beyond completion of therapy.</w:t>
      </w:r>
    </w:p>
    <w:p w14:paraId="0D5D232E" w14:textId="1F19A2B2" w:rsidR="003105B7" w:rsidRDefault="003105B7" w:rsidP="00C74375">
      <w:pPr>
        <w:pStyle w:val="NoSpacing"/>
        <w:spacing w:line="360" w:lineRule="auto"/>
        <w:rPr>
          <w:rFonts w:ascii="Arial" w:hAnsi="Arial" w:cs="Arial"/>
          <w:sz w:val="22"/>
          <w:szCs w:val="22"/>
        </w:rPr>
      </w:pPr>
    </w:p>
    <w:p w14:paraId="0A315C86" w14:textId="45A1B346" w:rsidR="00C74375" w:rsidRPr="00C74375" w:rsidRDefault="00D25BF8" w:rsidP="00D14A87">
      <w:pPr>
        <w:pStyle w:val="NoSpacing"/>
        <w:numPr>
          <w:ilvl w:val="0"/>
          <w:numId w:val="4"/>
        </w:numPr>
        <w:spacing w:line="360" w:lineRule="auto"/>
        <w:rPr>
          <w:rFonts w:ascii="Arial" w:hAnsi="Arial" w:cs="Arial"/>
          <w:b/>
          <w:bCs/>
          <w:sz w:val="22"/>
          <w:szCs w:val="22"/>
        </w:rPr>
      </w:pPr>
      <w:r>
        <w:rPr>
          <w:rFonts w:ascii="Arial" w:hAnsi="Arial" w:cs="Arial"/>
          <w:b/>
          <w:bCs/>
          <w:sz w:val="22"/>
          <w:szCs w:val="22"/>
        </w:rPr>
        <w:t>Ensure e</w:t>
      </w:r>
      <w:r w:rsidR="00BB7980">
        <w:rPr>
          <w:rFonts w:ascii="Arial" w:hAnsi="Arial" w:cs="Arial"/>
          <w:b/>
          <w:bCs/>
          <w:sz w:val="22"/>
          <w:szCs w:val="22"/>
        </w:rPr>
        <w:t>asy</w:t>
      </w:r>
      <w:r w:rsidR="00F71913">
        <w:rPr>
          <w:rFonts w:ascii="Arial" w:hAnsi="Arial" w:cs="Arial"/>
          <w:b/>
          <w:bCs/>
          <w:sz w:val="22"/>
          <w:szCs w:val="22"/>
        </w:rPr>
        <w:t xml:space="preserve"> and accessible</w:t>
      </w:r>
      <w:r>
        <w:rPr>
          <w:rFonts w:ascii="Arial" w:hAnsi="Arial" w:cs="Arial"/>
          <w:b/>
          <w:bCs/>
          <w:sz w:val="22"/>
          <w:szCs w:val="22"/>
        </w:rPr>
        <w:t xml:space="preserve"> use </w:t>
      </w:r>
      <w:r w:rsidR="00C37850">
        <w:rPr>
          <w:rFonts w:ascii="Arial" w:hAnsi="Arial" w:cs="Arial"/>
          <w:b/>
          <w:bCs/>
          <w:sz w:val="22"/>
          <w:szCs w:val="22"/>
        </w:rPr>
        <w:t>of digital</w:t>
      </w:r>
      <w:r>
        <w:rPr>
          <w:rFonts w:ascii="Arial" w:hAnsi="Arial" w:cs="Arial"/>
          <w:b/>
          <w:bCs/>
          <w:sz w:val="22"/>
          <w:szCs w:val="22"/>
        </w:rPr>
        <w:t xml:space="preserve"> interventions:</w:t>
      </w:r>
    </w:p>
    <w:p w14:paraId="491B5E8C" w14:textId="77777777" w:rsidR="003105B7" w:rsidRPr="003105B7" w:rsidRDefault="003105B7" w:rsidP="003105B7">
      <w:pPr>
        <w:pStyle w:val="NoSpacing"/>
        <w:spacing w:line="360" w:lineRule="auto"/>
        <w:rPr>
          <w:rFonts w:ascii="Arial" w:hAnsi="Arial" w:cs="Arial"/>
          <w:sz w:val="22"/>
          <w:szCs w:val="22"/>
        </w:rPr>
      </w:pPr>
    </w:p>
    <w:p w14:paraId="3A06FB99" w14:textId="77777777"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Digital CBT should be expanded as an additional treatment option; however, services must address digital exclusion and maintain access to clinician-supported interventions.</w:t>
      </w:r>
    </w:p>
    <w:p w14:paraId="38EEF526" w14:textId="77777777" w:rsidR="003105B7" w:rsidRPr="003105B7" w:rsidRDefault="003105B7" w:rsidP="003105B7">
      <w:pPr>
        <w:pStyle w:val="NoSpacing"/>
        <w:spacing w:line="360" w:lineRule="auto"/>
        <w:rPr>
          <w:rFonts w:ascii="Arial" w:hAnsi="Arial" w:cs="Arial"/>
          <w:sz w:val="22"/>
          <w:szCs w:val="22"/>
        </w:rPr>
      </w:pPr>
    </w:p>
    <w:p w14:paraId="423F811B" w14:textId="08B9EAA0" w:rsidR="003105B7" w:rsidRPr="00F71913" w:rsidRDefault="003105B7" w:rsidP="00F71913">
      <w:pPr>
        <w:pStyle w:val="NoSpacing"/>
        <w:numPr>
          <w:ilvl w:val="0"/>
          <w:numId w:val="4"/>
        </w:numPr>
        <w:spacing w:line="360" w:lineRule="auto"/>
        <w:rPr>
          <w:rFonts w:ascii="Arial" w:hAnsi="Arial" w:cs="Arial"/>
          <w:b/>
          <w:bCs/>
          <w:sz w:val="22"/>
          <w:szCs w:val="22"/>
        </w:rPr>
      </w:pPr>
      <w:r w:rsidRPr="00F71913">
        <w:rPr>
          <w:rFonts w:ascii="Arial" w:hAnsi="Arial" w:cs="Arial"/>
          <w:b/>
          <w:bCs/>
          <w:sz w:val="22"/>
          <w:szCs w:val="22"/>
        </w:rPr>
        <w:t>Increase research into personalised treatment</w:t>
      </w:r>
      <w:r w:rsidR="00F71913">
        <w:rPr>
          <w:rFonts w:ascii="Arial" w:hAnsi="Arial" w:cs="Arial"/>
          <w:b/>
          <w:bCs/>
          <w:sz w:val="22"/>
          <w:szCs w:val="22"/>
        </w:rPr>
        <w:t>:</w:t>
      </w:r>
    </w:p>
    <w:p w14:paraId="1948BB88" w14:textId="77777777" w:rsidR="003105B7" w:rsidRPr="003105B7" w:rsidRDefault="003105B7" w:rsidP="003105B7">
      <w:pPr>
        <w:pStyle w:val="NoSpacing"/>
        <w:spacing w:line="360" w:lineRule="auto"/>
        <w:rPr>
          <w:rFonts w:ascii="Arial" w:hAnsi="Arial" w:cs="Arial"/>
          <w:sz w:val="22"/>
          <w:szCs w:val="22"/>
        </w:rPr>
      </w:pPr>
    </w:p>
    <w:p w14:paraId="2A2AF595" w14:textId="5D788B94"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Further research is required into biological and behavioural predictors of treatment response. Personalised approaches may improve outcomes but require careful evaluation before NHS implementation.</w:t>
      </w:r>
      <w:r w:rsidR="00B41B88">
        <w:rPr>
          <w:rFonts w:ascii="Arial" w:hAnsi="Arial" w:cs="Arial"/>
          <w:sz w:val="22"/>
          <w:szCs w:val="22"/>
        </w:rPr>
        <w:t xml:space="preserve"> </w:t>
      </w:r>
      <w:r w:rsidRPr="003105B7">
        <w:rPr>
          <w:rFonts w:ascii="Arial" w:hAnsi="Arial" w:cs="Arial"/>
          <w:sz w:val="22"/>
          <w:szCs w:val="22"/>
        </w:rPr>
        <w:t xml:space="preserve">Overall, improving GAD care requires a shift towards earlier identification, personalised </w:t>
      </w:r>
      <w:r w:rsidR="00B41B88" w:rsidRPr="003105B7">
        <w:rPr>
          <w:rFonts w:ascii="Arial" w:hAnsi="Arial" w:cs="Arial"/>
          <w:sz w:val="22"/>
          <w:szCs w:val="22"/>
        </w:rPr>
        <w:t>treatment,</w:t>
      </w:r>
      <w:r w:rsidRPr="003105B7">
        <w:rPr>
          <w:rFonts w:ascii="Arial" w:hAnsi="Arial" w:cs="Arial"/>
          <w:sz w:val="22"/>
          <w:szCs w:val="22"/>
        </w:rPr>
        <w:t xml:space="preserve"> and sustained community-based support.</w:t>
      </w:r>
    </w:p>
    <w:p w14:paraId="4D1C163E" w14:textId="77777777" w:rsidR="003105B7" w:rsidRPr="003105B7" w:rsidRDefault="003105B7" w:rsidP="003105B7">
      <w:pPr>
        <w:pStyle w:val="NoSpacing"/>
        <w:spacing w:line="360" w:lineRule="auto"/>
        <w:rPr>
          <w:rFonts w:ascii="Arial" w:hAnsi="Arial" w:cs="Arial"/>
          <w:sz w:val="22"/>
          <w:szCs w:val="22"/>
        </w:rPr>
      </w:pPr>
    </w:p>
    <w:p w14:paraId="498E1C71" w14:textId="77777777" w:rsidR="003105B7" w:rsidRPr="003105B7" w:rsidRDefault="003105B7" w:rsidP="003105B7">
      <w:pPr>
        <w:pStyle w:val="NoSpacing"/>
        <w:spacing w:line="360" w:lineRule="auto"/>
        <w:rPr>
          <w:rFonts w:ascii="Arial" w:hAnsi="Arial" w:cs="Arial"/>
          <w:sz w:val="22"/>
          <w:szCs w:val="22"/>
        </w:rPr>
      </w:pPr>
    </w:p>
    <w:p w14:paraId="6BE605AC" w14:textId="77777777" w:rsidR="003105B7" w:rsidRPr="003105B7" w:rsidRDefault="003105B7" w:rsidP="003105B7">
      <w:pPr>
        <w:pStyle w:val="NoSpacing"/>
        <w:spacing w:line="360" w:lineRule="auto"/>
        <w:rPr>
          <w:rFonts w:ascii="Arial" w:hAnsi="Arial" w:cs="Arial"/>
          <w:sz w:val="22"/>
          <w:szCs w:val="22"/>
        </w:rPr>
      </w:pPr>
    </w:p>
    <w:p w14:paraId="72748387" w14:textId="563A0A94" w:rsidR="003105B7" w:rsidRDefault="003105B7" w:rsidP="003105B7">
      <w:pPr>
        <w:pStyle w:val="NoSpacing"/>
        <w:spacing w:line="360" w:lineRule="auto"/>
        <w:rPr>
          <w:rFonts w:ascii="Arial" w:hAnsi="Arial" w:cs="Arial"/>
          <w:b/>
          <w:bCs/>
          <w:sz w:val="22"/>
          <w:szCs w:val="22"/>
        </w:rPr>
      </w:pPr>
      <w:r w:rsidRPr="004B3837">
        <w:rPr>
          <w:rFonts w:ascii="Arial" w:hAnsi="Arial" w:cs="Arial"/>
          <w:b/>
          <w:bCs/>
          <w:sz w:val="22"/>
          <w:szCs w:val="22"/>
        </w:rPr>
        <w:t>Conclusion</w:t>
      </w:r>
      <w:r w:rsidR="004B3837">
        <w:rPr>
          <w:rFonts w:ascii="Arial" w:hAnsi="Arial" w:cs="Arial"/>
          <w:b/>
          <w:bCs/>
          <w:sz w:val="22"/>
          <w:szCs w:val="22"/>
        </w:rPr>
        <w:t>:</w:t>
      </w:r>
    </w:p>
    <w:p w14:paraId="2FCC8F19" w14:textId="77777777" w:rsidR="004B3837" w:rsidRPr="004B3837" w:rsidRDefault="004B3837" w:rsidP="003105B7">
      <w:pPr>
        <w:pStyle w:val="NoSpacing"/>
        <w:spacing w:line="360" w:lineRule="auto"/>
        <w:rPr>
          <w:rFonts w:ascii="Arial" w:hAnsi="Arial" w:cs="Arial"/>
          <w:b/>
          <w:bCs/>
          <w:sz w:val="22"/>
          <w:szCs w:val="22"/>
        </w:rPr>
      </w:pPr>
    </w:p>
    <w:p w14:paraId="7AE6CF8B" w14:textId="77777777" w:rsidR="003105B7" w:rsidRPr="003105B7" w:rsidRDefault="003105B7" w:rsidP="003105B7">
      <w:pPr>
        <w:pStyle w:val="NoSpacing"/>
        <w:spacing w:line="360" w:lineRule="auto"/>
        <w:rPr>
          <w:rFonts w:ascii="Arial" w:hAnsi="Arial" w:cs="Arial"/>
          <w:sz w:val="22"/>
          <w:szCs w:val="22"/>
        </w:rPr>
      </w:pPr>
    </w:p>
    <w:p w14:paraId="03B5114B" w14:textId="315F2B25" w:rsidR="003105B7" w:rsidRPr="003105B7" w:rsidRDefault="009975B7" w:rsidP="003105B7">
      <w:pPr>
        <w:pStyle w:val="NoSpacing"/>
        <w:spacing w:line="360" w:lineRule="auto"/>
        <w:rPr>
          <w:rFonts w:ascii="Arial" w:hAnsi="Arial" w:cs="Arial"/>
          <w:sz w:val="22"/>
          <w:szCs w:val="22"/>
        </w:rPr>
      </w:pPr>
      <w:r>
        <w:rPr>
          <w:rFonts w:ascii="Arial" w:hAnsi="Arial" w:cs="Arial"/>
          <w:sz w:val="22"/>
          <w:szCs w:val="22"/>
        </w:rPr>
        <w:t xml:space="preserve">In conclusion, </w:t>
      </w:r>
      <w:r w:rsidR="003105B7" w:rsidRPr="003105B7">
        <w:rPr>
          <w:rFonts w:ascii="Arial" w:hAnsi="Arial" w:cs="Arial"/>
          <w:sz w:val="22"/>
          <w:szCs w:val="22"/>
        </w:rPr>
        <w:t xml:space="preserve">Generalised Anxiety Disorder remains a significant mental health condition requiring effective approaches to classification, diagnosis, </w:t>
      </w:r>
      <w:r w:rsidR="004B3837" w:rsidRPr="003105B7">
        <w:rPr>
          <w:rFonts w:ascii="Arial" w:hAnsi="Arial" w:cs="Arial"/>
          <w:sz w:val="22"/>
          <w:szCs w:val="22"/>
        </w:rPr>
        <w:t>treatment,</w:t>
      </w:r>
      <w:r w:rsidR="003105B7" w:rsidRPr="003105B7">
        <w:rPr>
          <w:rFonts w:ascii="Arial" w:hAnsi="Arial" w:cs="Arial"/>
          <w:sz w:val="22"/>
          <w:szCs w:val="22"/>
        </w:rPr>
        <w:t xml:space="preserve"> and rehabilitation. ICD-11 has improved the organisation of anxiety disorders by providing clearer diagnostic boundaries; however, debates continue regarding symptom thresholds, neurodivergence and the relationship between normal anxiety and disorder.</w:t>
      </w:r>
    </w:p>
    <w:p w14:paraId="54651F38" w14:textId="77777777" w:rsidR="003105B7" w:rsidRPr="003105B7" w:rsidRDefault="003105B7" w:rsidP="003105B7">
      <w:pPr>
        <w:pStyle w:val="NoSpacing"/>
        <w:spacing w:line="360" w:lineRule="auto"/>
        <w:rPr>
          <w:rFonts w:ascii="Arial" w:hAnsi="Arial" w:cs="Arial"/>
          <w:sz w:val="22"/>
          <w:szCs w:val="22"/>
        </w:rPr>
      </w:pPr>
    </w:p>
    <w:p w14:paraId="466B914B" w14:textId="308C8DEB"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 xml:space="preserve">Evidence supports CBT and pharmacological interventions as effective treatments, although accessibility remains a major challenge within UK mental health services. Rehabilitation requires a broader recovery approach that addresses social participation, employment, </w:t>
      </w:r>
      <w:r w:rsidR="004B3837" w:rsidRPr="003105B7">
        <w:rPr>
          <w:rFonts w:ascii="Arial" w:hAnsi="Arial" w:cs="Arial"/>
          <w:sz w:val="22"/>
          <w:szCs w:val="22"/>
        </w:rPr>
        <w:t>independence,</w:t>
      </w:r>
      <w:r w:rsidRPr="003105B7">
        <w:rPr>
          <w:rFonts w:ascii="Arial" w:hAnsi="Arial" w:cs="Arial"/>
          <w:sz w:val="22"/>
          <w:szCs w:val="22"/>
        </w:rPr>
        <w:t xml:space="preserve"> and relapse prevention rather than focusing solely on symptom reduction.</w:t>
      </w:r>
    </w:p>
    <w:p w14:paraId="27B1BDF1" w14:textId="77777777" w:rsidR="003105B7" w:rsidRPr="003105B7" w:rsidRDefault="003105B7" w:rsidP="003105B7">
      <w:pPr>
        <w:pStyle w:val="NoSpacing"/>
        <w:spacing w:line="360" w:lineRule="auto"/>
        <w:rPr>
          <w:rFonts w:ascii="Arial" w:hAnsi="Arial" w:cs="Arial"/>
          <w:sz w:val="22"/>
          <w:szCs w:val="22"/>
        </w:rPr>
      </w:pPr>
    </w:p>
    <w:p w14:paraId="68D09C44" w14:textId="77777777" w:rsidR="003105B7" w:rsidRPr="003105B7" w:rsidRDefault="003105B7" w:rsidP="003105B7">
      <w:pPr>
        <w:pStyle w:val="NoSpacing"/>
        <w:spacing w:line="360" w:lineRule="auto"/>
        <w:rPr>
          <w:rFonts w:ascii="Arial" w:hAnsi="Arial" w:cs="Arial"/>
          <w:sz w:val="22"/>
          <w:szCs w:val="22"/>
        </w:rPr>
      </w:pPr>
      <w:r w:rsidRPr="003105B7">
        <w:rPr>
          <w:rFonts w:ascii="Arial" w:hAnsi="Arial" w:cs="Arial"/>
          <w:sz w:val="22"/>
          <w:szCs w:val="22"/>
        </w:rPr>
        <w:t>UK legislation, including the Equality Act 2010 and Care Act 2014, provides important protections and promotes person-centred care. Nevertheless, inequalities in access, workforce pressures and increasing demand continue to influence service effectiveness.</w:t>
      </w:r>
    </w:p>
    <w:p w14:paraId="2607D51D" w14:textId="77777777" w:rsidR="003105B7" w:rsidRPr="003105B7" w:rsidRDefault="003105B7" w:rsidP="003105B7">
      <w:pPr>
        <w:pStyle w:val="NoSpacing"/>
        <w:spacing w:line="360" w:lineRule="auto"/>
        <w:rPr>
          <w:rFonts w:ascii="Arial" w:hAnsi="Arial" w:cs="Arial"/>
          <w:sz w:val="22"/>
          <w:szCs w:val="22"/>
        </w:rPr>
      </w:pPr>
    </w:p>
    <w:p w14:paraId="15878F68" w14:textId="77777777" w:rsidR="003105B7" w:rsidRPr="003105B7" w:rsidRDefault="003105B7" w:rsidP="003105B7">
      <w:pPr>
        <w:pStyle w:val="NoSpacing"/>
        <w:spacing w:line="360" w:lineRule="auto"/>
        <w:rPr>
          <w:rFonts w:ascii="Arial" w:hAnsi="Arial" w:cs="Arial"/>
          <w:sz w:val="22"/>
          <w:szCs w:val="22"/>
        </w:rPr>
      </w:pPr>
    </w:p>
    <w:p w14:paraId="59DE49BA" w14:textId="1BD6AA1C" w:rsidR="0001338F" w:rsidRDefault="004668B8" w:rsidP="00230661">
      <w:pPr>
        <w:pStyle w:val="NoSpacing"/>
        <w:spacing w:line="360" w:lineRule="auto"/>
        <w:rPr>
          <w:rFonts w:ascii="Arial" w:hAnsi="Arial" w:cs="Arial"/>
          <w:sz w:val="22"/>
          <w:szCs w:val="22"/>
        </w:rPr>
      </w:pPr>
      <w:r>
        <w:rPr>
          <w:rFonts w:ascii="Arial" w:hAnsi="Arial" w:cs="Arial"/>
          <w:sz w:val="22"/>
          <w:szCs w:val="22"/>
        </w:rPr>
        <w:t>Lastly, f</w:t>
      </w:r>
      <w:r w:rsidR="003105B7" w:rsidRPr="003105B7">
        <w:rPr>
          <w:rFonts w:ascii="Arial" w:hAnsi="Arial" w:cs="Arial"/>
          <w:sz w:val="22"/>
          <w:szCs w:val="22"/>
        </w:rPr>
        <w:t xml:space="preserve">uture improvements should prioritise earlier diagnosis, neurodiversity-informed assessment, equitable access to psychological therapies and stronger community rehabilitation pathways. As understanding of GAD develops, mental health services must balance scientific advances with individual experiences to provide accessible, </w:t>
      </w:r>
      <w:r w:rsidR="004B3837" w:rsidRPr="003105B7">
        <w:rPr>
          <w:rFonts w:ascii="Arial" w:hAnsi="Arial" w:cs="Arial"/>
          <w:sz w:val="22"/>
          <w:szCs w:val="22"/>
        </w:rPr>
        <w:t>effective,</w:t>
      </w:r>
      <w:r w:rsidR="003105B7" w:rsidRPr="003105B7">
        <w:rPr>
          <w:rFonts w:ascii="Arial" w:hAnsi="Arial" w:cs="Arial"/>
          <w:sz w:val="22"/>
          <w:szCs w:val="22"/>
        </w:rPr>
        <w:t xml:space="preserve"> and person-centred care.</w:t>
      </w:r>
    </w:p>
    <w:p w14:paraId="447AFAFE" w14:textId="77777777" w:rsidR="00B66E80" w:rsidRDefault="00B66E80" w:rsidP="00230661">
      <w:pPr>
        <w:pStyle w:val="NoSpacing"/>
        <w:spacing w:line="360" w:lineRule="auto"/>
        <w:rPr>
          <w:rFonts w:ascii="Arial" w:hAnsi="Arial" w:cs="Arial"/>
          <w:sz w:val="22"/>
          <w:szCs w:val="22"/>
        </w:rPr>
      </w:pPr>
    </w:p>
    <w:p w14:paraId="20415826" w14:textId="79DC6432" w:rsidR="00B66E80" w:rsidRPr="00B66E80" w:rsidRDefault="00B66E80" w:rsidP="00230661">
      <w:pPr>
        <w:pStyle w:val="NoSpacing"/>
        <w:spacing w:line="360" w:lineRule="auto"/>
        <w:rPr>
          <w:rFonts w:ascii="Arial" w:hAnsi="Arial" w:cs="Arial"/>
          <w:b/>
          <w:bCs/>
          <w:sz w:val="22"/>
          <w:szCs w:val="22"/>
        </w:rPr>
      </w:pPr>
    </w:p>
    <w:p w14:paraId="12CBAC92" w14:textId="77777777" w:rsidR="00C509B7" w:rsidRDefault="00C509B7" w:rsidP="00230661">
      <w:pPr>
        <w:pStyle w:val="NoSpacing"/>
        <w:spacing w:line="360" w:lineRule="auto"/>
        <w:rPr>
          <w:rFonts w:ascii="Arial" w:hAnsi="Arial" w:cs="Arial"/>
          <w:sz w:val="22"/>
          <w:szCs w:val="22"/>
        </w:rPr>
      </w:pPr>
    </w:p>
    <w:p w14:paraId="0B4C781D" w14:textId="77777777" w:rsidR="00C509B7" w:rsidRDefault="00C509B7" w:rsidP="00230661">
      <w:pPr>
        <w:pStyle w:val="NoSpacing"/>
        <w:spacing w:line="360" w:lineRule="auto"/>
        <w:rPr>
          <w:rFonts w:ascii="Arial" w:hAnsi="Arial" w:cs="Arial"/>
          <w:sz w:val="22"/>
          <w:szCs w:val="22"/>
        </w:rPr>
      </w:pPr>
    </w:p>
    <w:p w14:paraId="3B26A1CF" w14:textId="77777777" w:rsidR="00D306F9" w:rsidRPr="00230661" w:rsidRDefault="00D306F9" w:rsidP="00230661">
      <w:pPr>
        <w:pStyle w:val="NoSpacing"/>
        <w:spacing w:line="360" w:lineRule="auto"/>
        <w:rPr>
          <w:rFonts w:ascii="Arial" w:hAnsi="Arial" w:cs="Arial"/>
          <w:sz w:val="22"/>
          <w:szCs w:val="22"/>
        </w:rPr>
      </w:pPr>
    </w:p>
    <w:p w14:paraId="52B4DA49" w14:textId="77777777" w:rsidR="000A0DD5" w:rsidRDefault="000A0DD5" w:rsidP="00751C4E">
      <w:pPr>
        <w:pStyle w:val="NoSpacing"/>
        <w:spacing w:line="360" w:lineRule="auto"/>
        <w:rPr>
          <w:rFonts w:ascii="Arial" w:hAnsi="Arial" w:cs="Arial"/>
          <w:sz w:val="22"/>
          <w:szCs w:val="22"/>
        </w:rPr>
      </w:pPr>
    </w:p>
    <w:p w14:paraId="63B8B2E0" w14:textId="77777777" w:rsidR="00230661" w:rsidRPr="00751C4E" w:rsidRDefault="00230661" w:rsidP="00751C4E">
      <w:pPr>
        <w:pStyle w:val="NoSpacing"/>
        <w:spacing w:line="360" w:lineRule="auto"/>
        <w:rPr>
          <w:rFonts w:ascii="Arial" w:hAnsi="Arial" w:cs="Arial"/>
          <w:sz w:val="22"/>
          <w:szCs w:val="22"/>
        </w:rPr>
      </w:pPr>
    </w:p>
    <w:p w14:paraId="031023D1" w14:textId="77777777" w:rsidR="00217000" w:rsidRDefault="00217000" w:rsidP="00D33BDB">
      <w:pPr>
        <w:pStyle w:val="NoSpacing"/>
        <w:spacing w:line="360" w:lineRule="auto"/>
        <w:rPr>
          <w:rFonts w:ascii="Arial" w:hAnsi="Arial" w:cs="Arial"/>
          <w:sz w:val="22"/>
          <w:szCs w:val="22"/>
        </w:rPr>
      </w:pPr>
    </w:p>
    <w:p w14:paraId="7DE76946" w14:textId="77777777" w:rsidR="00D33BDB" w:rsidRPr="001E0A2A" w:rsidRDefault="00D33BDB" w:rsidP="00D33BDB">
      <w:pPr>
        <w:pStyle w:val="NoSpacing"/>
        <w:spacing w:line="360" w:lineRule="auto"/>
        <w:rPr>
          <w:rFonts w:ascii="Arial" w:hAnsi="Arial" w:cs="Arial"/>
          <w:sz w:val="22"/>
          <w:szCs w:val="22"/>
        </w:rPr>
      </w:pPr>
    </w:p>
    <w:p w14:paraId="661ED4C1" w14:textId="77777777" w:rsidR="00815E6E" w:rsidRDefault="00815E6E" w:rsidP="000B798E">
      <w:pPr>
        <w:pStyle w:val="NoSpacing"/>
        <w:spacing w:line="360" w:lineRule="auto"/>
        <w:rPr>
          <w:rFonts w:ascii="Arial" w:hAnsi="Arial" w:cs="Arial"/>
          <w:sz w:val="22"/>
          <w:szCs w:val="22"/>
        </w:rPr>
      </w:pPr>
    </w:p>
    <w:p w14:paraId="640F8C24" w14:textId="77777777" w:rsidR="00FC0296" w:rsidRDefault="00FC0296" w:rsidP="000B798E">
      <w:pPr>
        <w:pStyle w:val="NoSpacing"/>
        <w:spacing w:line="360" w:lineRule="auto"/>
        <w:rPr>
          <w:rFonts w:ascii="Arial" w:hAnsi="Arial" w:cs="Arial"/>
          <w:sz w:val="22"/>
          <w:szCs w:val="22"/>
        </w:rPr>
      </w:pPr>
    </w:p>
    <w:p w14:paraId="29A8C097" w14:textId="77777777" w:rsidR="00FC0296" w:rsidRDefault="00FC0296" w:rsidP="000B798E">
      <w:pPr>
        <w:pStyle w:val="NoSpacing"/>
        <w:spacing w:line="360" w:lineRule="auto"/>
        <w:rPr>
          <w:rFonts w:ascii="Arial" w:hAnsi="Arial" w:cs="Arial"/>
          <w:sz w:val="22"/>
          <w:szCs w:val="22"/>
        </w:rPr>
      </w:pPr>
    </w:p>
    <w:p w14:paraId="4323F5D7" w14:textId="77777777" w:rsidR="00FC0296" w:rsidRDefault="00FC0296" w:rsidP="000B798E">
      <w:pPr>
        <w:pStyle w:val="NoSpacing"/>
        <w:spacing w:line="360" w:lineRule="auto"/>
        <w:rPr>
          <w:rFonts w:ascii="Arial" w:hAnsi="Arial" w:cs="Arial"/>
          <w:sz w:val="22"/>
          <w:szCs w:val="22"/>
        </w:rPr>
      </w:pPr>
    </w:p>
    <w:p w14:paraId="3A019646" w14:textId="77777777" w:rsidR="00FC0296" w:rsidRDefault="00FC0296" w:rsidP="000B798E">
      <w:pPr>
        <w:pStyle w:val="NoSpacing"/>
        <w:spacing w:line="360" w:lineRule="auto"/>
        <w:rPr>
          <w:rFonts w:ascii="Arial" w:hAnsi="Arial" w:cs="Arial"/>
          <w:sz w:val="22"/>
          <w:szCs w:val="22"/>
        </w:rPr>
      </w:pPr>
    </w:p>
    <w:p w14:paraId="0BEE38EE" w14:textId="77777777" w:rsidR="00FC0296" w:rsidRDefault="00FC0296" w:rsidP="000B798E">
      <w:pPr>
        <w:pStyle w:val="NoSpacing"/>
        <w:spacing w:line="360" w:lineRule="auto"/>
        <w:rPr>
          <w:rFonts w:ascii="Arial" w:hAnsi="Arial" w:cs="Arial"/>
          <w:sz w:val="22"/>
          <w:szCs w:val="22"/>
        </w:rPr>
      </w:pPr>
    </w:p>
    <w:p w14:paraId="2F15084F" w14:textId="77777777" w:rsidR="00FC0296" w:rsidRDefault="00FC0296" w:rsidP="000B798E">
      <w:pPr>
        <w:pStyle w:val="NoSpacing"/>
        <w:spacing w:line="360" w:lineRule="auto"/>
        <w:rPr>
          <w:rFonts w:ascii="Arial" w:hAnsi="Arial" w:cs="Arial"/>
          <w:sz w:val="22"/>
          <w:szCs w:val="22"/>
        </w:rPr>
      </w:pPr>
    </w:p>
    <w:p w14:paraId="44135A35" w14:textId="77777777" w:rsidR="000B798E" w:rsidRPr="000B798E" w:rsidRDefault="000B798E" w:rsidP="000B798E">
      <w:pPr>
        <w:pStyle w:val="NoSpacing"/>
        <w:spacing w:line="360" w:lineRule="auto"/>
        <w:rPr>
          <w:rFonts w:ascii="Arial" w:hAnsi="Arial" w:cs="Arial"/>
          <w:sz w:val="22"/>
          <w:szCs w:val="22"/>
        </w:rPr>
      </w:pPr>
    </w:p>
    <w:p w14:paraId="14BD36C0" w14:textId="77777777" w:rsidR="000B798E" w:rsidRDefault="000B798E" w:rsidP="000B798E">
      <w:pPr>
        <w:pStyle w:val="NoSpacing"/>
        <w:spacing w:line="360" w:lineRule="auto"/>
        <w:rPr>
          <w:rFonts w:ascii="Arial" w:hAnsi="Arial" w:cs="Arial"/>
          <w:b/>
          <w:bCs/>
          <w:sz w:val="22"/>
          <w:szCs w:val="22"/>
        </w:rPr>
      </w:pPr>
    </w:p>
    <w:p w14:paraId="644200F9" w14:textId="77777777" w:rsidR="000B798E" w:rsidRDefault="000B798E" w:rsidP="000B798E">
      <w:pPr>
        <w:pStyle w:val="NoSpacing"/>
        <w:spacing w:line="360" w:lineRule="auto"/>
        <w:rPr>
          <w:rFonts w:ascii="Arial" w:hAnsi="Arial" w:cs="Arial"/>
          <w:b/>
          <w:bCs/>
          <w:sz w:val="22"/>
          <w:szCs w:val="22"/>
        </w:rPr>
      </w:pPr>
    </w:p>
    <w:p w14:paraId="643F2AA9" w14:textId="77777777" w:rsidR="000B798E" w:rsidRDefault="000B798E" w:rsidP="000B798E">
      <w:pPr>
        <w:pStyle w:val="NoSpacing"/>
        <w:spacing w:line="360" w:lineRule="auto"/>
        <w:rPr>
          <w:rFonts w:ascii="Arial" w:hAnsi="Arial" w:cs="Arial"/>
          <w:b/>
          <w:bCs/>
          <w:sz w:val="22"/>
          <w:szCs w:val="22"/>
        </w:rPr>
      </w:pPr>
    </w:p>
    <w:p w14:paraId="5591850A" w14:textId="77777777" w:rsidR="000B798E" w:rsidRDefault="000B798E" w:rsidP="000B798E">
      <w:pPr>
        <w:pStyle w:val="NoSpacing"/>
        <w:spacing w:line="360" w:lineRule="auto"/>
        <w:rPr>
          <w:rFonts w:ascii="Arial" w:hAnsi="Arial" w:cs="Arial"/>
          <w:b/>
          <w:bCs/>
          <w:sz w:val="22"/>
          <w:szCs w:val="22"/>
        </w:rPr>
      </w:pPr>
    </w:p>
    <w:p w14:paraId="19AB446E" w14:textId="77777777" w:rsidR="000B798E" w:rsidRPr="000B798E" w:rsidRDefault="000B798E" w:rsidP="000B798E">
      <w:pPr>
        <w:pStyle w:val="NoSpacing"/>
        <w:spacing w:line="360" w:lineRule="auto"/>
        <w:rPr>
          <w:rFonts w:ascii="Arial" w:hAnsi="Arial" w:cs="Arial"/>
          <w:sz w:val="22"/>
          <w:szCs w:val="22"/>
        </w:rPr>
      </w:pPr>
    </w:p>
    <w:p w14:paraId="0BDAA2F4" w14:textId="141AC99C" w:rsidR="00526DFC" w:rsidRDefault="00526DFC" w:rsidP="00193E46">
      <w:pPr>
        <w:pStyle w:val="NoSpacing"/>
        <w:spacing w:line="360" w:lineRule="auto"/>
        <w:rPr>
          <w:rFonts w:ascii="Arial" w:hAnsi="Arial" w:cs="Arial"/>
          <w:sz w:val="22"/>
          <w:szCs w:val="22"/>
        </w:rPr>
      </w:pPr>
    </w:p>
    <w:p w14:paraId="03333D90" w14:textId="77777777" w:rsidR="00193E46" w:rsidRDefault="00193E46" w:rsidP="00193E46">
      <w:pPr>
        <w:pStyle w:val="NoSpacing"/>
        <w:spacing w:line="360" w:lineRule="auto"/>
        <w:rPr>
          <w:rFonts w:ascii="Arial" w:hAnsi="Arial" w:cs="Arial"/>
          <w:sz w:val="22"/>
          <w:szCs w:val="22"/>
        </w:rPr>
      </w:pPr>
    </w:p>
    <w:p w14:paraId="673BE941" w14:textId="77777777" w:rsidR="00193E46" w:rsidRPr="00193E46" w:rsidRDefault="00193E46" w:rsidP="0010133D">
      <w:pPr>
        <w:pStyle w:val="NoSpacing"/>
        <w:spacing w:line="360" w:lineRule="auto"/>
        <w:jc w:val="both"/>
        <w:rPr>
          <w:rFonts w:ascii="Arial" w:hAnsi="Arial" w:cs="Arial"/>
          <w:sz w:val="22"/>
          <w:szCs w:val="22"/>
        </w:rPr>
      </w:pPr>
    </w:p>
    <w:p w14:paraId="6FEB2DCD" w14:textId="77777777" w:rsidR="00FE1F4E" w:rsidRPr="00D26C32" w:rsidRDefault="00FE1F4E" w:rsidP="00D26C32">
      <w:pPr>
        <w:pStyle w:val="NoSpacing"/>
        <w:spacing w:line="360" w:lineRule="auto"/>
        <w:rPr>
          <w:rFonts w:ascii="Arial" w:hAnsi="Arial" w:cs="Arial"/>
          <w:sz w:val="22"/>
          <w:szCs w:val="22"/>
        </w:rPr>
      </w:pPr>
    </w:p>
    <w:p w14:paraId="1E821846" w14:textId="4DDC3C2A" w:rsidR="00AE5EDD" w:rsidRDefault="00B77984" w:rsidP="00AE5EDD">
      <w:pPr>
        <w:pStyle w:val="NoSpacing"/>
        <w:spacing w:line="360" w:lineRule="auto"/>
        <w:rPr>
          <w:rFonts w:ascii="Arial" w:hAnsi="Arial" w:cs="Arial"/>
          <w:b/>
          <w:bCs/>
          <w:sz w:val="22"/>
          <w:szCs w:val="22"/>
        </w:rPr>
      </w:pPr>
      <w:r>
        <w:rPr>
          <w:rFonts w:ascii="Arial" w:hAnsi="Arial" w:cs="Arial"/>
          <w:b/>
          <w:bCs/>
          <w:sz w:val="22"/>
          <w:szCs w:val="22"/>
        </w:rPr>
        <w:lastRenderedPageBreak/>
        <w:t>References:</w:t>
      </w:r>
    </w:p>
    <w:p w14:paraId="483B4C6D" w14:textId="77777777" w:rsidR="00B77984" w:rsidRDefault="00B77984" w:rsidP="00AE5EDD">
      <w:pPr>
        <w:pStyle w:val="NoSpacing"/>
        <w:spacing w:line="360" w:lineRule="auto"/>
        <w:rPr>
          <w:rFonts w:ascii="Arial" w:hAnsi="Arial" w:cs="Arial"/>
          <w:b/>
          <w:bCs/>
          <w:sz w:val="22"/>
          <w:szCs w:val="22"/>
        </w:rPr>
      </w:pPr>
    </w:p>
    <w:p w14:paraId="79067442" w14:textId="77777777" w:rsidR="00B77984" w:rsidRDefault="00B77984" w:rsidP="00AE5EDD">
      <w:pPr>
        <w:pStyle w:val="NoSpacing"/>
        <w:spacing w:line="360" w:lineRule="auto"/>
        <w:rPr>
          <w:rFonts w:ascii="Arial" w:hAnsi="Arial" w:cs="Arial"/>
          <w:b/>
          <w:bCs/>
          <w:sz w:val="22"/>
          <w:szCs w:val="22"/>
        </w:rPr>
      </w:pPr>
    </w:p>
    <w:p w14:paraId="529C4EE6" w14:textId="3694B4D8" w:rsidR="0031438D" w:rsidRDefault="0031438D" w:rsidP="0023573A">
      <w:pPr>
        <w:pStyle w:val="NoSpacing"/>
        <w:numPr>
          <w:ilvl w:val="0"/>
          <w:numId w:val="5"/>
        </w:numPr>
        <w:spacing w:line="360" w:lineRule="auto"/>
        <w:rPr>
          <w:rFonts w:ascii="Arial" w:hAnsi="Arial" w:cs="Arial"/>
          <w:sz w:val="22"/>
          <w:szCs w:val="22"/>
        </w:rPr>
      </w:pPr>
      <w:r w:rsidRPr="0031438D">
        <w:rPr>
          <w:rFonts w:ascii="Arial" w:hAnsi="Arial" w:cs="Arial"/>
          <w:sz w:val="22"/>
          <w:szCs w:val="22"/>
        </w:rPr>
        <w:t xml:space="preserve">Bandelow, B., </w:t>
      </w:r>
      <w:proofErr w:type="spellStart"/>
      <w:r w:rsidRPr="0031438D">
        <w:rPr>
          <w:rFonts w:ascii="Arial" w:hAnsi="Arial" w:cs="Arial"/>
          <w:sz w:val="22"/>
          <w:szCs w:val="22"/>
        </w:rPr>
        <w:t>Allgulander</w:t>
      </w:r>
      <w:proofErr w:type="spellEnd"/>
      <w:r w:rsidRPr="0031438D">
        <w:rPr>
          <w:rFonts w:ascii="Arial" w:hAnsi="Arial" w:cs="Arial"/>
          <w:sz w:val="22"/>
          <w:szCs w:val="22"/>
        </w:rPr>
        <w:t xml:space="preserve">, C., Baldwin, D.S., Costa, D.L., Denys, D., </w:t>
      </w:r>
      <w:proofErr w:type="spellStart"/>
      <w:r w:rsidRPr="0031438D">
        <w:rPr>
          <w:rFonts w:ascii="Arial" w:hAnsi="Arial" w:cs="Arial"/>
          <w:sz w:val="22"/>
          <w:szCs w:val="22"/>
        </w:rPr>
        <w:t>Dilbaz</w:t>
      </w:r>
      <w:proofErr w:type="spellEnd"/>
      <w:r w:rsidRPr="0031438D">
        <w:rPr>
          <w:rFonts w:ascii="Arial" w:hAnsi="Arial" w:cs="Arial"/>
          <w:sz w:val="22"/>
          <w:szCs w:val="22"/>
        </w:rPr>
        <w:t xml:space="preserve">, N., Domschke, K., Eriksson, E., Fineberg, N.A., </w:t>
      </w:r>
      <w:proofErr w:type="spellStart"/>
      <w:r w:rsidRPr="0031438D">
        <w:rPr>
          <w:rFonts w:ascii="Arial" w:hAnsi="Arial" w:cs="Arial"/>
          <w:sz w:val="22"/>
          <w:szCs w:val="22"/>
        </w:rPr>
        <w:t>Hättenschwiler</w:t>
      </w:r>
      <w:proofErr w:type="spellEnd"/>
      <w:r w:rsidRPr="0031438D">
        <w:rPr>
          <w:rFonts w:ascii="Arial" w:hAnsi="Arial" w:cs="Arial"/>
          <w:sz w:val="22"/>
          <w:szCs w:val="22"/>
        </w:rPr>
        <w:t>, J. and Hollander, E. (2022) ‘World Federation of Societies of Biological Psychiatry (WFSBP) guidelines for treatment of anxiety, obsessive-compulsive and post-traumatic stress disorders – Version 3.0’, </w:t>
      </w:r>
      <w:r w:rsidRPr="0031438D">
        <w:rPr>
          <w:rFonts w:ascii="Arial" w:hAnsi="Arial" w:cs="Arial"/>
          <w:i/>
          <w:iCs/>
          <w:sz w:val="22"/>
          <w:szCs w:val="22"/>
        </w:rPr>
        <w:t>The World Journal of Biological Psychiatry</w:t>
      </w:r>
      <w:r w:rsidRPr="0031438D">
        <w:rPr>
          <w:rFonts w:ascii="Arial" w:hAnsi="Arial" w:cs="Arial"/>
          <w:sz w:val="22"/>
          <w:szCs w:val="22"/>
        </w:rPr>
        <w:t>, 23(9), pp. 647–687. Available at:</w:t>
      </w:r>
      <w:r w:rsidR="00E76545">
        <w:rPr>
          <w:rFonts w:ascii="Arial" w:hAnsi="Arial" w:cs="Arial"/>
          <w:sz w:val="22"/>
          <w:szCs w:val="22"/>
        </w:rPr>
        <w:t xml:space="preserve"> </w:t>
      </w:r>
      <w:hyperlink r:id="rId7" w:history="1">
        <w:r w:rsidR="002778CD" w:rsidRPr="00560EA7">
          <w:rPr>
            <w:rStyle w:val="Hyperlink"/>
            <w:rFonts w:ascii="Arial" w:hAnsi="Arial" w:cs="Arial"/>
            <w:sz w:val="22"/>
            <w:szCs w:val="22"/>
          </w:rPr>
          <w:t>https://doi.org/10.1080/15622975.2022.2086290</w:t>
        </w:r>
      </w:hyperlink>
      <w:r w:rsidR="002778CD">
        <w:rPr>
          <w:rFonts w:ascii="Arial" w:hAnsi="Arial" w:cs="Arial"/>
          <w:sz w:val="22"/>
          <w:szCs w:val="22"/>
        </w:rPr>
        <w:t xml:space="preserve"> </w:t>
      </w:r>
      <w:r w:rsidRPr="0031438D">
        <w:rPr>
          <w:rFonts w:ascii="Arial" w:hAnsi="Arial" w:cs="Arial"/>
          <w:sz w:val="22"/>
          <w:szCs w:val="22"/>
        </w:rPr>
        <w:t xml:space="preserve"> (Accessed: </w:t>
      </w:r>
      <w:r w:rsidR="009C5C36">
        <w:rPr>
          <w:rFonts w:ascii="Arial" w:hAnsi="Arial" w:cs="Arial"/>
          <w:sz w:val="22"/>
          <w:szCs w:val="22"/>
        </w:rPr>
        <w:t xml:space="preserve">8 </w:t>
      </w:r>
      <w:r w:rsidRPr="0031438D">
        <w:rPr>
          <w:rFonts w:ascii="Arial" w:hAnsi="Arial" w:cs="Arial"/>
          <w:sz w:val="22"/>
          <w:szCs w:val="22"/>
        </w:rPr>
        <w:t>July 2026).</w:t>
      </w:r>
    </w:p>
    <w:p w14:paraId="1FC10C53" w14:textId="77777777" w:rsidR="0031438D" w:rsidRPr="0031438D" w:rsidRDefault="0031438D" w:rsidP="0031438D">
      <w:pPr>
        <w:pStyle w:val="NoSpacing"/>
        <w:spacing w:line="360" w:lineRule="auto"/>
        <w:rPr>
          <w:rFonts w:ascii="Arial" w:hAnsi="Arial" w:cs="Arial"/>
          <w:sz w:val="22"/>
          <w:szCs w:val="22"/>
        </w:rPr>
      </w:pPr>
    </w:p>
    <w:p w14:paraId="518BBFBF" w14:textId="61AD9097" w:rsidR="0031438D" w:rsidRDefault="0031438D" w:rsidP="0023573A">
      <w:pPr>
        <w:pStyle w:val="NoSpacing"/>
        <w:numPr>
          <w:ilvl w:val="0"/>
          <w:numId w:val="5"/>
        </w:numPr>
        <w:spacing w:line="360" w:lineRule="auto"/>
        <w:rPr>
          <w:rFonts w:ascii="Arial" w:hAnsi="Arial" w:cs="Arial"/>
          <w:sz w:val="22"/>
          <w:szCs w:val="22"/>
        </w:rPr>
      </w:pPr>
      <w:r w:rsidRPr="0031438D">
        <w:rPr>
          <w:rFonts w:ascii="Arial" w:hAnsi="Arial" w:cs="Arial"/>
          <w:sz w:val="22"/>
          <w:szCs w:val="22"/>
        </w:rPr>
        <w:t xml:space="preserve">Berg, H., McDermott, T.J., </w:t>
      </w:r>
      <w:proofErr w:type="spellStart"/>
      <w:r w:rsidRPr="0031438D">
        <w:rPr>
          <w:rFonts w:ascii="Arial" w:hAnsi="Arial" w:cs="Arial"/>
          <w:sz w:val="22"/>
          <w:szCs w:val="22"/>
        </w:rPr>
        <w:t>Kuplicki</w:t>
      </w:r>
      <w:proofErr w:type="spellEnd"/>
      <w:r w:rsidRPr="0031438D">
        <w:rPr>
          <w:rFonts w:ascii="Arial" w:hAnsi="Arial" w:cs="Arial"/>
          <w:sz w:val="22"/>
          <w:szCs w:val="22"/>
        </w:rPr>
        <w:t xml:space="preserve">, R., Yeh, H.W., Thompson, W.K., Smith, R., Akeman, E., </w:t>
      </w:r>
      <w:proofErr w:type="spellStart"/>
      <w:r w:rsidRPr="0031438D">
        <w:rPr>
          <w:rFonts w:ascii="Arial" w:hAnsi="Arial" w:cs="Arial"/>
          <w:sz w:val="22"/>
          <w:szCs w:val="22"/>
        </w:rPr>
        <w:t>Kirlic</w:t>
      </w:r>
      <w:proofErr w:type="spellEnd"/>
      <w:r w:rsidRPr="0031438D">
        <w:rPr>
          <w:rFonts w:ascii="Arial" w:hAnsi="Arial" w:cs="Arial"/>
          <w:sz w:val="22"/>
          <w:szCs w:val="22"/>
        </w:rPr>
        <w:t xml:space="preserve">, N., Clausen, A., Cannon, M., White, E., Martell, C.R., Wolitzky-Taylor, K.B., Craske, M.G., Abelson, J.L., Paulus, M.P. and Aupperle, R.L. (2025) ‘Prediction of </w:t>
      </w:r>
      <w:r w:rsidR="00E76545">
        <w:rPr>
          <w:rFonts w:ascii="Arial" w:hAnsi="Arial" w:cs="Arial"/>
          <w:sz w:val="22"/>
          <w:szCs w:val="22"/>
        </w:rPr>
        <w:t>generalised</w:t>
      </w:r>
      <w:r w:rsidRPr="0031438D">
        <w:rPr>
          <w:rFonts w:ascii="Arial" w:hAnsi="Arial" w:cs="Arial"/>
          <w:sz w:val="22"/>
          <w:szCs w:val="22"/>
        </w:rPr>
        <w:t xml:space="preserve"> anxiety disorder treatment outcomes with neurobehavioral responses to approach-avoidance conflict: a </w:t>
      </w:r>
      <w:r w:rsidR="00E76545">
        <w:rPr>
          <w:rFonts w:ascii="Arial" w:hAnsi="Arial" w:cs="Arial"/>
          <w:sz w:val="22"/>
          <w:szCs w:val="22"/>
        </w:rPr>
        <w:t>randomised</w:t>
      </w:r>
      <w:r w:rsidRPr="0031438D">
        <w:rPr>
          <w:rFonts w:ascii="Arial" w:hAnsi="Arial" w:cs="Arial"/>
          <w:sz w:val="22"/>
          <w:szCs w:val="22"/>
        </w:rPr>
        <w:t xml:space="preserve"> clinical trial’, </w:t>
      </w:r>
      <w:r w:rsidRPr="0031438D">
        <w:rPr>
          <w:rFonts w:ascii="Arial" w:hAnsi="Arial" w:cs="Arial"/>
          <w:i/>
          <w:iCs/>
          <w:sz w:val="22"/>
          <w:szCs w:val="22"/>
        </w:rPr>
        <w:t>Translational Psychiatry</w:t>
      </w:r>
      <w:r w:rsidRPr="0031438D">
        <w:rPr>
          <w:rFonts w:ascii="Arial" w:hAnsi="Arial" w:cs="Arial"/>
          <w:sz w:val="22"/>
          <w:szCs w:val="22"/>
        </w:rPr>
        <w:t>, 15, Article 231. Available at:</w:t>
      </w:r>
      <w:r w:rsidR="002778CD">
        <w:rPr>
          <w:rFonts w:ascii="Arial" w:hAnsi="Arial" w:cs="Arial"/>
          <w:sz w:val="22"/>
          <w:szCs w:val="22"/>
        </w:rPr>
        <w:t xml:space="preserve">  </w:t>
      </w:r>
      <w:hyperlink r:id="rId8" w:history="1">
        <w:r w:rsidR="00145CF4" w:rsidRPr="00560EA7">
          <w:rPr>
            <w:rStyle w:val="Hyperlink"/>
            <w:rFonts w:ascii="Arial" w:hAnsi="Arial" w:cs="Arial"/>
            <w:sz w:val="22"/>
            <w:szCs w:val="22"/>
          </w:rPr>
          <w:t>https://doi.org/10.1038/s41398-025-03460-x</w:t>
        </w:r>
      </w:hyperlink>
      <w:r w:rsidR="00145CF4">
        <w:rPr>
          <w:rFonts w:ascii="Arial" w:hAnsi="Arial" w:cs="Arial"/>
          <w:sz w:val="22"/>
          <w:szCs w:val="22"/>
        </w:rPr>
        <w:t xml:space="preserve"> </w:t>
      </w:r>
      <w:r w:rsidR="002778CD">
        <w:rPr>
          <w:rFonts w:ascii="Arial" w:hAnsi="Arial" w:cs="Arial"/>
          <w:sz w:val="22"/>
          <w:szCs w:val="22"/>
        </w:rPr>
        <w:t>(</w:t>
      </w:r>
      <w:r w:rsidRPr="0031438D">
        <w:rPr>
          <w:rFonts w:ascii="Arial" w:hAnsi="Arial" w:cs="Arial"/>
          <w:sz w:val="22"/>
          <w:szCs w:val="22"/>
        </w:rPr>
        <w:t xml:space="preserve">Accessed: </w:t>
      </w:r>
      <w:r w:rsidR="009C5C36">
        <w:rPr>
          <w:rFonts w:ascii="Arial" w:hAnsi="Arial" w:cs="Arial"/>
          <w:sz w:val="22"/>
          <w:szCs w:val="22"/>
        </w:rPr>
        <w:t>8</w:t>
      </w:r>
      <w:r w:rsidRPr="0031438D">
        <w:rPr>
          <w:rFonts w:ascii="Arial" w:hAnsi="Arial" w:cs="Arial"/>
          <w:sz w:val="22"/>
          <w:szCs w:val="22"/>
        </w:rPr>
        <w:t xml:space="preserve"> July 2026).</w:t>
      </w:r>
    </w:p>
    <w:p w14:paraId="191D5BB0" w14:textId="77777777" w:rsidR="0031438D" w:rsidRPr="0031438D" w:rsidRDefault="0031438D" w:rsidP="0031438D">
      <w:pPr>
        <w:pStyle w:val="NoSpacing"/>
        <w:spacing w:line="360" w:lineRule="auto"/>
        <w:rPr>
          <w:rFonts w:ascii="Arial" w:hAnsi="Arial" w:cs="Arial"/>
          <w:sz w:val="22"/>
          <w:szCs w:val="22"/>
        </w:rPr>
      </w:pPr>
    </w:p>
    <w:p w14:paraId="7947D554" w14:textId="46829845" w:rsidR="0031438D" w:rsidRPr="0031438D" w:rsidRDefault="0031438D" w:rsidP="0023573A">
      <w:pPr>
        <w:pStyle w:val="NoSpacing"/>
        <w:numPr>
          <w:ilvl w:val="0"/>
          <w:numId w:val="5"/>
        </w:numPr>
        <w:spacing w:line="360" w:lineRule="auto"/>
        <w:rPr>
          <w:rFonts w:ascii="Arial" w:hAnsi="Arial" w:cs="Arial"/>
          <w:sz w:val="22"/>
          <w:szCs w:val="22"/>
        </w:rPr>
      </w:pPr>
      <w:r w:rsidRPr="0031438D">
        <w:rPr>
          <w:rFonts w:ascii="Arial" w:hAnsi="Arial" w:cs="Arial"/>
          <w:i/>
          <w:iCs/>
          <w:sz w:val="22"/>
          <w:szCs w:val="22"/>
        </w:rPr>
        <w:t>Care Act 2014</w:t>
      </w:r>
      <w:r w:rsidRPr="0031438D">
        <w:rPr>
          <w:rFonts w:ascii="Arial" w:hAnsi="Arial" w:cs="Arial"/>
          <w:sz w:val="22"/>
          <w:szCs w:val="22"/>
        </w:rPr>
        <w:t>. London: The Stationery Office. Available at: https://www.legislation.gov.uk/ukpga/2014/23/contents (Accessed: 17 July 2026).</w:t>
      </w:r>
    </w:p>
    <w:p w14:paraId="53CFFAA4" w14:textId="5E46CD73" w:rsidR="0031438D" w:rsidRDefault="0031438D" w:rsidP="0023573A">
      <w:pPr>
        <w:pStyle w:val="NoSpacing"/>
        <w:numPr>
          <w:ilvl w:val="0"/>
          <w:numId w:val="5"/>
        </w:numPr>
        <w:spacing w:line="360" w:lineRule="auto"/>
        <w:rPr>
          <w:rFonts w:ascii="Arial" w:hAnsi="Arial" w:cs="Arial"/>
          <w:sz w:val="22"/>
          <w:szCs w:val="22"/>
        </w:rPr>
      </w:pPr>
      <w:r w:rsidRPr="0031438D">
        <w:rPr>
          <w:rFonts w:ascii="Arial" w:hAnsi="Arial" w:cs="Arial"/>
          <w:sz w:val="22"/>
          <w:szCs w:val="22"/>
        </w:rPr>
        <w:t xml:space="preserve">Craske, M.G., Rauch, S.L., Ursano, R., </w:t>
      </w:r>
      <w:proofErr w:type="spellStart"/>
      <w:r w:rsidRPr="0031438D">
        <w:rPr>
          <w:rFonts w:ascii="Arial" w:hAnsi="Arial" w:cs="Arial"/>
          <w:sz w:val="22"/>
          <w:szCs w:val="22"/>
        </w:rPr>
        <w:t>Prenoveau</w:t>
      </w:r>
      <w:proofErr w:type="spellEnd"/>
      <w:r w:rsidRPr="0031438D">
        <w:rPr>
          <w:rFonts w:ascii="Arial" w:hAnsi="Arial" w:cs="Arial"/>
          <w:sz w:val="22"/>
          <w:szCs w:val="22"/>
        </w:rPr>
        <w:t xml:space="preserve">, J., Pine, D.S. and </w:t>
      </w:r>
      <w:proofErr w:type="spellStart"/>
      <w:r w:rsidRPr="0031438D">
        <w:rPr>
          <w:rFonts w:ascii="Arial" w:hAnsi="Arial" w:cs="Arial"/>
          <w:sz w:val="22"/>
          <w:szCs w:val="22"/>
        </w:rPr>
        <w:t>Zinbarg</w:t>
      </w:r>
      <w:proofErr w:type="spellEnd"/>
      <w:r w:rsidRPr="0031438D">
        <w:rPr>
          <w:rFonts w:ascii="Arial" w:hAnsi="Arial" w:cs="Arial"/>
          <w:sz w:val="22"/>
          <w:szCs w:val="22"/>
        </w:rPr>
        <w:t>, R.E. (2023) ‘What is an anxiety disorder?’, </w:t>
      </w:r>
      <w:r w:rsidRPr="0031438D">
        <w:rPr>
          <w:rFonts w:ascii="Arial" w:hAnsi="Arial" w:cs="Arial"/>
          <w:i/>
          <w:iCs/>
          <w:sz w:val="22"/>
          <w:szCs w:val="22"/>
        </w:rPr>
        <w:t>Depression and Anxiety</w:t>
      </w:r>
      <w:r w:rsidRPr="0031438D">
        <w:rPr>
          <w:rFonts w:ascii="Arial" w:hAnsi="Arial" w:cs="Arial"/>
          <w:sz w:val="22"/>
          <w:szCs w:val="22"/>
        </w:rPr>
        <w:t xml:space="preserve">, 40(1), pp. 45–59. Available at: </w:t>
      </w:r>
      <w:hyperlink r:id="rId9" w:history="1">
        <w:r w:rsidR="00145CF4" w:rsidRPr="00560EA7">
          <w:rPr>
            <w:rStyle w:val="Hyperlink"/>
            <w:rFonts w:ascii="Arial" w:hAnsi="Arial" w:cs="Arial"/>
            <w:sz w:val="22"/>
            <w:szCs w:val="22"/>
          </w:rPr>
          <w:t>https://doi.org/10.1002/da.23386</w:t>
        </w:r>
      </w:hyperlink>
      <w:r w:rsidR="00145CF4">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8</w:t>
      </w:r>
      <w:r w:rsidRPr="0031438D">
        <w:rPr>
          <w:rFonts w:ascii="Arial" w:hAnsi="Arial" w:cs="Arial"/>
          <w:sz w:val="22"/>
          <w:szCs w:val="22"/>
        </w:rPr>
        <w:t xml:space="preserve"> July 2026).</w:t>
      </w:r>
    </w:p>
    <w:p w14:paraId="0D5C39B1" w14:textId="77777777" w:rsidR="0031438D" w:rsidRPr="0031438D" w:rsidRDefault="0031438D" w:rsidP="0031438D">
      <w:pPr>
        <w:pStyle w:val="NoSpacing"/>
        <w:spacing w:line="360" w:lineRule="auto"/>
        <w:rPr>
          <w:rFonts w:ascii="Arial" w:hAnsi="Arial" w:cs="Arial"/>
          <w:sz w:val="22"/>
          <w:szCs w:val="22"/>
        </w:rPr>
      </w:pPr>
    </w:p>
    <w:p w14:paraId="612049FE" w14:textId="79603441" w:rsidR="00B87931" w:rsidRDefault="0031438D" w:rsidP="0031438D">
      <w:pPr>
        <w:pStyle w:val="NoSpacing"/>
        <w:numPr>
          <w:ilvl w:val="0"/>
          <w:numId w:val="5"/>
        </w:numPr>
        <w:spacing w:line="360" w:lineRule="auto"/>
        <w:rPr>
          <w:rFonts w:ascii="Arial" w:hAnsi="Arial" w:cs="Arial"/>
          <w:sz w:val="22"/>
          <w:szCs w:val="22"/>
        </w:rPr>
      </w:pPr>
      <w:proofErr w:type="spellStart"/>
      <w:r w:rsidRPr="0031438D">
        <w:rPr>
          <w:rFonts w:ascii="Arial" w:hAnsi="Arial" w:cs="Arial"/>
          <w:sz w:val="22"/>
          <w:szCs w:val="22"/>
        </w:rPr>
        <w:t>Croicu</w:t>
      </w:r>
      <w:proofErr w:type="spellEnd"/>
      <w:r w:rsidRPr="0031438D">
        <w:rPr>
          <w:rFonts w:ascii="Arial" w:hAnsi="Arial" w:cs="Arial"/>
          <w:sz w:val="22"/>
          <w:szCs w:val="22"/>
        </w:rPr>
        <w:t xml:space="preserve">, C., </w:t>
      </w:r>
      <w:proofErr w:type="spellStart"/>
      <w:r w:rsidRPr="0031438D">
        <w:rPr>
          <w:rFonts w:ascii="Arial" w:hAnsi="Arial" w:cs="Arial"/>
          <w:sz w:val="22"/>
          <w:szCs w:val="22"/>
        </w:rPr>
        <w:t>Chiriţă</w:t>
      </w:r>
      <w:proofErr w:type="spellEnd"/>
      <w:r w:rsidRPr="0031438D">
        <w:rPr>
          <w:rFonts w:ascii="Arial" w:hAnsi="Arial" w:cs="Arial"/>
          <w:sz w:val="22"/>
          <w:szCs w:val="22"/>
        </w:rPr>
        <w:t xml:space="preserve">, R. and </w:t>
      </w:r>
      <w:proofErr w:type="spellStart"/>
      <w:r w:rsidRPr="0031438D">
        <w:rPr>
          <w:rFonts w:ascii="Arial" w:hAnsi="Arial" w:cs="Arial"/>
          <w:sz w:val="22"/>
          <w:szCs w:val="22"/>
        </w:rPr>
        <w:t>Cozman</w:t>
      </w:r>
      <w:proofErr w:type="spellEnd"/>
      <w:r w:rsidRPr="0031438D">
        <w:rPr>
          <w:rFonts w:ascii="Arial" w:hAnsi="Arial" w:cs="Arial"/>
          <w:sz w:val="22"/>
          <w:szCs w:val="22"/>
        </w:rPr>
        <w:t xml:space="preserve">, D. (2023) ‘A comprehensive review of </w:t>
      </w:r>
      <w:r w:rsidR="00E76545">
        <w:rPr>
          <w:rFonts w:ascii="Arial" w:hAnsi="Arial" w:cs="Arial"/>
          <w:sz w:val="22"/>
          <w:szCs w:val="22"/>
        </w:rPr>
        <w:t>generalised</w:t>
      </w:r>
      <w:r w:rsidRPr="0031438D">
        <w:rPr>
          <w:rFonts w:ascii="Arial" w:hAnsi="Arial" w:cs="Arial"/>
          <w:sz w:val="22"/>
          <w:szCs w:val="22"/>
        </w:rPr>
        <w:t xml:space="preserve"> anxiety disorder’, </w:t>
      </w:r>
      <w:r w:rsidRPr="0031438D">
        <w:rPr>
          <w:rFonts w:ascii="Arial" w:hAnsi="Arial" w:cs="Arial"/>
          <w:i/>
          <w:iCs/>
          <w:sz w:val="22"/>
          <w:szCs w:val="22"/>
        </w:rPr>
        <w:t>Journal of Clinical Medicine</w:t>
      </w:r>
      <w:r w:rsidRPr="0031438D">
        <w:rPr>
          <w:rFonts w:ascii="Arial" w:hAnsi="Arial" w:cs="Arial"/>
          <w:sz w:val="22"/>
          <w:szCs w:val="22"/>
        </w:rPr>
        <w:t xml:space="preserve">, 12(22), p. 7137. Available at: </w:t>
      </w:r>
      <w:hyperlink r:id="rId10" w:history="1">
        <w:r w:rsidR="00145CF4" w:rsidRPr="00560EA7">
          <w:rPr>
            <w:rStyle w:val="Hyperlink"/>
            <w:rFonts w:ascii="Arial" w:hAnsi="Arial" w:cs="Arial"/>
            <w:sz w:val="22"/>
            <w:szCs w:val="22"/>
          </w:rPr>
          <w:t>https://doi.org/10.3390/jcm12227137</w:t>
        </w:r>
      </w:hyperlink>
      <w:r w:rsidR="00145CF4">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8</w:t>
      </w:r>
      <w:r w:rsidRPr="0031438D">
        <w:rPr>
          <w:rFonts w:ascii="Arial" w:hAnsi="Arial" w:cs="Arial"/>
          <w:sz w:val="22"/>
          <w:szCs w:val="22"/>
        </w:rPr>
        <w:t xml:space="preserve"> July 2026).</w:t>
      </w:r>
    </w:p>
    <w:p w14:paraId="2EC37C4D" w14:textId="77777777" w:rsidR="00B87931" w:rsidRDefault="00B87931" w:rsidP="00B87931">
      <w:pPr>
        <w:pStyle w:val="ListParagraph"/>
        <w:rPr>
          <w:rFonts w:ascii="Arial" w:hAnsi="Arial" w:cs="Arial"/>
          <w:sz w:val="22"/>
          <w:szCs w:val="22"/>
        </w:rPr>
      </w:pPr>
    </w:p>
    <w:p w14:paraId="6508C5D1" w14:textId="33D301DE" w:rsidR="0031438D" w:rsidRPr="00B87931" w:rsidRDefault="0031438D" w:rsidP="0031438D">
      <w:pPr>
        <w:pStyle w:val="NoSpacing"/>
        <w:numPr>
          <w:ilvl w:val="0"/>
          <w:numId w:val="5"/>
        </w:numPr>
        <w:spacing w:line="360" w:lineRule="auto"/>
        <w:rPr>
          <w:rFonts w:ascii="Arial" w:hAnsi="Arial" w:cs="Arial"/>
          <w:sz w:val="22"/>
          <w:szCs w:val="22"/>
        </w:rPr>
      </w:pPr>
      <w:r w:rsidRPr="00B87931">
        <w:rPr>
          <w:rFonts w:ascii="Arial" w:hAnsi="Arial" w:cs="Arial"/>
          <w:sz w:val="22"/>
          <w:szCs w:val="22"/>
        </w:rPr>
        <w:t xml:space="preserve">Digital Cognitive </w:t>
      </w:r>
      <w:r w:rsidR="00E76545" w:rsidRPr="00B87931">
        <w:rPr>
          <w:rFonts w:ascii="Arial" w:hAnsi="Arial" w:cs="Arial"/>
          <w:sz w:val="22"/>
          <w:szCs w:val="22"/>
        </w:rPr>
        <w:t>Behavioural</w:t>
      </w:r>
      <w:r w:rsidRPr="00B87931">
        <w:rPr>
          <w:rFonts w:ascii="Arial" w:hAnsi="Arial" w:cs="Arial"/>
          <w:sz w:val="22"/>
          <w:szCs w:val="22"/>
        </w:rPr>
        <w:t xml:space="preserve"> Treatment for </w:t>
      </w:r>
      <w:r w:rsidR="00E76545" w:rsidRPr="00B87931">
        <w:rPr>
          <w:rFonts w:ascii="Arial" w:hAnsi="Arial" w:cs="Arial"/>
          <w:sz w:val="22"/>
          <w:szCs w:val="22"/>
        </w:rPr>
        <w:t>Generalised</w:t>
      </w:r>
      <w:r w:rsidRPr="00B87931">
        <w:rPr>
          <w:rFonts w:ascii="Arial" w:hAnsi="Arial" w:cs="Arial"/>
          <w:sz w:val="22"/>
          <w:szCs w:val="22"/>
        </w:rPr>
        <w:t xml:space="preserve"> Anxiety Disorder: A </w:t>
      </w:r>
      <w:r w:rsidR="00E76545" w:rsidRPr="00B87931">
        <w:rPr>
          <w:rFonts w:ascii="Arial" w:hAnsi="Arial" w:cs="Arial"/>
          <w:sz w:val="22"/>
          <w:szCs w:val="22"/>
        </w:rPr>
        <w:t>Randomised</w:t>
      </w:r>
      <w:r w:rsidRPr="00B87931">
        <w:rPr>
          <w:rFonts w:ascii="Arial" w:hAnsi="Arial" w:cs="Arial"/>
          <w:sz w:val="22"/>
          <w:szCs w:val="22"/>
        </w:rPr>
        <w:t xml:space="preserve"> Clinical Trial’ (2025) </w:t>
      </w:r>
      <w:r w:rsidRPr="00B87931">
        <w:rPr>
          <w:rFonts w:ascii="Arial" w:hAnsi="Arial" w:cs="Arial"/>
          <w:i/>
          <w:iCs/>
          <w:sz w:val="22"/>
          <w:szCs w:val="22"/>
        </w:rPr>
        <w:t>JAMA Network Open</w:t>
      </w:r>
      <w:r w:rsidRPr="00B87931">
        <w:rPr>
          <w:rFonts w:ascii="Arial" w:hAnsi="Arial" w:cs="Arial"/>
          <w:sz w:val="22"/>
          <w:szCs w:val="22"/>
        </w:rPr>
        <w:t xml:space="preserve">. Available at: </w:t>
      </w:r>
      <w:hyperlink r:id="rId11" w:history="1">
        <w:r w:rsidR="00145CF4" w:rsidRPr="00B87931">
          <w:rPr>
            <w:rStyle w:val="Hyperlink"/>
            <w:rFonts w:ascii="Arial" w:hAnsi="Arial" w:cs="Arial"/>
            <w:sz w:val="22"/>
            <w:szCs w:val="22"/>
          </w:rPr>
          <w:t>https://pubmed.ncbi.nlm.nih.gov/41396602/</w:t>
        </w:r>
      </w:hyperlink>
      <w:r w:rsidR="00145CF4" w:rsidRPr="00B87931">
        <w:rPr>
          <w:rFonts w:ascii="Arial" w:hAnsi="Arial" w:cs="Arial"/>
          <w:sz w:val="22"/>
          <w:szCs w:val="22"/>
        </w:rPr>
        <w:t xml:space="preserve"> </w:t>
      </w:r>
      <w:r w:rsidRPr="00B87931">
        <w:rPr>
          <w:rFonts w:ascii="Arial" w:hAnsi="Arial" w:cs="Arial"/>
          <w:sz w:val="22"/>
          <w:szCs w:val="22"/>
        </w:rPr>
        <w:t xml:space="preserve">(Accessed: </w:t>
      </w:r>
      <w:r w:rsidR="009C5C36">
        <w:rPr>
          <w:rFonts w:ascii="Arial" w:hAnsi="Arial" w:cs="Arial"/>
          <w:sz w:val="22"/>
          <w:szCs w:val="22"/>
        </w:rPr>
        <w:t>8</w:t>
      </w:r>
      <w:r w:rsidRPr="00B87931">
        <w:rPr>
          <w:rFonts w:ascii="Arial" w:hAnsi="Arial" w:cs="Arial"/>
          <w:sz w:val="22"/>
          <w:szCs w:val="22"/>
        </w:rPr>
        <w:t xml:space="preserve"> July 2026).</w:t>
      </w:r>
    </w:p>
    <w:p w14:paraId="38176677" w14:textId="77777777" w:rsidR="0031438D" w:rsidRPr="0031438D" w:rsidRDefault="0031438D" w:rsidP="0031438D">
      <w:pPr>
        <w:pStyle w:val="NoSpacing"/>
        <w:spacing w:line="360" w:lineRule="auto"/>
        <w:rPr>
          <w:rFonts w:ascii="Arial" w:hAnsi="Arial" w:cs="Arial"/>
          <w:sz w:val="22"/>
          <w:szCs w:val="22"/>
        </w:rPr>
      </w:pPr>
    </w:p>
    <w:p w14:paraId="1C99DE09" w14:textId="0167A5D4" w:rsidR="0031438D" w:rsidRDefault="0031438D" w:rsidP="00B87931">
      <w:pPr>
        <w:pStyle w:val="NoSpacing"/>
        <w:numPr>
          <w:ilvl w:val="0"/>
          <w:numId w:val="5"/>
        </w:numPr>
        <w:spacing w:line="360" w:lineRule="auto"/>
        <w:rPr>
          <w:rFonts w:ascii="Arial" w:hAnsi="Arial" w:cs="Arial"/>
          <w:sz w:val="22"/>
          <w:szCs w:val="22"/>
        </w:rPr>
      </w:pPr>
      <w:r w:rsidRPr="0031438D">
        <w:rPr>
          <w:rFonts w:ascii="Arial" w:hAnsi="Arial" w:cs="Arial"/>
          <w:i/>
          <w:iCs/>
          <w:sz w:val="22"/>
          <w:szCs w:val="22"/>
        </w:rPr>
        <w:t>Equality Act 2010</w:t>
      </w:r>
      <w:r w:rsidRPr="0031438D">
        <w:rPr>
          <w:rFonts w:ascii="Arial" w:hAnsi="Arial" w:cs="Arial"/>
          <w:sz w:val="22"/>
          <w:szCs w:val="22"/>
        </w:rPr>
        <w:t xml:space="preserve">. London: The Stationery Office. Available at: </w:t>
      </w:r>
      <w:hyperlink r:id="rId12" w:history="1">
        <w:r w:rsidR="00555630" w:rsidRPr="00560EA7">
          <w:rPr>
            <w:rStyle w:val="Hyperlink"/>
            <w:rFonts w:ascii="Arial" w:hAnsi="Arial" w:cs="Arial"/>
            <w:sz w:val="22"/>
            <w:szCs w:val="22"/>
          </w:rPr>
          <w:t>https://www.legislation.gov.uk/ukpga/2010/15/contents</w:t>
        </w:r>
      </w:hyperlink>
      <w:r w:rsidR="00555630">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8</w:t>
      </w:r>
      <w:r w:rsidRPr="0031438D">
        <w:rPr>
          <w:rFonts w:ascii="Arial" w:hAnsi="Arial" w:cs="Arial"/>
          <w:sz w:val="22"/>
          <w:szCs w:val="22"/>
        </w:rPr>
        <w:t xml:space="preserve"> July 2026).</w:t>
      </w:r>
    </w:p>
    <w:p w14:paraId="6CF077D0" w14:textId="77777777" w:rsidR="0031438D" w:rsidRPr="0031438D" w:rsidRDefault="0031438D" w:rsidP="0031438D">
      <w:pPr>
        <w:pStyle w:val="NoSpacing"/>
        <w:spacing w:line="360" w:lineRule="auto"/>
        <w:rPr>
          <w:rFonts w:ascii="Arial" w:hAnsi="Arial" w:cs="Arial"/>
          <w:sz w:val="22"/>
          <w:szCs w:val="22"/>
        </w:rPr>
      </w:pPr>
    </w:p>
    <w:p w14:paraId="55E7C374" w14:textId="3C1E2B52" w:rsidR="0031438D" w:rsidRDefault="0031438D" w:rsidP="00B87931">
      <w:pPr>
        <w:pStyle w:val="NoSpacing"/>
        <w:numPr>
          <w:ilvl w:val="0"/>
          <w:numId w:val="5"/>
        </w:numPr>
        <w:spacing w:line="360" w:lineRule="auto"/>
        <w:rPr>
          <w:rFonts w:ascii="Arial" w:hAnsi="Arial" w:cs="Arial"/>
          <w:sz w:val="22"/>
          <w:szCs w:val="22"/>
        </w:rPr>
      </w:pPr>
      <w:r w:rsidRPr="0031438D">
        <w:rPr>
          <w:rFonts w:ascii="Arial" w:hAnsi="Arial" w:cs="Arial"/>
          <w:i/>
          <w:iCs/>
          <w:sz w:val="22"/>
          <w:szCs w:val="22"/>
        </w:rPr>
        <w:lastRenderedPageBreak/>
        <w:t>Mental Health Act 1983</w:t>
      </w:r>
      <w:r w:rsidRPr="0031438D">
        <w:rPr>
          <w:rFonts w:ascii="Arial" w:hAnsi="Arial" w:cs="Arial"/>
          <w:sz w:val="22"/>
          <w:szCs w:val="22"/>
        </w:rPr>
        <w:t xml:space="preserve">. London: The Stationery Office. Available at: </w:t>
      </w:r>
      <w:hyperlink r:id="rId13" w:history="1">
        <w:r w:rsidR="00BF5819" w:rsidRPr="00560EA7">
          <w:rPr>
            <w:rStyle w:val="Hyperlink"/>
            <w:rFonts w:ascii="Arial" w:hAnsi="Arial" w:cs="Arial"/>
            <w:sz w:val="22"/>
            <w:szCs w:val="22"/>
          </w:rPr>
          <w:t>https://www.legislation.gov.uk/ukpga/1983/20/contents</w:t>
        </w:r>
      </w:hyperlink>
      <w:r w:rsidR="00BF5819">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8</w:t>
      </w:r>
      <w:r w:rsidRPr="0031438D">
        <w:rPr>
          <w:rFonts w:ascii="Arial" w:hAnsi="Arial" w:cs="Arial"/>
          <w:sz w:val="22"/>
          <w:szCs w:val="22"/>
        </w:rPr>
        <w:t xml:space="preserve"> July 2026).</w:t>
      </w:r>
      <w:r w:rsidR="00B87931">
        <w:rPr>
          <w:rFonts w:ascii="Arial" w:hAnsi="Arial" w:cs="Arial"/>
          <w:sz w:val="22"/>
          <w:szCs w:val="22"/>
        </w:rPr>
        <w:t xml:space="preserve"> </w:t>
      </w:r>
    </w:p>
    <w:p w14:paraId="22DC98AD" w14:textId="77777777" w:rsidR="00B92956" w:rsidRPr="0031438D" w:rsidRDefault="00B92956" w:rsidP="00B92956">
      <w:pPr>
        <w:pStyle w:val="NoSpacing"/>
        <w:spacing w:line="360" w:lineRule="auto"/>
        <w:rPr>
          <w:rFonts w:ascii="Arial" w:hAnsi="Arial" w:cs="Arial"/>
          <w:sz w:val="22"/>
          <w:szCs w:val="22"/>
        </w:rPr>
      </w:pPr>
    </w:p>
    <w:p w14:paraId="37421E38" w14:textId="749E7080" w:rsidR="0031438D" w:rsidRDefault="0031438D" w:rsidP="00B92956">
      <w:pPr>
        <w:pStyle w:val="NoSpacing"/>
        <w:numPr>
          <w:ilvl w:val="0"/>
          <w:numId w:val="5"/>
        </w:numPr>
        <w:spacing w:line="360" w:lineRule="auto"/>
        <w:rPr>
          <w:rFonts w:ascii="Arial" w:hAnsi="Arial" w:cs="Arial"/>
          <w:sz w:val="22"/>
          <w:szCs w:val="22"/>
        </w:rPr>
      </w:pPr>
      <w:r w:rsidRPr="0031438D">
        <w:rPr>
          <w:rFonts w:ascii="Arial" w:hAnsi="Arial" w:cs="Arial"/>
          <w:sz w:val="22"/>
          <w:szCs w:val="22"/>
        </w:rPr>
        <w:t>National Institute for Health and Care Excellence (2011) </w:t>
      </w:r>
      <w:r w:rsidRPr="0031438D">
        <w:rPr>
          <w:rFonts w:ascii="Arial" w:hAnsi="Arial" w:cs="Arial"/>
          <w:i/>
          <w:iCs/>
          <w:sz w:val="22"/>
          <w:szCs w:val="22"/>
        </w:rPr>
        <w:t>Generalised anxiety disorder and panic disorder in adults: management</w:t>
      </w:r>
      <w:r w:rsidRPr="0031438D">
        <w:rPr>
          <w:rFonts w:ascii="Arial" w:hAnsi="Arial" w:cs="Arial"/>
          <w:sz w:val="22"/>
          <w:szCs w:val="22"/>
        </w:rPr>
        <w:t xml:space="preserve">. Clinical Guideline [CG113]. London: NICE. Available at: </w:t>
      </w:r>
      <w:hyperlink r:id="rId14" w:history="1">
        <w:r w:rsidR="00BF5819" w:rsidRPr="00560EA7">
          <w:rPr>
            <w:rStyle w:val="Hyperlink"/>
            <w:rFonts w:ascii="Arial" w:hAnsi="Arial" w:cs="Arial"/>
            <w:sz w:val="22"/>
            <w:szCs w:val="22"/>
          </w:rPr>
          <w:t>https://www.nice.org.uk/guidance/cg113</w:t>
        </w:r>
      </w:hyperlink>
      <w:r w:rsidR="00BF5819">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 xml:space="preserve">9 </w:t>
      </w:r>
      <w:r w:rsidRPr="0031438D">
        <w:rPr>
          <w:rFonts w:ascii="Arial" w:hAnsi="Arial" w:cs="Arial"/>
          <w:sz w:val="22"/>
          <w:szCs w:val="22"/>
        </w:rPr>
        <w:t>July 2026).</w:t>
      </w:r>
    </w:p>
    <w:p w14:paraId="61154C66" w14:textId="77777777" w:rsidR="0031438D" w:rsidRPr="0031438D" w:rsidRDefault="0031438D" w:rsidP="0031438D">
      <w:pPr>
        <w:pStyle w:val="NoSpacing"/>
        <w:spacing w:line="360" w:lineRule="auto"/>
        <w:rPr>
          <w:rFonts w:ascii="Arial" w:hAnsi="Arial" w:cs="Arial"/>
          <w:sz w:val="22"/>
          <w:szCs w:val="22"/>
        </w:rPr>
      </w:pPr>
    </w:p>
    <w:p w14:paraId="7E8E2574" w14:textId="44F179AB" w:rsidR="0031438D" w:rsidRDefault="0031438D" w:rsidP="00B92956">
      <w:pPr>
        <w:pStyle w:val="NoSpacing"/>
        <w:numPr>
          <w:ilvl w:val="0"/>
          <w:numId w:val="5"/>
        </w:numPr>
        <w:spacing w:line="360" w:lineRule="auto"/>
        <w:rPr>
          <w:rFonts w:ascii="Arial" w:hAnsi="Arial" w:cs="Arial"/>
          <w:sz w:val="22"/>
          <w:szCs w:val="22"/>
        </w:rPr>
      </w:pPr>
      <w:r w:rsidRPr="0031438D">
        <w:rPr>
          <w:rFonts w:ascii="Arial" w:hAnsi="Arial" w:cs="Arial"/>
          <w:sz w:val="22"/>
          <w:szCs w:val="22"/>
        </w:rPr>
        <w:t>NHS England (2025) </w:t>
      </w:r>
      <w:r w:rsidRPr="0031438D">
        <w:rPr>
          <w:rFonts w:ascii="Arial" w:hAnsi="Arial" w:cs="Arial"/>
          <w:i/>
          <w:iCs/>
          <w:sz w:val="22"/>
          <w:szCs w:val="22"/>
        </w:rPr>
        <w:t>Adult Psychiatric Morbidity Survey: Survey of Mental Health and Wellbeing, England, 2023/24</w:t>
      </w:r>
      <w:r w:rsidRPr="0031438D">
        <w:rPr>
          <w:rFonts w:ascii="Arial" w:hAnsi="Arial" w:cs="Arial"/>
          <w:sz w:val="22"/>
          <w:szCs w:val="22"/>
        </w:rPr>
        <w:t xml:space="preserve">. Accredited Official Statistics. Leeds: NHS England. Available at: </w:t>
      </w:r>
      <w:hyperlink r:id="rId15" w:history="1">
        <w:r w:rsidR="00BF5819" w:rsidRPr="00560EA7">
          <w:rPr>
            <w:rStyle w:val="Hyperlink"/>
            <w:rFonts w:ascii="Arial" w:hAnsi="Arial" w:cs="Arial"/>
            <w:sz w:val="22"/>
            <w:szCs w:val="22"/>
          </w:rPr>
          <w:t>https://digital.nhs.uk/data-and-information/publications/statistical/adult-psychiatric-morbidity-survey/survey-of-mental-health-and-wellbeing-england-2023-24/common-mental-health-conditions</w:t>
        </w:r>
      </w:hyperlink>
      <w:r w:rsidR="00BF5819">
        <w:rPr>
          <w:rFonts w:ascii="Arial" w:hAnsi="Arial" w:cs="Arial"/>
          <w:sz w:val="22"/>
          <w:szCs w:val="22"/>
        </w:rPr>
        <w:t xml:space="preserve"> </w:t>
      </w:r>
      <w:r w:rsidRPr="0031438D">
        <w:rPr>
          <w:rFonts w:ascii="Arial" w:hAnsi="Arial" w:cs="Arial"/>
          <w:sz w:val="22"/>
          <w:szCs w:val="22"/>
        </w:rPr>
        <w:t xml:space="preserve">(Accessed: </w:t>
      </w:r>
      <w:r w:rsidR="009C5C36">
        <w:rPr>
          <w:rFonts w:ascii="Arial" w:hAnsi="Arial" w:cs="Arial"/>
          <w:sz w:val="22"/>
          <w:szCs w:val="22"/>
        </w:rPr>
        <w:t>9</w:t>
      </w:r>
      <w:r w:rsidRPr="0031438D">
        <w:rPr>
          <w:rFonts w:ascii="Arial" w:hAnsi="Arial" w:cs="Arial"/>
          <w:sz w:val="22"/>
          <w:szCs w:val="22"/>
        </w:rPr>
        <w:t xml:space="preserve"> July 2026).</w:t>
      </w:r>
    </w:p>
    <w:p w14:paraId="4A3F323B" w14:textId="77777777" w:rsidR="0031438D" w:rsidRPr="0031438D" w:rsidRDefault="0031438D" w:rsidP="0031438D">
      <w:pPr>
        <w:pStyle w:val="NoSpacing"/>
        <w:spacing w:line="360" w:lineRule="auto"/>
        <w:rPr>
          <w:rFonts w:ascii="Arial" w:hAnsi="Arial" w:cs="Arial"/>
          <w:sz w:val="22"/>
          <w:szCs w:val="22"/>
        </w:rPr>
      </w:pPr>
    </w:p>
    <w:p w14:paraId="2E3FCE8D" w14:textId="53E95098" w:rsidR="0031438D" w:rsidRDefault="0031438D" w:rsidP="00B92956">
      <w:pPr>
        <w:pStyle w:val="NoSpacing"/>
        <w:numPr>
          <w:ilvl w:val="0"/>
          <w:numId w:val="5"/>
        </w:numPr>
        <w:spacing w:line="360" w:lineRule="auto"/>
        <w:rPr>
          <w:rFonts w:ascii="Arial" w:hAnsi="Arial" w:cs="Arial"/>
          <w:sz w:val="22"/>
          <w:szCs w:val="22"/>
        </w:rPr>
      </w:pPr>
      <w:r w:rsidRPr="0031438D">
        <w:rPr>
          <w:rFonts w:ascii="Arial" w:hAnsi="Arial" w:cs="Arial"/>
          <w:sz w:val="22"/>
          <w:szCs w:val="22"/>
        </w:rPr>
        <w:t xml:space="preserve">Parsons, E.M., Ball, T., Carl, J., Henry, A.L., Emsley, R., Miller, C.B., Wong, E.Y., Coombs, E., Collins, D., Long, L.J., Chis Ster, A., Smits, J.A.J. and Otto, M.W. (2025) ‘Digital Cognitive </w:t>
      </w:r>
      <w:r w:rsidR="00E76545" w:rsidRPr="0031438D">
        <w:rPr>
          <w:rFonts w:ascii="Arial" w:hAnsi="Arial" w:cs="Arial"/>
          <w:sz w:val="22"/>
          <w:szCs w:val="22"/>
        </w:rPr>
        <w:t>Behavioural</w:t>
      </w:r>
      <w:r w:rsidRPr="0031438D">
        <w:rPr>
          <w:rFonts w:ascii="Arial" w:hAnsi="Arial" w:cs="Arial"/>
          <w:sz w:val="22"/>
          <w:szCs w:val="22"/>
        </w:rPr>
        <w:t xml:space="preserve"> Treatment for Generalized Anxiety Disorder: A Randomized Clinical Trial’, </w:t>
      </w:r>
      <w:r w:rsidRPr="0031438D">
        <w:rPr>
          <w:rFonts w:ascii="Arial" w:hAnsi="Arial" w:cs="Arial"/>
          <w:i/>
          <w:iCs/>
          <w:sz w:val="22"/>
          <w:szCs w:val="22"/>
        </w:rPr>
        <w:t>JAMA Network Open</w:t>
      </w:r>
      <w:r w:rsidRPr="0031438D">
        <w:rPr>
          <w:rFonts w:ascii="Arial" w:hAnsi="Arial" w:cs="Arial"/>
          <w:sz w:val="22"/>
          <w:szCs w:val="22"/>
        </w:rPr>
        <w:t xml:space="preserve">, 8(12), e2548884. Available at: </w:t>
      </w:r>
      <w:hyperlink r:id="rId16" w:history="1">
        <w:r w:rsidR="00BF5819" w:rsidRPr="00560EA7">
          <w:rPr>
            <w:rStyle w:val="Hyperlink"/>
            <w:rFonts w:ascii="Arial" w:hAnsi="Arial" w:cs="Arial"/>
            <w:sz w:val="22"/>
            <w:szCs w:val="22"/>
          </w:rPr>
          <w:t>https://doi.org/10.1001/jamanetworkopen.2025.48884</w:t>
        </w:r>
      </w:hyperlink>
      <w:r w:rsidR="00BF5819">
        <w:rPr>
          <w:rFonts w:ascii="Arial" w:hAnsi="Arial" w:cs="Arial"/>
          <w:sz w:val="22"/>
          <w:szCs w:val="22"/>
        </w:rPr>
        <w:t xml:space="preserve"> </w:t>
      </w:r>
      <w:r w:rsidRPr="0031438D">
        <w:rPr>
          <w:rFonts w:ascii="Arial" w:hAnsi="Arial" w:cs="Arial"/>
          <w:sz w:val="22"/>
          <w:szCs w:val="22"/>
        </w:rPr>
        <w:t xml:space="preserve">(Accessed: </w:t>
      </w:r>
      <w:r w:rsidR="00A45FE3">
        <w:rPr>
          <w:rFonts w:ascii="Arial" w:hAnsi="Arial" w:cs="Arial"/>
          <w:sz w:val="22"/>
          <w:szCs w:val="22"/>
        </w:rPr>
        <w:t>9</w:t>
      </w:r>
      <w:r w:rsidRPr="0031438D">
        <w:rPr>
          <w:rFonts w:ascii="Arial" w:hAnsi="Arial" w:cs="Arial"/>
          <w:sz w:val="22"/>
          <w:szCs w:val="22"/>
        </w:rPr>
        <w:t xml:space="preserve"> July 2026).</w:t>
      </w:r>
    </w:p>
    <w:p w14:paraId="6CDDB18E" w14:textId="77777777" w:rsidR="0031438D" w:rsidRPr="0031438D" w:rsidRDefault="0031438D" w:rsidP="0031438D">
      <w:pPr>
        <w:pStyle w:val="NoSpacing"/>
        <w:spacing w:line="360" w:lineRule="auto"/>
        <w:rPr>
          <w:rFonts w:ascii="Arial" w:hAnsi="Arial" w:cs="Arial"/>
          <w:sz w:val="22"/>
          <w:szCs w:val="22"/>
        </w:rPr>
      </w:pPr>
    </w:p>
    <w:p w14:paraId="60E3B0FE" w14:textId="1E97A2E5" w:rsidR="0031438D" w:rsidRPr="0031438D" w:rsidRDefault="0031438D" w:rsidP="00B92956">
      <w:pPr>
        <w:pStyle w:val="NoSpacing"/>
        <w:numPr>
          <w:ilvl w:val="0"/>
          <w:numId w:val="5"/>
        </w:numPr>
        <w:spacing w:line="360" w:lineRule="auto"/>
        <w:rPr>
          <w:rFonts w:ascii="Arial" w:hAnsi="Arial" w:cs="Arial"/>
          <w:sz w:val="22"/>
          <w:szCs w:val="22"/>
        </w:rPr>
      </w:pPr>
      <w:r w:rsidRPr="0031438D">
        <w:rPr>
          <w:rFonts w:ascii="Arial" w:hAnsi="Arial" w:cs="Arial"/>
          <w:sz w:val="22"/>
          <w:szCs w:val="22"/>
        </w:rPr>
        <w:t xml:space="preserve">World Health </w:t>
      </w:r>
      <w:r w:rsidR="00E76545">
        <w:rPr>
          <w:rFonts w:ascii="Arial" w:hAnsi="Arial" w:cs="Arial"/>
          <w:sz w:val="22"/>
          <w:szCs w:val="22"/>
        </w:rPr>
        <w:t>Organisation</w:t>
      </w:r>
      <w:r w:rsidRPr="0031438D">
        <w:rPr>
          <w:rFonts w:ascii="Arial" w:hAnsi="Arial" w:cs="Arial"/>
          <w:sz w:val="22"/>
          <w:szCs w:val="22"/>
        </w:rPr>
        <w:t xml:space="preserve"> (2024) </w:t>
      </w:r>
      <w:r w:rsidRPr="0031438D">
        <w:rPr>
          <w:rFonts w:ascii="Arial" w:hAnsi="Arial" w:cs="Arial"/>
          <w:i/>
          <w:iCs/>
          <w:sz w:val="22"/>
          <w:szCs w:val="22"/>
        </w:rPr>
        <w:t xml:space="preserve">Clinical descriptions and diagnostic requirements (CDDR) for ICD-11 mental, </w:t>
      </w:r>
      <w:r w:rsidR="00DF6624" w:rsidRPr="0031438D">
        <w:rPr>
          <w:rFonts w:ascii="Arial" w:hAnsi="Arial" w:cs="Arial"/>
          <w:i/>
          <w:iCs/>
          <w:sz w:val="22"/>
          <w:szCs w:val="22"/>
        </w:rPr>
        <w:t>behavioural,</w:t>
      </w:r>
      <w:r w:rsidRPr="0031438D">
        <w:rPr>
          <w:rFonts w:ascii="Arial" w:hAnsi="Arial" w:cs="Arial"/>
          <w:i/>
          <w:iCs/>
          <w:sz w:val="22"/>
          <w:szCs w:val="22"/>
        </w:rPr>
        <w:t xml:space="preserve"> and neurodevelopmental disorders</w:t>
      </w:r>
      <w:r w:rsidRPr="0031438D">
        <w:rPr>
          <w:rFonts w:ascii="Arial" w:hAnsi="Arial" w:cs="Arial"/>
          <w:sz w:val="22"/>
          <w:szCs w:val="22"/>
        </w:rPr>
        <w:t xml:space="preserve">. Geneva: World Health </w:t>
      </w:r>
      <w:r w:rsidR="00E76545">
        <w:rPr>
          <w:rFonts w:ascii="Arial" w:hAnsi="Arial" w:cs="Arial"/>
          <w:sz w:val="22"/>
          <w:szCs w:val="22"/>
        </w:rPr>
        <w:t>Organisation</w:t>
      </w:r>
      <w:r w:rsidRPr="0031438D">
        <w:rPr>
          <w:rFonts w:ascii="Arial" w:hAnsi="Arial" w:cs="Arial"/>
          <w:sz w:val="22"/>
          <w:szCs w:val="22"/>
        </w:rPr>
        <w:t xml:space="preserve">. Available at: </w:t>
      </w:r>
      <w:hyperlink r:id="rId17" w:history="1">
        <w:r w:rsidR="007E11E2" w:rsidRPr="00560EA7">
          <w:rPr>
            <w:rStyle w:val="Hyperlink"/>
            <w:rFonts w:ascii="Arial" w:hAnsi="Arial" w:cs="Arial"/>
            <w:sz w:val="22"/>
            <w:szCs w:val="22"/>
          </w:rPr>
          <w:t>https://www.who.int/publications/i/item/9789240077263</w:t>
        </w:r>
      </w:hyperlink>
      <w:r w:rsidR="007E11E2">
        <w:rPr>
          <w:rFonts w:ascii="Arial" w:hAnsi="Arial" w:cs="Arial"/>
          <w:sz w:val="22"/>
          <w:szCs w:val="22"/>
        </w:rPr>
        <w:t xml:space="preserve"> </w:t>
      </w:r>
      <w:r w:rsidRPr="0031438D">
        <w:rPr>
          <w:rFonts w:ascii="Arial" w:hAnsi="Arial" w:cs="Arial"/>
          <w:sz w:val="22"/>
          <w:szCs w:val="22"/>
        </w:rPr>
        <w:t>(Accessed:</w:t>
      </w:r>
      <w:r w:rsidR="00A45FE3">
        <w:rPr>
          <w:rFonts w:ascii="Arial" w:hAnsi="Arial" w:cs="Arial"/>
          <w:sz w:val="22"/>
          <w:szCs w:val="22"/>
        </w:rPr>
        <w:t>9</w:t>
      </w:r>
      <w:r w:rsidRPr="0031438D">
        <w:rPr>
          <w:rFonts w:ascii="Arial" w:hAnsi="Arial" w:cs="Arial"/>
          <w:sz w:val="22"/>
          <w:szCs w:val="22"/>
        </w:rPr>
        <w:t xml:space="preserve"> July 2026).</w:t>
      </w:r>
      <w:r>
        <w:rPr>
          <w:rFonts w:ascii="Arial" w:hAnsi="Arial" w:cs="Arial"/>
          <w:sz w:val="22"/>
          <w:szCs w:val="22"/>
        </w:rPr>
        <w:t xml:space="preserve"> </w:t>
      </w:r>
    </w:p>
    <w:p w14:paraId="178E6D6E" w14:textId="77777777" w:rsidR="008C78F5" w:rsidRPr="003D5092" w:rsidRDefault="008C78F5" w:rsidP="00AE5EDD">
      <w:pPr>
        <w:pStyle w:val="NoSpacing"/>
        <w:spacing w:line="360" w:lineRule="auto"/>
        <w:rPr>
          <w:rFonts w:ascii="Arial" w:hAnsi="Arial" w:cs="Arial"/>
          <w:sz w:val="22"/>
          <w:szCs w:val="22"/>
        </w:rPr>
      </w:pPr>
    </w:p>
    <w:sectPr w:rsidR="008C78F5" w:rsidRPr="003D5092">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23216" w14:textId="77777777" w:rsidR="00536ACE" w:rsidRDefault="00536ACE" w:rsidP="005217EC">
      <w:pPr>
        <w:spacing w:after="0" w:line="240" w:lineRule="auto"/>
      </w:pPr>
      <w:r>
        <w:separator/>
      </w:r>
    </w:p>
  </w:endnote>
  <w:endnote w:type="continuationSeparator" w:id="0">
    <w:p w14:paraId="1DF86F13" w14:textId="77777777" w:rsidR="00536ACE" w:rsidRDefault="00536ACE" w:rsidP="00521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A3BCD" w14:textId="77777777" w:rsidR="00536ACE" w:rsidRDefault="00536ACE" w:rsidP="005217EC">
      <w:pPr>
        <w:spacing w:after="0" w:line="240" w:lineRule="auto"/>
      </w:pPr>
      <w:r>
        <w:separator/>
      </w:r>
    </w:p>
  </w:footnote>
  <w:footnote w:type="continuationSeparator" w:id="0">
    <w:p w14:paraId="1F493D53" w14:textId="77777777" w:rsidR="00536ACE" w:rsidRDefault="00536ACE" w:rsidP="005217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959462"/>
      <w:docPartObj>
        <w:docPartGallery w:val="Page Numbers (Top of Page)"/>
        <w:docPartUnique/>
      </w:docPartObj>
    </w:sdtPr>
    <w:sdtEndPr/>
    <w:sdtContent>
      <w:p w14:paraId="0A738005" w14:textId="68B5107C" w:rsidR="005217EC" w:rsidRDefault="005217EC">
        <w:pPr>
          <w:pStyle w:val="Header"/>
        </w:pPr>
        <w:r>
          <w:fldChar w:fldCharType="begin"/>
        </w:r>
        <w:r>
          <w:instrText>PAGE   \* MERGEFORMAT</w:instrText>
        </w:r>
        <w:r>
          <w:fldChar w:fldCharType="separate"/>
        </w:r>
        <w:r>
          <w:t>2</w:t>
        </w:r>
        <w:r>
          <w:fldChar w:fldCharType="end"/>
        </w:r>
      </w:p>
    </w:sdtContent>
  </w:sdt>
  <w:p w14:paraId="32D78DA3" w14:textId="77777777" w:rsidR="005217EC" w:rsidRDefault="005217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2953"/>
    <w:multiLevelType w:val="hybridMultilevel"/>
    <w:tmpl w:val="38BCD7BE"/>
    <w:lvl w:ilvl="0" w:tplc="D0E8F98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8327B5"/>
    <w:multiLevelType w:val="hybridMultilevel"/>
    <w:tmpl w:val="61022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B1582A"/>
    <w:multiLevelType w:val="multilevel"/>
    <w:tmpl w:val="F2F2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244CAC"/>
    <w:multiLevelType w:val="multilevel"/>
    <w:tmpl w:val="5E6A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6435B4"/>
    <w:multiLevelType w:val="multilevel"/>
    <w:tmpl w:val="0A327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32057678">
    <w:abstractNumId w:val="3"/>
  </w:num>
  <w:num w:numId="2" w16cid:durableId="2144232371">
    <w:abstractNumId w:val="2"/>
  </w:num>
  <w:num w:numId="3" w16cid:durableId="432165557">
    <w:abstractNumId w:val="4"/>
  </w:num>
  <w:num w:numId="4" w16cid:durableId="1303540342">
    <w:abstractNumId w:val="0"/>
  </w:num>
  <w:num w:numId="5" w16cid:durableId="849022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DD"/>
    <w:rsid w:val="0000200A"/>
    <w:rsid w:val="0001338F"/>
    <w:rsid w:val="000143A0"/>
    <w:rsid w:val="00021502"/>
    <w:rsid w:val="000378D4"/>
    <w:rsid w:val="00050A3B"/>
    <w:rsid w:val="00063816"/>
    <w:rsid w:val="000825F0"/>
    <w:rsid w:val="00091DB2"/>
    <w:rsid w:val="000A0DD5"/>
    <w:rsid w:val="000B5044"/>
    <w:rsid w:val="000B798E"/>
    <w:rsid w:val="000C1E76"/>
    <w:rsid w:val="000C24CD"/>
    <w:rsid w:val="000F08AC"/>
    <w:rsid w:val="000F211B"/>
    <w:rsid w:val="0010133D"/>
    <w:rsid w:val="00106235"/>
    <w:rsid w:val="00106E11"/>
    <w:rsid w:val="00125957"/>
    <w:rsid w:val="00127000"/>
    <w:rsid w:val="00127B39"/>
    <w:rsid w:val="00145CF4"/>
    <w:rsid w:val="00161AC4"/>
    <w:rsid w:val="001670C7"/>
    <w:rsid w:val="00193E46"/>
    <w:rsid w:val="001A1DDB"/>
    <w:rsid w:val="001B7CBE"/>
    <w:rsid w:val="001D259D"/>
    <w:rsid w:val="001D3B81"/>
    <w:rsid w:val="001E0A2A"/>
    <w:rsid w:val="001F6E1D"/>
    <w:rsid w:val="00213971"/>
    <w:rsid w:val="00217000"/>
    <w:rsid w:val="00230661"/>
    <w:rsid w:val="00233A95"/>
    <w:rsid w:val="0023573A"/>
    <w:rsid w:val="0027601C"/>
    <w:rsid w:val="002778CD"/>
    <w:rsid w:val="002826A4"/>
    <w:rsid w:val="00290763"/>
    <w:rsid w:val="00291AF5"/>
    <w:rsid w:val="002A36C4"/>
    <w:rsid w:val="002A458E"/>
    <w:rsid w:val="002B0ACA"/>
    <w:rsid w:val="002B2800"/>
    <w:rsid w:val="002F45FA"/>
    <w:rsid w:val="002F7F0D"/>
    <w:rsid w:val="003076E3"/>
    <w:rsid w:val="003105B7"/>
    <w:rsid w:val="0031438D"/>
    <w:rsid w:val="00322439"/>
    <w:rsid w:val="00331C47"/>
    <w:rsid w:val="00333A47"/>
    <w:rsid w:val="0033623E"/>
    <w:rsid w:val="00350F3C"/>
    <w:rsid w:val="00383F0D"/>
    <w:rsid w:val="003A1EDB"/>
    <w:rsid w:val="003A64D5"/>
    <w:rsid w:val="003B21F4"/>
    <w:rsid w:val="003B460B"/>
    <w:rsid w:val="003C28B1"/>
    <w:rsid w:val="003D5092"/>
    <w:rsid w:val="003F0DB6"/>
    <w:rsid w:val="003F2434"/>
    <w:rsid w:val="003F6D0F"/>
    <w:rsid w:val="004134CA"/>
    <w:rsid w:val="004139A7"/>
    <w:rsid w:val="00457704"/>
    <w:rsid w:val="004668B8"/>
    <w:rsid w:val="00475761"/>
    <w:rsid w:val="00476CF1"/>
    <w:rsid w:val="004971D3"/>
    <w:rsid w:val="004A6448"/>
    <w:rsid w:val="004B365E"/>
    <w:rsid w:val="004B3837"/>
    <w:rsid w:val="004C09F4"/>
    <w:rsid w:val="004D7A96"/>
    <w:rsid w:val="004E1E7E"/>
    <w:rsid w:val="004F15B9"/>
    <w:rsid w:val="0050760B"/>
    <w:rsid w:val="005217EC"/>
    <w:rsid w:val="00526DFC"/>
    <w:rsid w:val="00536ACE"/>
    <w:rsid w:val="00555630"/>
    <w:rsid w:val="005A6A0A"/>
    <w:rsid w:val="005A6BCE"/>
    <w:rsid w:val="005B13CD"/>
    <w:rsid w:val="005C4583"/>
    <w:rsid w:val="005C5F32"/>
    <w:rsid w:val="005C7FFB"/>
    <w:rsid w:val="005D1ED3"/>
    <w:rsid w:val="005D24B1"/>
    <w:rsid w:val="005D4243"/>
    <w:rsid w:val="005E2279"/>
    <w:rsid w:val="005E760F"/>
    <w:rsid w:val="005F4351"/>
    <w:rsid w:val="00612AB3"/>
    <w:rsid w:val="00620B79"/>
    <w:rsid w:val="00654A0C"/>
    <w:rsid w:val="00664563"/>
    <w:rsid w:val="006839B8"/>
    <w:rsid w:val="006A33F8"/>
    <w:rsid w:val="006B1F9B"/>
    <w:rsid w:val="006C1354"/>
    <w:rsid w:val="006C25CB"/>
    <w:rsid w:val="006C4471"/>
    <w:rsid w:val="006E5D57"/>
    <w:rsid w:val="006F01DC"/>
    <w:rsid w:val="007166C1"/>
    <w:rsid w:val="0072036F"/>
    <w:rsid w:val="00723A71"/>
    <w:rsid w:val="00751C4E"/>
    <w:rsid w:val="00754ED6"/>
    <w:rsid w:val="00764B9E"/>
    <w:rsid w:val="00772635"/>
    <w:rsid w:val="007A0796"/>
    <w:rsid w:val="007A4AF0"/>
    <w:rsid w:val="007C12CD"/>
    <w:rsid w:val="007D5509"/>
    <w:rsid w:val="007E11E2"/>
    <w:rsid w:val="008028AC"/>
    <w:rsid w:val="008045E5"/>
    <w:rsid w:val="00815E6E"/>
    <w:rsid w:val="0083623A"/>
    <w:rsid w:val="0083723E"/>
    <w:rsid w:val="00851C49"/>
    <w:rsid w:val="008A39F5"/>
    <w:rsid w:val="008C78F5"/>
    <w:rsid w:val="008F26A7"/>
    <w:rsid w:val="008F67ED"/>
    <w:rsid w:val="009005E5"/>
    <w:rsid w:val="0091579D"/>
    <w:rsid w:val="00924B3E"/>
    <w:rsid w:val="00925C6F"/>
    <w:rsid w:val="009467B9"/>
    <w:rsid w:val="00953549"/>
    <w:rsid w:val="00954825"/>
    <w:rsid w:val="009727E1"/>
    <w:rsid w:val="00975E8B"/>
    <w:rsid w:val="0098318F"/>
    <w:rsid w:val="00986F47"/>
    <w:rsid w:val="009975B7"/>
    <w:rsid w:val="009A1129"/>
    <w:rsid w:val="009A3C09"/>
    <w:rsid w:val="009B7EAB"/>
    <w:rsid w:val="009C5C36"/>
    <w:rsid w:val="009E3DC2"/>
    <w:rsid w:val="009E53FC"/>
    <w:rsid w:val="009F0201"/>
    <w:rsid w:val="009F5D1F"/>
    <w:rsid w:val="00A27FB7"/>
    <w:rsid w:val="00A312FA"/>
    <w:rsid w:val="00A341D6"/>
    <w:rsid w:val="00A45FE3"/>
    <w:rsid w:val="00A61CC6"/>
    <w:rsid w:val="00A828CA"/>
    <w:rsid w:val="00AA5E17"/>
    <w:rsid w:val="00AB0E14"/>
    <w:rsid w:val="00AB6FA9"/>
    <w:rsid w:val="00AD2F04"/>
    <w:rsid w:val="00AD71B3"/>
    <w:rsid w:val="00AE2EB4"/>
    <w:rsid w:val="00AE5EDD"/>
    <w:rsid w:val="00AE7D73"/>
    <w:rsid w:val="00AF1736"/>
    <w:rsid w:val="00AF55F7"/>
    <w:rsid w:val="00B149A4"/>
    <w:rsid w:val="00B26F1C"/>
    <w:rsid w:val="00B41B88"/>
    <w:rsid w:val="00B44C2A"/>
    <w:rsid w:val="00B535C8"/>
    <w:rsid w:val="00B66E80"/>
    <w:rsid w:val="00B71CB3"/>
    <w:rsid w:val="00B7379D"/>
    <w:rsid w:val="00B77984"/>
    <w:rsid w:val="00B8135D"/>
    <w:rsid w:val="00B87931"/>
    <w:rsid w:val="00B92956"/>
    <w:rsid w:val="00B929EC"/>
    <w:rsid w:val="00B96977"/>
    <w:rsid w:val="00BA3D1C"/>
    <w:rsid w:val="00BA4C57"/>
    <w:rsid w:val="00BB0B2C"/>
    <w:rsid w:val="00BB2EB3"/>
    <w:rsid w:val="00BB7980"/>
    <w:rsid w:val="00BD68AA"/>
    <w:rsid w:val="00BE5C6C"/>
    <w:rsid w:val="00BF1C1D"/>
    <w:rsid w:val="00BF53F6"/>
    <w:rsid w:val="00BF5819"/>
    <w:rsid w:val="00BF693B"/>
    <w:rsid w:val="00BF6E8A"/>
    <w:rsid w:val="00C024DD"/>
    <w:rsid w:val="00C0614D"/>
    <w:rsid w:val="00C10D3E"/>
    <w:rsid w:val="00C37850"/>
    <w:rsid w:val="00C43F5A"/>
    <w:rsid w:val="00C47E90"/>
    <w:rsid w:val="00C47F87"/>
    <w:rsid w:val="00C505A6"/>
    <w:rsid w:val="00C509B7"/>
    <w:rsid w:val="00C51F0F"/>
    <w:rsid w:val="00C74375"/>
    <w:rsid w:val="00C81489"/>
    <w:rsid w:val="00C821D4"/>
    <w:rsid w:val="00C83677"/>
    <w:rsid w:val="00C83C8D"/>
    <w:rsid w:val="00C933DF"/>
    <w:rsid w:val="00C976F6"/>
    <w:rsid w:val="00CC1CBA"/>
    <w:rsid w:val="00CC4F4B"/>
    <w:rsid w:val="00CC5499"/>
    <w:rsid w:val="00CC61F7"/>
    <w:rsid w:val="00CE5DE4"/>
    <w:rsid w:val="00CE70D2"/>
    <w:rsid w:val="00D14A87"/>
    <w:rsid w:val="00D1506B"/>
    <w:rsid w:val="00D16C1B"/>
    <w:rsid w:val="00D23621"/>
    <w:rsid w:val="00D25BF8"/>
    <w:rsid w:val="00D26C32"/>
    <w:rsid w:val="00D2719D"/>
    <w:rsid w:val="00D306F9"/>
    <w:rsid w:val="00D33BDB"/>
    <w:rsid w:val="00D575F0"/>
    <w:rsid w:val="00D76E40"/>
    <w:rsid w:val="00D848AC"/>
    <w:rsid w:val="00D87271"/>
    <w:rsid w:val="00DA371A"/>
    <w:rsid w:val="00DB6B39"/>
    <w:rsid w:val="00DD786F"/>
    <w:rsid w:val="00DF25BC"/>
    <w:rsid w:val="00DF6624"/>
    <w:rsid w:val="00E15F27"/>
    <w:rsid w:val="00E1649E"/>
    <w:rsid w:val="00E25C2B"/>
    <w:rsid w:val="00E30A06"/>
    <w:rsid w:val="00E64EA8"/>
    <w:rsid w:val="00E714B2"/>
    <w:rsid w:val="00E74E27"/>
    <w:rsid w:val="00E76545"/>
    <w:rsid w:val="00E86AF9"/>
    <w:rsid w:val="00E932B4"/>
    <w:rsid w:val="00EB4B0F"/>
    <w:rsid w:val="00ED3F66"/>
    <w:rsid w:val="00EF424E"/>
    <w:rsid w:val="00F04399"/>
    <w:rsid w:val="00F13E80"/>
    <w:rsid w:val="00F26BCC"/>
    <w:rsid w:val="00F44BB3"/>
    <w:rsid w:val="00F55621"/>
    <w:rsid w:val="00F666C9"/>
    <w:rsid w:val="00F71913"/>
    <w:rsid w:val="00F757EC"/>
    <w:rsid w:val="00FC0296"/>
    <w:rsid w:val="00FD4413"/>
    <w:rsid w:val="00FD6E8C"/>
    <w:rsid w:val="00FE1F4E"/>
    <w:rsid w:val="00FE3AAB"/>
    <w:rsid w:val="00FE4BEA"/>
    <w:rsid w:val="00FE78D7"/>
    <w:rsid w:val="00FF2B47"/>
    <w:rsid w:val="00FF7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7E596"/>
  <w15:chartTrackingRefBased/>
  <w15:docId w15:val="{C0705EAC-783D-4A94-9144-EFF9E055B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5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5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5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5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5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5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5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5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5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5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5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5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5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5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5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5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5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5EDD"/>
    <w:rPr>
      <w:rFonts w:eastAsiaTheme="majorEastAsia" w:cstheme="majorBidi"/>
      <w:color w:val="272727" w:themeColor="text1" w:themeTint="D8"/>
    </w:rPr>
  </w:style>
  <w:style w:type="paragraph" w:styleId="Title">
    <w:name w:val="Title"/>
    <w:basedOn w:val="Normal"/>
    <w:next w:val="Normal"/>
    <w:link w:val="TitleChar"/>
    <w:uiPriority w:val="10"/>
    <w:qFormat/>
    <w:rsid w:val="00AE5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5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5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5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5EDD"/>
    <w:pPr>
      <w:spacing w:before="160"/>
      <w:jc w:val="center"/>
    </w:pPr>
    <w:rPr>
      <w:i/>
      <w:iCs/>
      <w:color w:val="404040" w:themeColor="text1" w:themeTint="BF"/>
    </w:rPr>
  </w:style>
  <w:style w:type="character" w:customStyle="1" w:styleId="QuoteChar">
    <w:name w:val="Quote Char"/>
    <w:basedOn w:val="DefaultParagraphFont"/>
    <w:link w:val="Quote"/>
    <w:uiPriority w:val="29"/>
    <w:rsid w:val="00AE5EDD"/>
    <w:rPr>
      <w:i/>
      <w:iCs/>
      <w:color w:val="404040" w:themeColor="text1" w:themeTint="BF"/>
    </w:rPr>
  </w:style>
  <w:style w:type="paragraph" w:styleId="ListParagraph">
    <w:name w:val="List Paragraph"/>
    <w:basedOn w:val="Normal"/>
    <w:uiPriority w:val="34"/>
    <w:qFormat/>
    <w:rsid w:val="00AE5EDD"/>
    <w:pPr>
      <w:ind w:left="720"/>
      <w:contextualSpacing/>
    </w:pPr>
  </w:style>
  <w:style w:type="character" w:styleId="IntenseEmphasis">
    <w:name w:val="Intense Emphasis"/>
    <w:basedOn w:val="DefaultParagraphFont"/>
    <w:uiPriority w:val="21"/>
    <w:qFormat/>
    <w:rsid w:val="00AE5EDD"/>
    <w:rPr>
      <w:i/>
      <w:iCs/>
      <w:color w:val="0F4761" w:themeColor="accent1" w:themeShade="BF"/>
    </w:rPr>
  </w:style>
  <w:style w:type="paragraph" w:styleId="IntenseQuote">
    <w:name w:val="Intense Quote"/>
    <w:basedOn w:val="Normal"/>
    <w:next w:val="Normal"/>
    <w:link w:val="IntenseQuoteChar"/>
    <w:uiPriority w:val="30"/>
    <w:qFormat/>
    <w:rsid w:val="00AE5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5EDD"/>
    <w:rPr>
      <w:i/>
      <w:iCs/>
      <w:color w:val="0F4761" w:themeColor="accent1" w:themeShade="BF"/>
    </w:rPr>
  </w:style>
  <w:style w:type="character" w:styleId="IntenseReference">
    <w:name w:val="Intense Reference"/>
    <w:basedOn w:val="DefaultParagraphFont"/>
    <w:uiPriority w:val="32"/>
    <w:qFormat/>
    <w:rsid w:val="00AE5EDD"/>
    <w:rPr>
      <w:b/>
      <w:bCs/>
      <w:smallCaps/>
      <w:color w:val="0F4761" w:themeColor="accent1" w:themeShade="BF"/>
      <w:spacing w:val="5"/>
    </w:rPr>
  </w:style>
  <w:style w:type="paragraph" w:styleId="NoSpacing">
    <w:name w:val="No Spacing"/>
    <w:uiPriority w:val="1"/>
    <w:qFormat/>
    <w:rsid w:val="00AE5EDD"/>
    <w:pPr>
      <w:spacing w:after="0" w:line="240" w:lineRule="auto"/>
    </w:pPr>
  </w:style>
  <w:style w:type="paragraph" w:styleId="Header">
    <w:name w:val="header"/>
    <w:basedOn w:val="Normal"/>
    <w:link w:val="HeaderChar"/>
    <w:uiPriority w:val="99"/>
    <w:unhideWhenUsed/>
    <w:rsid w:val="005217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17EC"/>
  </w:style>
  <w:style w:type="paragraph" w:styleId="Footer">
    <w:name w:val="footer"/>
    <w:basedOn w:val="Normal"/>
    <w:link w:val="FooterChar"/>
    <w:uiPriority w:val="99"/>
    <w:unhideWhenUsed/>
    <w:rsid w:val="005217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17EC"/>
  </w:style>
  <w:style w:type="table" w:styleId="TableGrid">
    <w:name w:val="Table Grid"/>
    <w:basedOn w:val="TableNormal"/>
    <w:uiPriority w:val="39"/>
    <w:rsid w:val="00213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778CD"/>
    <w:rPr>
      <w:color w:val="467886" w:themeColor="hyperlink"/>
      <w:u w:val="single"/>
    </w:rPr>
  </w:style>
  <w:style w:type="character" w:styleId="UnresolvedMention">
    <w:name w:val="Unresolved Mention"/>
    <w:basedOn w:val="DefaultParagraphFont"/>
    <w:uiPriority w:val="99"/>
    <w:semiHidden/>
    <w:unhideWhenUsed/>
    <w:rsid w:val="002778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8/s41398-025-03460-x" TargetMode="External"/><Relationship Id="rId13" Type="http://schemas.openxmlformats.org/officeDocument/2006/relationships/hyperlink" Target="https://www.legislation.gov.uk/ukpga/1983/20/content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1080/15622975.2022.2086290"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s://www.who.int/publications/i/item/9789240077263" TargetMode="External"/><Relationship Id="rId2" Type="http://schemas.openxmlformats.org/officeDocument/2006/relationships/styles" Target="styles.xml"/><Relationship Id="rId16" Type="http://schemas.openxmlformats.org/officeDocument/2006/relationships/hyperlink" Target="https://doi.org/10.1001/jamanetworkopen.2025.4888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ubmed.ncbi.nlm.nih.gov/41396602/" TargetMode="External"/><Relationship Id="rId5" Type="http://schemas.openxmlformats.org/officeDocument/2006/relationships/footnotes" Target="footnotes.xml"/><Relationship Id="rId15" Type="http://schemas.openxmlformats.org/officeDocument/2006/relationships/hyperlink" Target="https://digital.nhs.uk/data-and-information/publications/statistical/adult-psychiatric-morbidity-survey/survey-of-mental-health-and-wellbeing-england-2023-24/common-mental-health-conditions" TargetMode="External"/><Relationship Id="rId10" Type="http://schemas.openxmlformats.org/officeDocument/2006/relationships/hyperlink" Target="https://doi.org/10.3390/jcm1222713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02/da.23386" TargetMode="External"/><Relationship Id="rId14" Type="http://schemas.openxmlformats.org/officeDocument/2006/relationships/hyperlink" Target="https://www.nice.org.uk/guidance/cg1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3290</Words>
  <Characters>18755</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Pearl Jiyane</dc:creator>
  <cp:keywords/>
  <dc:description/>
  <cp:lastModifiedBy>Pearl Jiyane</cp:lastModifiedBy>
  <cp:revision>2</cp:revision>
  <dcterms:created xsi:type="dcterms:W3CDTF">2026-07-20T11:35:00Z</dcterms:created>
  <dcterms:modified xsi:type="dcterms:W3CDTF">2026-07-20T11:35:00Z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32879343-eb03-4b86-82b0-7123ac25234a</vt:lpwstr>
  </property>
</Properties>
</file>