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i w:val="1"/>
          <w:sz w:val="24"/>
          <w:szCs w:val="24"/>
        </w:rPr>
      </w:pPr>
      <w:r w:rsidDel="00000000" w:rsidR="00000000" w:rsidRPr="00000000">
        <w:rPr>
          <w:b w:val="1"/>
          <w:sz w:val="24"/>
          <w:szCs w:val="24"/>
          <w:rtl w:val="0"/>
        </w:rPr>
        <w:t xml:space="preserve">Framework:</w:t>
      </w:r>
      <w:r w:rsidDel="00000000" w:rsidR="00000000" w:rsidRPr="00000000">
        <w:rPr>
          <w:sz w:val="24"/>
          <w:szCs w:val="24"/>
          <w:rtl w:val="0"/>
        </w:rPr>
        <w:t xml:space="preserve"> </w:t>
      </w:r>
      <w:r w:rsidDel="00000000" w:rsidR="00000000" w:rsidRPr="00000000">
        <w:rPr>
          <w:i w:val="1"/>
          <w:sz w:val="24"/>
          <w:szCs w:val="24"/>
          <w:rtl w:val="0"/>
        </w:rPr>
        <w:t xml:space="preserve">technological implementation, transformation, challenges, competency and L&amp;M.</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pStyle w:val="Heading1"/>
        <w:keepNext w:val="0"/>
        <w:keepLines w:val="0"/>
        <w:spacing w:before="480" w:lineRule="auto"/>
        <w:rPr>
          <w:b w:val="1"/>
          <w:sz w:val="24"/>
          <w:szCs w:val="24"/>
        </w:rPr>
      </w:pPr>
      <w:bookmarkStart w:colFirst="0" w:colLast="0" w:name="_kg2z2uun8qjq" w:id="0"/>
      <w:bookmarkEnd w:id="0"/>
      <w:r w:rsidDel="00000000" w:rsidR="00000000" w:rsidRPr="00000000">
        <w:rPr>
          <w:b w:val="1"/>
          <w:sz w:val="24"/>
          <w:szCs w:val="24"/>
          <w:rtl w:val="0"/>
        </w:rPr>
        <w:t xml:space="preserve">Leading Through Digital Transformation: Investigating the Use of Technology by Further Education College Leaders in England</w:t>
      </w:r>
    </w:p>
    <w:p w:rsidR="00000000" w:rsidDel="00000000" w:rsidP="00000000" w:rsidRDefault="00000000" w:rsidRPr="00000000" w14:paraId="00000004">
      <w:pPr>
        <w:pStyle w:val="Heading2"/>
        <w:keepNext w:val="0"/>
        <w:keepLines w:val="0"/>
        <w:spacing w:after="80" w:lineRule="auto"/>
        <w:rPr>
          <w:b w:val="1"/>
          <w:sz w:val="24"/>
          <w:szCs w:val="24"/>
        </w:rPr>
      </w:pPr>
      <w:bookmarkStart w:colFirst="0" w:colLast="0" w:name="_2rlefmu5g4c4" w:id="1"/>
      <w:bookmarkEnd w:id="1"/>
      <w:r w:rsidDel="00000000" w:rsidR="00000000" w:rsidRPr="00000000">
        <w:rPr>
          <w:b w:val="1"/>
          <w:sz w:val="24"/>
          <w:szCs w:val="24"/>
          <w:rtl w:val="0"/>
        </w:rPr>
        <w:t xml:space="preserve">1. Background and Context </w:t>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 xml:space="preserve">Digital technologies have radically transformed the way individuals live, communicate, work, and learn in the 21st century. These changes have been particularly impactful within educational institutions, especially in the Further Education (FE) sector in England (Selwyn, 2016; JISC, 2020; OECD, 2021). The integration of digital tools and platforms has reshaped not only pedagogy and student engagement but also the expectations placed on institutional leadership. Leaders in FE are no longer confined to the roles of strategic oversight and curriculum delivery—they are now at the forefront of digital innovation and system-wide transformation (JISC, 2020).</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 xml:space="preserve">In the context of post-pandemic recovery, growing demands for digital literacy, and an increasingly competitive educational market, the need for robust digital leadership in FE has never been greater. FE college leaders are required to ensure institutional resilience while adapting to fast-changing technologies and national policy shifts. The Department of Education (DfE, 2019) has highlighted the strategic importance of digital capability, urging education providers to prioritise digital infrastructure, teaching, and leadership as central components of educational improvement. Thus, this research is both timely and necessary, focusing on the evolving role of FE leaders in digital transformation.</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 xml:space="preserve">The primary aim of this research is to investigate how FE college leaders in England engage with digital technology in their daily work. These leaders are pivotal actors in post-16 education, responsible for enacting policy, delivering institutional vision, assuring quality, and fostering continuous professional development. Increasingly, their responsibilities include cultivating digital fluency among staff, promoting innovation in learning technologies, and aligning institutional practices with frameworks for digital maturity (JISC, 2020; ETF, 2018).</w:t>
      </w:r>
    </w:p>
    <w:p w:rsidR="00000000" w:rsidDel="00000000" w:rsidP="00000000" w:rsidRDefault="00000000" w:rsidRPr="00000000" w14:paraId="00000008">
      <w:pPr>
        <w:spacing w:after="240" w:before="240" w:lineRule="auto"/>
        <w:rPr>
          <w:sz w:val="24"/>
          <w:szCs w:val="24"/>
        </w:rPr>
      </w:pPr>
      <w:r w:rsidDel="00000000" w:rsidR="00000000" w:rsidRPr="00000000">
        <w:rPr>
          <w:sz w:val="24"/>
          <w:szCs w:val="24"/>
          <w:rtl w:val="0"/>
        </w:rPr>
        <w:t xml:space="preserve">Leadership in FE has undergone significant conceptual shifts, reflecting broader changes in education management and governance. Early 1990s incorporation transformed FE colleges from local authority institutions to independent corporations (Hayes, 2007). This structural change has required leaders to develop new competencies in finance, governance, and strategic planning. Lumby (2001) observed that many FE managers historically refrained from identifying as ‘leaders’, reflecting a more operational than visionary interpretation of their roles. However, in the current digital context, the emphasis on change leadership, innovation, and digital strategy has made the leadership dimension increasingly prominent.</w:t>
      </w:r>
    </w:p>
    <w:p w:rsidR="00000000" w:rsidDel="00000000" w:rsidP="00000000" w:rsidRDefault="00000000" w:rsidRPr="00000000" w14:paraId="00000009">
      <w:pPr>
        <w:spacing w:after="240" w:before="240" w:lineRule="auto"/>
        <w:rPr>
          <w:sz w:val="24"/>
          <w:szCs w:val="24"/>
        </w:rPr>
      </w:pPr>
      <w:r w:rsidDel="00000000" w:rsidR="00000000" w:rsidRPr="00000000">
        <w:rPr>
          <w:sz w:val="24"/>
          <w:szCs w:val="24"/>
          <w:rtl w:val="0"/>
        </w:rPr>
        <w:t xml:space="preserve">This research builds on theoretical contributions from scholars such as Anderson and Dexter (2005), who argue that leadership is the most critical factor in effective technology integration. It also engages with Kotter’s (1990) distinction between leadership and management, framing FE leaders as agents of digital change rather than passive implementers of centralised directives. The investigation will assess how FE leaders understand digital technologies, their confidence and competency in using them, and the challenges they face in driving institutional digital agendas.</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 xml:space="preserve">Critically, there remains a lack of empirical research focusing specifically on leadership and technology in the FE sector (Greatbatch &amp; Tate, 2018; Lumby, 2001). This research aims to address that gap by producing evidence-based insights that inform leadership development, influence national policy, and support the design of professional learning frameworks tailored to the specific context of FE. By doing so, it contributes to both academic understanding and sectoral improvement in a time of digital disruption and opportunity.</w:t>
      </w:r>
    </w:p>
    <w:p w:rsidR="00000000" w:rsidDel="00000000" w:rsidP="00000000" w:rsidRDefault="00000000" w:rsidRPr="00000000" w14:paraId="0000000B">
      <w:pPr>
        <w:spacing w:after="240" w:before="240" w:lineRule="auto"/>
        <w:rPr>
          <w:sz w:val="24"/>
          <w:szCs w:val="24"/>
        </w:rPr>
      </w:pPr>
      <w:r w:rsidDel="00000000" w:rsidR="00000000" w:rsidRPr="00000000">
        <w:rPr>
          <w:rtl w:val="0"/>
        </w:rPr>
      </w:r>
    </w:p>
    <w:p w:rsidR="00000000" w:rsidDel="00000000" w:rsidP="00000000" w:rsidRDefault="00000000" w:rsidRPr="00000000" w14:paraId="0000000C">
      <w:pPr>
        <w:pStyle w:val="Heading2"/>
        <w:keepNext w:val="0"/>
        <w:keepLines w:val="0"/>
        <w:spacing w:after="80" w:lineRule="auto"/>
        <w:rPr>
          <w:b w:val="1"/>
          <w:sz w:val="24"/>
          <w:szCs w:val="24"/>
        </w:rPr>
      </w:pPr>
      <w:bookmarkStart w:colFirst="0" w:colLast="0" w:name="_mlq0diopjwa2" w:id="2"/>
      <w:bookmarkEnd w:id="2"/>
      <w:r w:rsidDel="00000000" w:rsidR="00000000" w:rsidRPr="00000000">
        <w:rPr>
          <w:b w:val="1"/>
          <w:sz w:val="24"/>
          <w:szCs w:val="24"/>
          <w:rtl w:val="0"/>
        </w:rPr>
        <w:t xml:space="preserve">2. Research Aims and Questions</w:t>
      </w:r>
    </w:p>
    <w:p w:rsidR="00000000" w:rsidDel="00000000" w:rsidP="00000000" w:rsidRDefault="00000000" w:rsidRPr="00000000" w14:paraId="0000000D">
      <w:pPr>
        <w:spacing w:after="240" w:before="240" w:lineRule="auto"/>
        <w:rPr>
          <w:sz w:val="24"/>
          <w:szCs w:val="24"/>
        </w:rPr>
      </w:pPr>
      <w:r w:rsidDel="00000000" w:rsidR="00000000" w:rsidRPr="00000000">
        <w:rPr>
          <w:sz w:val="24"/>
          <w:szCs w:val="24"/>
          <w:rtl w:val="0"/>
        </w:rPr>
        <w:t xml:space="preserve">The implementation and management of technology in education inherently entail disruption. Leaders are often pulled from traditional models of governance into unfamiliar terrain marked by evolving software, changing pedagogical models, and new modes of learner engagement. Unlike traditional reforms, technology is embedded in the very fabric of everyday life, blurring the lines between institutional change and societal transformation (Fullan, 2013).</w:t>
      </w:r>
    </w:p>
    <w:p w:rsidR="00000000" w:rsidDel="00000000" w:rsidP="00000000" w:rsidRDefault="00000000" w:rsidRPr="00000000" w14:paraId="0000000E">
      <w:pPr>
        <w:pStyle w:val="Heading3"/>
        <w:keepNext w:val="0"/>
        <w:keepLines w:val="0"/>
        <w:spacing w:before="280" w:lineRule="auto"/>
        <w:rPr>
          <w:b w:val="1"/>
          <w:color w:val="000000"/>
          <w:sz w:val="24"/>
          <w:szCs w:val="24"/>
        </w:rPr>
      </w:pPr>
      <w:bookmarkStart w:colFirst="0" w:colLast="0" w:name="_ou55t9ctpg3i" w:id="3"/>
      <w:bookmarkEnd w:id="3"/>
      <w:r w:rsidDel="00000000" w:rsidR="00000000" w:rsidRPr="00000000">
        <w:rPr>
          <w:b w:val="1"/>
          <w:color w:val="000000"/>
          <w:sz w:val="24"/>
          <w:szCs w:val="24"/>
          <w:rtl w:val="0"/>
        </w:rPr>
        <w:t xml:space="preserve">2.1 Aims and Objectives</w:t>
      </w:r>
    </w:p>
    <w:p w:rsidR="00000000" w:rsidDel="00000000" w:rsidP="00000000" w:rsidRDefault="00000000" w:rsidRPr="00000000" w14:paraId="0000000F">
      <w:pPr>
        <w:spacing w:after="240" w:before="240" w:lineRule="auto"/>
        <w:rPr>
          <w:sz w:val="24"/>
          <w:szCs w:val="24"/>
        </w:rPr>
      </w:pPr>
      <w:r w:rsidDel="00000000" w:rsidR="00000000" w:rsidRPr="00000000">
        <w:rPr>
          <w:sz w:val="24"/>
          <w:szCs w:val="24"/>
          <w:rtl w:val="0"/>
        </w:rPr>
        <w:t xml:space="preserve">This qualitative research investigates ways in which FE college leaders use digital technology in their daily professional responsibilities. The study will explore:</w:t>
      </w:r>
    </w:p>
    <w:p w:rsidR="00000000" w:rsidDel="00000000" w:rsidP="00000000" w:rsidRDefault="00000000" w:rsidRPr="00000000" w14:paraId="00000010">
      <w:pPr>
        <w:numPr>
          <w:ilvl w:val="0"/>
          <w:numId w:val="2"/>
        </w:numPr>
        <w:spacing w:after="0" w:afterAutospacing="0" w:before="240" w:lineRule="auto"/>
        <w:ind w:left="720" w:hanging="360"/>
        <w:rPr>
          <w:sz w:val="24"/>
          <w:szCs w:val="24"/>
        </w:rPr>
      </w:pPr>
      <w:r w:rsidDel="00000000" w:rsidR="00000000" w:rsidRPr="00000000">
        <w:rPr>
          <w:sz w:val="24"/>
          <w:szCs w:val="24"/>
          <w:rtl w:val="0"/>
        </w:rPr>
        <w:t xml:space="preserve">FE leaders’ levels of digital competency and confidence</w:t>
        <w:br w:type="textWrapping"/>
      </w:r>
    </w:p>
    <w:p w:rsidR="00000000" w:rsidDel="00000000" w:rsidP="00000000" w:rsidRDefault="00000000" w:rsidRPr="00000000" w14:paraId="00000011">
      <w:pPr>
        <w:numPr>
          <w:ilvl w:val="0"/>
          <w:numId w:val="2"/>
        </w:numPr>
        <w:spacing w:after="0" w:afterAutospacing="0" w:before="0" w:beforeAutospacing="0" w:lineRule="auto"/>
        <w:ind w:left="720" w:hanging="360"/>
        <w:rPr>
          <w:sz w:val="24"/>
          <w:szCs w:val="24"/>
        </w:rPr>
      </w:pPr>
      <w:r w:rsidDel="00000000" w:rsidR="00000000" w:rsidRPr="00000000">
        <w:rPr>
          <w:sz w:val="24"/>
          <w:szCs w:val="24"/>
          <w:rtl w:val="0"/>
        </w:rPr>
        <w:t xml:space="preserve">FE leaders’ perceptions of the usefulness and challenges of technological integration</w:t>
        <w:br w:type="textWrapping"/>
      </w:r>
    </w:p>
    <w:p w:rsidR="00000000" w:rsidDel="00000000" w:rsidP="00000000" w:rsidRDefault="00000000" w:rsidRPr="00000000" w14:paraId="00000012">
      <w:pPr>
        <w:numPr>
          <w:ilvl w:val="0"/>
          <w:numId w:val="2"/>
        </w:numPr>
        <w:spacing w:after="240" w:before="0" w:beforeAutospacing="0" w:lineRule="auto"/>
        <w:ind w:left="720" w:hanging="360"/>
        <w:rPr>
          <w:sz w:val="24"/>
          <w:szCs w:val="24"/>
        </w:rPr>
      </w:pPr>
      <w:r w:rsidDel="00000000" w:rsidR="00000000" w:rsidRPr="00000000">
        <w:rPr>
          <w:sz w:val="24"/>
          <w:szCs w:val="24"/>
          <w:rtl w:val="0"/>
        </w:rPr>
        <w:t xml:space="preserve">The structural or institutional supports they require to lead digital transformation effectively</w:t>
        <w:br w:type="textWrapping"/>
      </w:r>
    </w:p>
    <w:p w:rsidR="00000000" w:rsidDel="00000000" w:rsidP="00000000" w:rsidRDefault="00000000" w:rsidRPr="00000000" w14:paraId="00000013">
      <w:pPr>
        <w:pStyle w:val="Heading3"/>
        <w:keepNext w:val="0"/>
        <w:keepLines w:val="0"/>
        <w:spacing w:before="280" w:lineRule="auto"/>
        <w:rPr>
          <w:b w:val="1"/>
          <w:color w:val="000000"/>
          <w:sz w:val="24"/>
          <w:szCs w:val="24"/>
        </w:rPr>
      </w:pPr>
      <w:bookmarkStart w:colFirst="0" w:colLast="0" w:name="_44zijd5ernr1" w:id="4"/>
      <w:bookmarkEnd w:id="4"/>
      <w:r w:rsidDel="00000000" w:rsidR="00000000" w:rsidRPr="00000000">
        <w:rPr>
          <w:b w:val="1"/>
          <w:color w:val="000000"/>
          <w:sz w:val="24"/>
          <w:szCs w:val="24"/>
          <w:rtl w:val="0"/>
        </w:rPr>
        <w:t xml:space="preserve">2.2 Research Questions</w:t>
      </w:r>
    </w:p>
    <w:p w:rsidR="00000000" w:rsidDel="00000000" w:rsidP="00000000" w:rsidRDefault="00000000" w:rsidRPr="00000000" w14:paraId="00000014">
      <w:pPr>
        <w:spacing w:after="240" w:before="240" w:lineRule="auto"/>
        <w:rPr>
          <w:sz w:val="24"/>
          <w:szCs w:val="24"/>
        </w:rPr>
      </w:pPr>
      <w:r w:rsidDel="00000000" w:rsidR="00000000" w:rsidRPr="00000000">
        <w:rPr>
          <w:sz w:val="24"/>
          <w:szCs w:val="24"/>
          <w:rtl w:val="0"/>
        </w:rPr>
        <w:t xml:space="preserve">Based on these objectives, the following research questions will guide the study:</w:t>
      </w:r>
    </w:p>
    <w:p w:rsidR="00000000" w:rsidDel="00000000" w:rsidP="00000000" w:rsidRDefault="00000000" w:rsidRPr="00000000" w14:paraId="00000015">
      <w:pPr>
        <w:numPr>
          <w:ilvl w:val="0"/>
          <w:numId w:val="1"/>
        </w:numPr>
        <w:spacing w:after="0" w:afterAutospacing="0" w:before="240" w:lineRule="auto"/>
        <w:ind w:left="720" w:hanging="360"/>
        <w:rPr>
          <w:sz w:val="24"/>
          <w:szCs w:val="24"/>
        </w:rPr>
      </w:pPr>
      <w:r w:rsidDel="00000000" w:rsidR="00000000" w:rsidRPr="00000000">
        <w:rPr>
          <w:sz w:val="24"/>
          <w:szCs w:val="24"/>
          <w:rtl w:val="0"/>
        </w:rPr>
        <w:t xml:space="preserve">What are FE college leaders’ levels of technological competence and their perceptions of their digital skills?</w:t>
        <w:br w:type="textWrapping"/>
      </w:r>
    </w:p>
    <w:p w:rsidR="00000000" w:rsidDel="00000000" w:rsidP="00000000" w:rsidRDefault="00000000" w:rsidRPr="00000000" w14:paraId="00000016">
      <w:pPr>
        <w:numPr>
          <w:ilvl w:val="0"/>
          <w:numId w:val="1"/>
        </w:numPr>
        <w:spacing w:after="0" w:afterAutospacing="0" w:before="0" w:beforeAutospacing="0" w:lineRule="auto"/>
        <w:ind w:left="720" w:hanging="360"/>
        <w:rPr>
          <w:sz w:val="24"/>
          <w:szCs w:val="24"/>
        </w:rPr>
      </w:pPr>
      <w:r w:rsidDel="00000000" w:rsidR="00000000" w:rsidRPr="00000000">
        <w:rPr>
          <w:sz w:val="24"/>
          <w:szCs w:val="24"/>
          <w:rtl w:val="0"/>
        </w:rPr>
        <w:t xml:space="preserve">What are FE leaders’ views regarding the utility of digital technology in their work, including their training and support needs?</w:t>
        <w:br w:type="textWrapping"/>
      </w:r>
    </w:p>
    <w:p w:rsidR="00000000" w:rsidDel="00000000" w:rsidP="00000000" w:rsidRDefault="00000000" w:rsidRPr="00000000" w14:paraId="00000017">
      <w:pPr>
        <w:numPr>
          <w:ilvl w:val="0"/>
          <w:numId w:val="1"/>
        </w:numPr>
        <w:spacing w:after="240" w:before="0" w:beforeAutospacing="0" w:lineRule="auto"/>
        <w:ind w:left="720" w:hanging="360"/>
        <w:rPr>
          <w:sz w:val="24"/>
          <w:szCs w:val="24"/>
        </w:rPr>
      </w:pPr>
      <w:r w:rsidDel="00000000" w:rsidR="00000000" w:rsidRPr="00000000">
        <w:rPr>
          <w:sz w:val="24"/>
          <w:szCs w:val="24"/>
          <w:rtl w:val="0"/>
        </w:rPr>
        <w:t xml:space="preserve">What actions and frameworks do FE leaders identify as necessary to enhance digital transformation in their institutions?</w:t>
        <w:br w:type="textWrapping"/>
      </w:r>
    </w:p>
    <w:p w:rsidR="00000000" w:rsidDel="00000000" w:rsidP="00000000" w:rsidRDefault="00000000" w:rsidRPr="00000000" w14:paraId="00000018">
      <w:pPr>
        <w:pStyle w:val="Heading2"/>
        <w:keepNext w:val="0"/>
        <w:keepLines w:val="0"/>
        <w:spacing w:after="80" w:lineRule="auto"/>
        <w:rPr>
          <w:b w:val="1"/>
          <w:sz w:val="24"/>
          <w:szCs w:val="24"/>
        </w:rPr>
      </w:pPr>
      <w:bookmarkStart w:colFirst="0" w:colLast="0" w:name="_pwggumquy4vk" w:id="5"/>
      <w:bookmarkEnd w:id="5"/>
      <w:r w:rsidDel="00000000" w:rsidR="00000000" w:rsidRPr="00000000">
        <w:rPr>
          <w:b w:val="1"/>
          <w:sz w:val="24"/>
          <w:szCs w:val="24"/>
          <w:rtl w:val="0"/>
        </w:rPr>
        <w:t xml:space="preserve">3. Literature Review (approx. 2000 words)</w:t>
      </w:r>
    </w:p>
    <w:p w:rsidR="00000000" w:rsidDel="00000000" w:rsidP="00000000" w:rsidRDefault="00000000" w:rsidRPr="00000000" w14:paraId="00000019">
      <w:pPr>
        <w:spacing w:after="240" w:before="240" w:lineRule="auto"/>
        <w:rPr>
          <w:b w:val="1"/>
          <w:sz w:val="24"/>
          <w:szCs w:val="24"/>
        </w:rPr>
      </w:pPr>
      <w:r w:rsidDel="00000000" w:rsidR="00000000" w:rsidRPr="00000000">
        <w:rPr>
          <w:b w:val="1"/>
          <w:sz w:val="24"/>
          <w:szCs w:val="24"/>
          <w:rtl w:val="0"/>
        </w:rPr>
        <w:t xml:space="preserve">3.1 Historical Context and Policy Drivers</w:t>
      </w:r>
    </w:p>
    <w:p w:rsidR="00000000" w:rsidDel="00000000" w:rsidP="00000000" w:rsidRDefault="00000000" w:rsidRPr="00000000" w14:paraId="0000001A">
      <w:pPr>
        <w:spacing w:after="240" w:before="240" w:lineRule="auto"/>
        <w:rPr>
          <w:sz w:val="24"/>
          <w:szCs w:val="24"/>
        </w:rPr>
      </w:pPr>
      <w:r w:rsidDel="00000000" w:rsidR="00000000" w:rsidRPr="00000000">
        <w:rPr>
          <w:sz w:val="24"/>
          <w:szCs w:val="24"/>
          <w:rtl w:val="0"/>
        </w:rPr>
        <w:t xml:space="preserve">The development of Further Education (FE) colleges in England has been significantly shaped by structural reforms introduced during the late 20th century, most notably by the Further and Higher Education Act 1992. This legislation marked a significant milestone by granting FE colleges operational independence from local education authorities (LEAs) and establishing them as corporate entities responsible for their own governance, budgets, and strategic direction (Hayes, 2007). This move toward incorporation was driven by a broader neoliberal policy agenda promoting marketisation, accountability, and institutional autonomy in the public sector (Ball, 2012).</w:t>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t xml:space="preserve">The transformation of FE colleges into self-governing bodies created new leadership responsibilities, particularly in areas such as resource allocation, quality assurance, curriculum innovation, and workforce development. As FE colleges became increasingly accountable to central government funding bodies and performance metrics, the expectations placed on leaders evolved. College leaders were no longer simply administrators but became strategic managers required to navigate an increasingly complex policy and economic landscape (Greatbatch &amp; Tate, 2018).</w:t>
      </w:r>
    </w:p>
    <w:p w:rsidR="00000000" w:rsidDel="00000000" w:rsidP="00000000" w:rsidRDefault="00000000" w:rsidRPr="00000000" w14:paraId="0000001C">
      <w:pPr>
        <w:spacing w:after="240" w:before="240" w:lineRule="auto"/>
        <w:rPr>
          <w:sz w:val="24"/>
          <w:szCs w:val="24"/>
        </w:rPr>
      </w:pPr>
      <w:r w:rsidDel="00000000" w:rsidR="00000000" w:rsidRPr="00000000">
        <w:rPr>
          <w:sz w:val="24"/>
          <w:szCs w:val="24"/>
          <w:rtl w:val="0"/>
        </w:rPr>
        <w:t xml:space="preserve">This evolution coincided with the growing recognition of the role digital technologies could play in improving teaching and learning outcomes and institutional efficiency. The Department of Education (DfE, 2019) has consistently emphasised the need for digital transformation across all educational sectors. However, while schools and higher education institutions have often been the primary focus of national digital initiatives, FE has remained under-represented in both policy discourse and research (Lumby, 2001; Keep, 2006).</w:t>
      </w:r>
    </w:p>
    <w:p w:rsidR="00000000" w:rsidDel="00000000" w:rsidP="00000000" w:rsidRDefault="00000000" w:rsidRPr="00000000" w14:paraId="0000001D">
      <w:pPr>
        <w:spacing w:after="240" w:before="240" w:lineRule="auto"/>
        <w:rPr>
          <w:sz w:val="24"/>
          <w:szCs w:val="24"/>
        </w:rPr>
      </w:pPr>
      <w:r w:rsidDel="00000000" w:rsidR="00000000" w:rsidRPr="00000000">
        <w:rPr>
          <w:sz w:val="24"/>
          <w:szCs w:val="24"/>
          <w:rtl w:val="0"/>
        </w:rPr>
        <w:t xml:space="preserve">Historical policy initiatives, such as the Learning and Skills Council’s capital investment in ICT infrastructure during the early 2000s, laid some groundwork for digital adoption in FE. Nevertheless, policy fragmentation and inconsistent funding cycles have led to a lack of strategic coherence. This absence of sustained investment has affected the capacity of FE leaders to implement long-term digital strategies (ETF, 2018). The incorporation reforms also had the paradoxical effect of granting autonomy while simultaneously constraining institutions through performance measures and funding formulae, leaving FE leaders in a difficult position to innovate (Colley et al., 2007).</w:t>
      </w:r>
    </w:p>
    <w:p w:rsidR="00000000" w:rsidDel="00000000" w:rsidP="00000000" w:rsidRDefault="00000000" w:rsidRPr="00000000" w14:paraId="0000001E">
      <w:pPr>
        <w:spacing w:after="240" w:before="240" w:lineRule="auto"/>
        <w:rPr>
          <w:sz w:val="24"/>
          <w:szCs w:val="24"/>
        </w:rPr>
      </w:pPr>
      <w:r w:rsidDel="00000000" w:rsidR="00000000" w:rsidRPr="00000000">
        <w:rPr>
          <w:sz w:val="24"/>
          <w:szCs w:val="24"/>
          <w:rtl w:val="0"/>
        </w:rPr>
        <w:t xml:space="preserve">Recently, there has been a renewed emphasis on embedding digital skills within FE curricula through initiatives such as the EdTech Demonstrator Programme and the Skills for Jobs White Paper (DfE, 2021). These strategies reinforce the expectation that FE leaders not only foster digital inclusion among learners but also model technological competency in their professional practice. Yet, despite the evolving policy environment, there remains a pressing need to ensure consistent, evidence-based support for FE leaders navigating these complex expectations.</w:t>
      </w:r>
    </w:p>
    <w:p w:rsidR="00000000" w:rsidDel="00000000" w:rsidP="00000000" w:rsidRDefault="00000000" w:rsidRPr="00000000" w14:paraId="0000001F">
      <w:pPr>
        <w:spacing w:after="240" w:before="240" w:lineRule="auto"/>
        <w:rPr>
          <w:b w:val="1"/>
          <w:sz w:val="24"/>
          <w:szCs w:val="24"/>
        </w:rPr>
      </w:pPr>
      <w:r w:rsidDel="00000000" w:rsidR="00000000" w:rsidRPr="00000000">
        <w:rPr>
          <w:b w:val="1"/>
          <w:sz w:val="24"/>
          <w:szCs w:val="24"/>
          <w:rtl w:val="0"/>
        </w:rPr>
        <w:t xml:space="preserve">3.2 Leadership and Digital Competence</w:t>
      </w:r>
    </w:p>
    <w:p w:rsidR="00000000" w:rsidDel="00000000" w:rsidP="00000000" w:rsidRDefault="00000000" w:rsidRPr="00000000" w14:paraId="00000020">
      <w:pPr>
        <w:spacing w:after="240" w:before="240" w:lineRule="auto"/>
        <w:rPr>
          <w:sz w:val="24"/>
          <w:szCs w:val="24"/>
        </w:rPr>
      </w:pPr>
      <w:r w:rsidDel="00000000" w:rsidR="00000000" w:rsidRPr="00000000">
        <w:rPr>
          <w:sz w:val="24"/>
          <w:szCs w:val="24"/>
          <w:rtl w:val="0"/>
        </w:rPr>
        <w:t xml:space="preserve">In the context of digital transformation, leadership must be redefined to accommodate new competencies and responsibilities. Traditional definitions of leadership—focused on vision, staff development, and organisational alignment—must now include the capacity to guide digital innovation and ensure institutional digital resilience (Fullan, 2013). Ertmer and Ottenbreit-Leftwich (2010) distinguish between first-order knowledge (technical expertise in using hardware and software) and second-order knowledge (understanding how to use technology strategically to support pedagogy and institutional goals). Effective digital leadership thus requires both sets of competencies.</w:t>
      </w:r>
    </w:p>
    <w:p w:rsidR="00000000" w:rsidDel="00000000" w:rsidP="00000000" w:rsidRDefault="00000000" w:rsidRPr="00000000" w14:paraId="00000021">
      <w:pPr>
        <w:spacing w:after="240" w:before="240" w:lineRule="auto"/>
        <w:rPr>
          <w:sz w:val="24"/>
          <w:szCs w:val="24"/>
        </w:rPr>
      </w:pPr>
      <w:r w:rsidDel="00000000" w:rsidR="00000000" w:rsidRPr="00000000">
        <w:rPr>
          <w:sz w:val="24"/>
          <w:szCs w:val="24"/>
          <w:rtl w:val="0"/>
        </w:rPr>
        <w:t xml:space="preserve">Anderson and Dexter (2005), in a landmark empirical study, found that leadership was the strongest predictor of successful technology integration in schools. Their findings are relevant to FE, where institutional complexity and variability demand agile and adaptive leadership. Leaders must not only model effective technology use themselves but also cultivate a culture of trust, experimentation, and reflective practice among staff (JISC, 2020).</w:t>
      </w:r>
    </w:p>
    <w:p w:rsidR="00000000" w:rsidDel="00000000" w:rsidP="00000000" w:rsidRDefault="00000000" w:rsidRPr="00000000" w14:paraId="00000022">
      <w:pPr>
        <w:spacing w:after="240" w:before="240" w:lineRule="auto"/>
        <w:rPr>
          <w:sz w:val="24"/>
          <w:szCs w:val="24"/>
        </w:rPr>
      </w:pPr>
      <w:r w:rsidDel="00000000" w:rsidR="00000000" w:rsidRPr="00000000">
        <w:rPr>
          <w:sz w:val="24"/>
          <w:szCs w:val="24"/>
          <w:rtl w:val="0"/>
        </w:rPr>
        <w:t xml:space="preserve">Nevertheless, the literature suggests that digital leadership remains underdeveloped in the FE sector. Lumby (2001) notes that FE colleges often adopt hierarchical management structures that are ill-suited to fostering innovation and cross-functional collaboration. Furthermore, FE leaders are often promoted based on curriculum or operational expertise rather than digital competence, leading to capability gaps at senior levels (ETF, 2018). Selwyn (2016) argues that education systems frequently misunderstand digital technology, seeing it as a neutral tool rather than a socially embedded phenomenon that reshapes power dynamics, professional identities, and institutional values.</w:t>
      </w:r>
    </w:p>
    <w:p w:rsidR="00000000" w:rsidDel="00000000" w:rsidP="00000000" w:rsidRDefault="00000000" w:rsidRPr="00000000" w14:paraId="00000023">
      <w:pPr>
        <w:spacing w:after="240" w:before="240" w:lineRule="auto"/>
        <w:rPr>
          <w:sz w:val="24"/>
          <w:szCs w:val="24"/>
        </w:rPr>
      </w:pPr>
      <w:r w:rsidDel="00000000" w:rsidR="00000000" w:rsidRPr="00000000">
        <w:rPr>
          <w:sz w:val="24"/>
          <w:szCs w:val="24"/>
          <w:rtl w:val="0"/>
        </w:rPr>
        <w:t xml:space="preserve">Compounding this challenge is a lack of dedicated Continuing Professional Development (CPD) in digital leadership. While CPD for classroom-level digital pedagogy has expanded recently, training aimed at developing strategic digital leaders remains limited and inconsistent across the sector (Brown &amp; Green, 2020). As a result, many FE leaders rely on informal networks or ad hoc learning to develop their digital competencies, which can lead to uneven implementation and missed opportunities for systemic transformation.</w:t>
      </w:r>
    </w:p>
    <w:p w:rsidR="00000000" w:rsidDel="00000000" w:rsidP="00000000" w:rsidRDefault="00000000" w:rsidRPr="00000000" w14:paraId="00000024">
      <w:pPr>
        <w:spacing w:after="240" w:before="240" w:lineRule="auto"/>
        <w:rPr>
          <w:sz w:val="24"/>
          <w:szCs w:val="24"/>
        </w:rPr>
      </w:pPr>
      <w:r w:rsidDel="00000000" w:rsidR="00000000" w:rsidRPr="00000000">
        <w:rPr>
          <w:sz w:val="24"/>
          <w:szCs w:val="24"/>
          <w:rtl w:val="0"/>
        </w:rPr>
        <w:t xml:space="preserve">Recent studies suggest that digital leadership should be considered an iterative and developmental process rather than a fixed skill set. It involves not only acquiring technical proficiency but also developing digital mindsets—openness to change, resilience in the face of uncertainty, and an appreciation of digital ethics and inclusivity (Leadership Foundation for Higher Education, 2015). Such mindsets are essential for guiding organisations through rapid technological evolution and unexpected crises, such as the COVID-19 pandemic.</w:t>
      </w:r>
    </w:p>
    <w:p w:rsidR="00000000" w:rsidDel="00000000" w:rsidP="00000000" w:rsidRDefault="00000000" w:rsidRPr="00000000" w14:paraId="00000025">
      <w:pPr>
        <w:spacing w:after="240" w:before="240" w:lineRule="auto"/>
        <w:rPr>
          <w:b w:val="1"/>
          <w:sz w:val="24"/>
          <w:szCs w:val="24"/>
        </w:rPr>
      </w:pPr>
      <w:r w:rsidDel="00000000" w:rsidR="00000000" w:rsidRPr="00000000">
        <w:rPr>
          <w:b w:val="1"/>
          <w:sz w:val="24"/>
          <w:szCs w:val="24"/>
          <w:rtl w:val="0"/>
        </w:rPr>
        <w:t xml:space="preserve">3.3 The Impact of Technology on Educational Practice</w:t>
      </w:r>
    </w:p>
    <w:p w:rsidR="00000000" w:rsidDel="00000000" w:rsidP="00000000" w:rsidRDefault="00000000" w:rsidRPr="00000000" w14:paraId="00000026">
      <w:pPr>
        <w:spacing w:after="240" w:before="240" w:lineRule="auto"/>
        <w:rPr>
          <w:sz w:val="24"/>
          <w:szCs w:val="24"/>
        </w:rPr>
      </w:pPr>
      <w:r w:rsidDel="00000000" w:rsidR="00000000" w:rsidRPr="00000000">
        <w:rPr>
          <w:sz w:val="24"/>
          <w:szCs w:val="24"/>
          <w:rtl w:val="0"/>
        </w:rPr>
        <w:t xml:space="preserve">Technology has significantly transformed educational practice, offering new pedagogical opportunities and altering the nature of institutional operations. The shift from traditional face-to-face instruction to blended and online learning models represents a profound pedagogical evolution. According to Zitter and Hoeve (2012), hybrid learning environments—those that integrate digital and physical spaces—challenge conventional assumptions about curriculum delivery, assessment, and learner engagement.</w:t>
      </w:r>
    </w:p>
    <w:p w:rsidR="00000000" w:rsidDel="00000000" w:rsidP="00000000" w:rsidRDefault="00000000" w:rsidRPr="00000000" w14:paraId="00000027">
      <w:pPr>
        <w:spacing w:after="240" w:before="240" w:lineRule="auto"/>
        <w:rPr>
          <w:sz w:val="24"/>
          <w:szCs w:val="24"/>
        </w:rPr>
      </w:pPr>
      <w:r w:rsidDel="00000000" w:rsidR="00000000" w:rsidRPr="00000000">
        <w:rPr>
          <w:sz w:val="24"/>
          <w:szCs w:val="24"/>
          <w:rtl w:val="0"/>
        </w:rPr>
        <w:t xml:space="preserve">FE institutions, which serve diverse and often non-traditional student populations, stand to benefit significantly from such models. Online platforms such as Moodle, Microsoft Teams, and Google Classroom allow for asynchronous learning, flexible scheduling, and broader access to resources. However, these benefits are only realised when institutions have robust digital infrastructure, skilled staff, and committed leadership (UNESCO, 2020).</w:t>
      </w:r>
    </w:p>
    <w:p w:rsidR="00000000" w:rsidDel="00000000" w:rsidP="00000000" w:rsidRDefault="00000000" w:rsidRPr="00000000" w14:paraId="00000028">
      <w:pPr>
        <w:spacing w:after="240" w:before="240" w:lineRule="auto"/>
        <w:rPr>
          <w:sz w:val="24"/>
          <w:szCs w:val="24"/>
        </w:rPr>
      </w:pPr>
      <w:r w:rsidDel="00000000" w:rsidR="00000000" w:rsidRPr="00000000">
        <w:rPr>
          <w:sz w:val="24"/>
          <w:szCs w:val="24"/>
          <w:rtl w:val="0"/>
        </w:rPr>
        <w:t xml:space="preserve">The COVID-19 pandemic served as a catalyst for rapid digital adoption across the education sector. In FE, leaders were required to make swift decisions regarding platform selection, staff training, and digital safeguarding. While this period demonstrated the potential of digital learning, it also exposed significant gaps in infrastructure, digital literacy, and institutional readiness (Williamson et al., 2020). Many college leaders were left to navigate complex decisions without adequate policy support or evidence-based guidance.</w:t>
      </w:r>
    </w:p>
    <w:p w:rsidR="00000000" w:rsidDel="00000000" w:rsidP="00000000" w:rsidRDefault="00000000" w:rsidRPr="00000000" w14:paraId="00000029">
      <w:pPr>
        <w:spacing w:after="240" w:before="240" w:lineRule="auto"/>
        <w:rPr>
          <w:sz w:val="24"/>
          <w:szCs w:val="24"/>
        </w:rPr>
      </w:pPr>
      <w:r w:rsidDel="00000000" w:rsidR="00000000" w:rsidRPr="00000000">
        <w:rPr>
          <w:sz w:val="24"/>
          <w:szCs w:val="24"/>
          <w:rtl w:val="0"/>
        </w:rPr>
        <w:t xml:space="preserve">Moreover, digital technologies are reshaping the administrative and operational dimensions of education. Tools such as cloud-based management systems, data dashboards, and virtual meeting platforms have changed how leaders communicate, monitor performance, and make decisions. According to Balanskat et al. (2006), ICT enables more efficient workflows, enhances data-driven decision-making, and supports collaborative planning across departments.</w:t>
      </w:r>
    </w:p>
    <w:p w:rsidR="00000000" w:rsidDel="00000000" w:rsidP="00000000" w:rsidRDefault="00000000" w:rsidRPr="00000000" w14:paraId="0000002A">
      <w:pPr>
        <w:spacing w:after="240" w:before="240" w:lineRule="auto"/>
        <w:rPr>
          <w:sz w:val="24"/>
          <w:szCs w:val="24"/>
        </w:rPr>
      </w:pPr>
      <w:r w:rsidDel="00000000" w:rsidR="00000000" w:rsidRPr="00000000">
        <w:rPr>
          <w:sz w:val="24"/>
          <w:szCs w:val="24"/>
          <w:rtl w:val="0"/>
        </w:rPr>
        <w:t xml:space="preserve">Furthermore, technology has enabled the emergence of learning analytics and artificial intelligence (AI) tools that can predict student outcomes, tailor content delivery, and identify at-risk learners in real time. These developments, while promising, also raise concerns about ethical data usage, algorithmic transparency, and the potential for over-reliance on automated systems (Williamson &amp; Piattoeva, 2021).</w:t>
      </w:r>
    </w:p>
    <w:p w:rsidR="00000000" w:rsidDel="00000000" w:rsidP="00000000" w:rsidRDefault="00000000" w:rsidRPr="00000000" w14:paraId="0000002B">
      <w:pPr>
        <w:spacing w:after="240" w:before="240" w:lineRule="auto"/>
        <w:rPr>
          <w:sz w:val="24"/>
          <w:szCs w:val="24"/>
        </w:rPr>
      </w:pPr>
      <w:r w:rsidDel="00000000" w:rsidR="00000000" w:rsidRPr="00000000">
        <w:rPr>
          <w:sz w:val="24"/>
          <w:szCs w:val="24"/>
          <w:rtl w:val="0"/>
        </w:rPr>
        <w:t xml:space="preserve">However, the integration of technology also introduces new risks and ethical considerations. Issues related to digital surveillance, algorithmic bias, data privacy, and digital exclusion must be actively managed by educational leaders. Selwyn (2016) warns against technological determinism—the belief that digital tools will automatically improve education—emphasising the need for critical engagement and context-sensitive leadership.</w:t>
      </w:r>
    </w:p>
    <w:p w:rsidR="00000000" w:rsidDel="00000000" w:rsidP="00000000" w:rsidRDefault="00000000" w:rsidRPr="00000000" w14:paraId="0000002C">
      <w:pPr>
        <w:spacing w:after="240" w:before="240" w:lineRule="auto"/>
        <w:rPr>
          <w:b w:val="1"/>
          <w:sz w:val="24"/>
          <w:szCs w:val="24"/>
        </w:rPr>
      </w:pPr>
      <w:r w:rsidDel="00000000" w:rsidR="00000000" w:rsidRPr="00000000">
        <w:rPr>
          <w:b w:val="1"/>
          <w:sz w:val="24"/>
          <w:szCs w:val="24"/>
          <w:rtl w:val="0"/>
        </w:rPr>
        <w:t xml:space="preserve">3.4 Challenges and Opportunities for FE Leaders</w:t>
      </w:r>
    </w:p>
    <w:p w:rsidR="00000000" w:rsidDel="00000000" w:rsidP="00000000" w:rsidRDefault="00000000" w:rsidRPr="00000000" w14:paraId="0000002D">
      <w:pPr>
        <w:spacing w:after="240" w:before="240" w:lineRule="auto"/>
        <w:rPr>
          <w:sz w:val="24"/>
          <w:szCs w:val="24"/>
        </w:rPr>
      </w:pPr>
      <w:r w:rsidDel="00000000" w:rsidR="00000000" w:rsidRPr="00000000">
        <w:rPr>
          <w:sz w:val="24"/>
          <w:szCs w:val="24"/>
          <w:rtl w:val="0"/>
        </w:rPr>
        <w:t xml:space="preserve">The effective integration of digital technology in FE colleges is hampered by several enduring challenges:</w:t>
      </w:r>
    </w:p>
    <w:p w:rsidR="00000000" w:rsidDel="00000000" w:rsidP="00000000" w:rsidRDefault="00000000" w:rsidRPr="00000000" w14:paraId="0000002E">
      <w:pPr>
        <w:numPr>
          <w:ilvl w:val="0"/>
          <w:numId w:val="3"/>
        </w:numPr>
        <w:spacing w:after="0" w:afterAutospacing="0" w:before="240" w:lineRule="auto"/>
        <w:ind w:left="720" w:hanging="360"/>
        <w:rPr>
          <w:sz w:val="24"/>
          <w:szCs w:val="24"/>
        </w:rPr>
      </w:pPr>
      <w:r w:rsidDel="00000000" w:rsidR="00000000" w:rsidRPr="00000000">
        <w:rPr>
          <w:b w:val="1"/>
          <w:sz w:val="24"/>
          <w:szCs w:val="24"/>
          <w:rtl w:val="0"/>
        </w:rPr>
        <w:t xml:space="preserve">Infrastructural Barriers</w:t>
      </w:r>
      <w:r w:rsidDel="00000000" w:rsidR="00000000" w:rsidRPr="00000000">
        <w:rPr>
          <w:sz w:val="24"/>
          <w:szCs w:val="24"/>
          <w:rtl w:val="0"/>
        </w:rPr>
        <w:t xml:space="preserve">: Many FE institutions face infrastructural limitations, such as inadequate Wi-Fi coverage, outdated hardware, and inconsistent access to digital devices. These limitations restrict the capacity of leaders to implement digital strategies and frustrate efforts to scale innovation (JISC, 2020).</w:t>
      </w:r>
    </w:p>
    <w:p w:rsidR="00000000" w:rsidDel="00000000" w:rsidP="00000000" w:rsidRDefault="00000000" w:rsidRPr="00000000" w14:paraId="0000002F">
      <w:pPr>
        <w:numPr>
          <w:ilvl w:val="0"/>
          <w:numId w:val="3"/>
        </w:numPr>
        <w:spacing w:after="0" w:afterAutospacing="0" w:before="0" w:beforeAutospacing="0" w:lineRule="auto"/>
        <w:ind w:left="720" w:hanging="360"/>
        <w:rPr>
          <w:sz w:val="24"/>
          <w:szCs w:val="24"/>
        </w:rPr>
      </w:pPr>
      <w:r w:rsidDel="00000000" w:rsidR="00000000" w:rsidRPr="00000000">
        <w:rPr>
          <w:b w:val="1"/>
          <w:sz w:val="24"/>
          <w:szCs w:val="24"/>
          <w:rtl w:val="0"/>
        </w:rPr>
        <w:t xml:space="preserve">Cultural Resistance</w:t>
      </w:r>
      <w:r w:rsidDel="00000000" w:rsidR="00000000" w:rsidRPr="00000000">
        <w:rPr>
          <w:sz w:val="24"/>
          <w:szCs w:val="24"/>
          <w:rtl w:val="0"/>
        </w:rPr>
        <w:t xml:space="preserve">: Organisational culture plays a significant role in digital adoption. Staff members who are accustomed to traditional pedagogical methods may resist change, particularly if they lack confidence in their digital skills or perceive technology as undermining their professional autonomy (Eynon, 2013).</w:t>
      </w:r>
    </w:p>
    <w:p w:rsidR="00000000" w:rsidDel="00000000" w:rsidP="00000000" w:rsidRDefault="00000000" w:rsidRPr="00000000" w14:paraId="00000030">
      <w:pPr>
        <w:numPr>
          <w:ilvl w:val="0"/>
          <w:numId w:val="3"/>
        </w:numPr>
        <w:spacing w:after="0" w:afterAutospacing="0" w:before="0" w:beforeAutospacing="0" w:lineRule="auto"/>
        <w:ind w:left="720" w:hanging="360"/>
        <w:rPr>
          <w:sz w:val="24"/>
          <w:szCs w:val="24"/>
        </w:rPr>
      </w:pPr>
      <w:r w:rsidDel="00000000" w:rsidR="00000000" w:rsidRPr="00000000">
        <w:rPr>
          <w:b w:val="1"/>
          <w:sz w:val="24"/>
          <w:szCs w:val="24"/>
          <w:rtl w:val="0"/>
        </w:rPr>
        <w:t xml:space="preserve">Limited CPD and Leadership Support</w:t>
      </w:r>
      <w:r w:rsidDel="00000000" w:rsidR="00000000" w:rsidRPr="00000000">
        <w:rPr>
          <w:sz w:val="24"/>
          <w:szCs w:val="24"/>
          <w:rtl w:val="0"/>
        </w:rPr>
        <w:t xml:space="preserve">: As noted, there is a significant gap in professional development for digital leadership. CPD often focuses on operational or classroom-level skills rather than strategic digital leadership, leaving leaders ill-equipped to guide systemic transformation (ETF, 2018).</w:t>
      </w:r>
    </w:p>
    <w:p w:rsidR="00000000" w:rsidDel="00000000" w:rsidP="00000000" w:rsidRDefault="00000000" w:rsidRPr="00000000" w14:paraId="00000031">
      <w:pPr>
        <w:numPr>
          <w:ilvl w:val="0"/>
          <w:numId w:val="3"/>
        </w:numPr>
        <w:spacing w:after="240" w:before="0" w:beforeAutospacing="0" w:lineRule="auto"/>
        <w:ind w:left="720" w:hanging="360"/>
        <w:rPr>
          <w:sz w:val="24"/>
          <w:szCs w:val="24"/>
        </w:rPr>
      </w:pPr>
      <w:r w:rsidDel="00000000" w:rsidR="00000000" w:rsidRPr="00000000">
        <w:rPr>
          <w:b w:val="1"/>
          <w:sz w:val="24"/>
          <w:szCs w:val="24"/>
          <w:rtl w:val="0"/>
        </w:rPr>
        <w:t xml:space="preserve">Fragmented Policy Guidance</w:t>
      </w:r>
      <w:r w:rsidDel="00000000" w:rsidR="00000000" w:rsidRPr="00000000">
        <w:rPr>
          <w:sz w:val="24"/>
          <w:szCs w:val="24"/>
          <w:rtl w:val="0"/>
        </w:rPr>
        <w:t xml:space="preserve">: National strategies for digital education remain inconsistent. While the DfE has outlined broad ambitions for EdTech, it has not provided FE-specific guidance, funding, or accountability measures to support implementation (DfE, 2019).</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Despite these barriers, several opportunities can be leveraged by FE leaders to enhance digital maturity:</w:t>
      </w:r>
    </w:p>
    <w:p w:rsidR="00000000" w:rsidDel="00000000" w:rsidP="00000000" w:rsidRDefault="00000000" w:rsidRPr="00000000" w14:paraId="00000033">
      <w:pPr>
        <w:numPr>
          <w:ilvl w:val="0"/>
          <w:numId w:val="5"/>
        </w:numPr>
        <w:spacing w:after="0" w:afterAutospacing="0" w:before="240" w:lineRule="auto"/>
        <w:ind w:left="720" w:hanging="360"/>
        <w:rPr>
          <w:sz w:val="24"/>
          <w:szCs w:val="24"/>
        </w:rPr>
      </w:pPr>
      <w:r w:rsidDel="00000000" w:rsidR="00000000" w:rsidRPr="00000000">
        <w:rPr>
          <w:b w:val="1"/>
          <w:sz w:val="24"/>
          <w:szCs w:val="24"/>
          <w:rtl w:val="0"/>
        </w:rPr>
        <w:t xml:space="preserve">Agile Communication</w:t>
      </w:r>
      <w:r w:rsidDel="00000000" w:rsidR="00000000" w:rsidRPr="00000000">
        <w:rPr>
          <w:sz w:val="24"/>
          <w:szCs w:val="24"/>
          <w:rtl w:val="0"/>
        </w:rPr>
        <w:t xml:space="preserve">: Digital platforms enable rapid communication across geographically dispersed campuses and teams. Virtual meetings, collaborative documents, and instant messaging streamline decision-making and foster a culture of transparency (Balanskat et al., 2006).</w:t>
      </w:r>
    </w:p>
    <w:p w:rsidR="00000000" w:rsidDel="00000000" w:rsidP="00000000" w:rsidRDefault="00000000" w:rsidRPr="00000000" w14:paraId="00000034">
      <w:pPr>
        <w:numPr>
          <w:ilvl w:val="0"/>
          <w:numId w:val="5"/>
        </w:numPr>
        <w:spacing w:after="0" w:afterAutospacing="0" w:before="0" w:beforeAutospacing="0" w:lineRule="auto"/>
        <w:ind w:left="720" w:hanging="360"/>
        <w:rPr>
          <w:sz w:val="24"/>
          <w:szCs w:val="24"/>
        </w:rPr>
      </w:pPr>
      <w:r w:rsidDel="00000000" w:rsidR="00000000" w:rsidRPr="00000000">
        <w:rPr>
          <w:b w:val="1"/>
          <w:sz w:val="24"/>
          <w:szCs w:val="24"/>
          <w:rtl w:val="0"/>
        </w:rPr>
        <w:t xml:space="preserve">Data-Driven Leadership</w:t>
      </w:r>
      <w:r w:rsidDel="00000000" w:rsidR="00000000" w:rsidRPr="00000000">
        <w:rPr>
          <w:sz w:val="24"/>
          <w:szCs w:val="24"/>
          <w:rtl w:val="0"/>
        </w:rPr>
        <w:t xml:space="preserve">: The availability of real-time analytics and performance dashboards enables leaders to monitor institutional performance, identify areas for improvement, and tailor interventions accordingly (JISC, 2020).</w:t>
      </w:r>
    </w:p>
    <w:p w:rsidR="00000000" w:rsidDel="00000000" w:rsidP="00000000" w:rsidRDefault="00000000" w:rsidRPr="00000000" w14:paraId="00000035">
      <w:pPr>
        <w:numPr>
          <w:ilvl w:val="0"/>
          <w:numId w:val="5"/>
        </w:numPr>
        <w:spacing w:after="0" w:afterAutospacing="0" w:before="0" w:beforeAutospacing="0" w:lineRule="auto"/>
        <w:ind w:left="720" w:hanging="360"/>
        <w:rPr>
          <w:sz w:val="24"/>
          <w:szCs w:val="24"/>
        </w:rPr>
      </w:pPr>
      <w:r w:rsidDel="00000000" w:rsidR="00000000" w:rsidRPr="00000000">
        <w:rPr>
          <w:b w:val="1"/>
          <w:sz w:val="24"/>
          <w:szCs w:val="24"/>
          <w:rtl w:val="0"/>
        </w:rPr>
        <w:t xml:space="preserve">Flexible and Inclusive Learning</w:t>
      </w:r>
      <w:r w:rsidDel="00000000" w:rsidR="00000000" w:rsidRPr="00000000">
        <w:rPr>
          <w:sz w:val="24"/>
          <w:szCs w:val="24"/>
          <w:rtl w:val="0"/>
        </w:rPr>
        <w:t xml:space="preserve">: Online and blended learning models provide greater flexibility for students with work or caregiving responsibilities. They also allow colleges to reach learners in remote or underserved areas, promoting educational equity (UNESCO-UIS, 2015).</w:t>
      </w:r>
    </w:p>
    <w:p w:rsidR="00000000" w:rsidDel="00000000" w:rsidP="00000000" w:rsidRDefault="00000000" w:rsidRPr="00000000" w14:paraId="00000036">
      <w:pPr>
        <w:numPr>
          <w:ilvl w:val="0"/>
          <w:numId w:val="5"/>
        </w:numPr>
        <w:spacing w:after="0" w:afterAutospacing="0" w:before="0" w:beforeAutospacing="0" w:lineRule="auto"/>
        <w:ind w:left="720" w:hanging="360"/>
        <w:rPr>
          <w:sz w:val="24"/>
          <w:szCs w:val="24"/>
        </w:rPr>
      </w:pPr>
      <w:r w:rsidDel="00000000" w:rsidR="00000000" w:rsidRPr="00000000">
        <w:rPr>
          <w:b w:val="1"/>
          <w:sz w:val="24"/>
          <w:szCs w:val="24"/>
          <w:rtl w:val="0"/>
        </w:rPr>
        <w:t xml:space="preserve">Professional Collaboration and Networks</w:t>
      </w:r>
      <w:r w:rsidDel="00000000" w:rsidR="00000000" w:rsidRPr="00000000">
        <w:rPr>
          <w:sz w:val="24"/>
          <w:szCs w:val="24"/>
          <w:rtl w:val="0"/>
        </w:rPr>
        <w:t xml:space="preserve">: Technology enables cross-institutional collaboration and professional learning networks. FE leaders can share best practices, resources, and innovations more easily, enhancing collective capacity (Brown &amp; Green, 2020).</w:t>
      </w:r>
    </w:p>
    <w:p w:rsidR="00000000" w:rsidDel="00000000" w:rsidP="00000000" w:rsidRDefault="00000000" w:rsidRPr="00000000" w14:paraId="00000037">
      <w:pPr>
        <w:numPr>
          <w:ilvl w:val="0"/>
          <w:numId w:val="5"/>
        </w:numPr>
        <w:spacing w:after="240" w:before="0" w:beforeAutospacing="0" w:lineRule="auto"/>
        <w:ind w:left="720" w:hanging="360"/>
        <w:rPr>
          <w:sz w:val="24"/>
          <w:szCs w:val="24"/>
        </w:rPr>
      </w:pPr>
      <w:r w:rsidDel="00000000" w:rsidR="00000000" w:rsidRPr="00000000">
        <w:rPr>
          <w:b w:val="1"/>
          <w:sz w:val="24"/>
          <w:szCs w:val="24"/>
          <w:rtl w:val="0"/>
        </w:rPr>
        <w:t xml:space="preserve">Strategic Partnerships and Innovation</w:t>
      </w:r>
      <w:r w:rsidDel="00000000" w:rsidR="00000000" w:rsidRPr="00000000">
        <w:rPr>
          <w:sz w:val="24"/>
          <w:szCs w:val="24"/>
          <w:rtl w:val="0"/>
        </w:rPr>
        <w:t xml:space="preserve">: Increasingly, FE leaders are forming partnerships with technology providers, local employers, and community organisations to develop context-specific digital solutions. These collaborations not only support resource sharing but also enable colleges to tailor digital strategies to local labour market needs (ETF, 2022).</w:t>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To harness these opportunities, FE leaders must develop a coherent digital vision, align resources strategically, and foster an organisational culture that embraces continuous learning and digital experimentation. This requires a shift in both mindset and practice—a move from seeing technology as an operational add-on to viewing it as a strategic enabler of institutional mission and student success.</w:t>
      </w:r>
    </w:p>
    <w:p w:rsidR="00000000" w:rsidDel="00000000" w:rsidP="00000000" w:rsidRDefault="00000000" w:rsidRPr="00000000" w14:paraId="00000039">
      <w:pPr>
        <w:spacing w:after="240" w:before="240" w:lineRule="auto"/>
        <w:rPr>
          <w:b w:val="1"/>
          <w:sz w:val="24"/>
          <w:szCs w:val="24"/>
        </w:rPr>
      </w:pPr>
      <w:r w:rsidDel="00000000" w:rsidR="00000000" w:rsidRPr="00000000">
        <w:rPr>
          <w:b w:val="1"/>
          <w:sz w:val="24"/>
          <w:szCs w:val="24"/>
          <w:rtl w:val="0"/>
        </w:rPr>
        <w:t xml:space="preserve">3.5 Identifying the Research Gap</w:t>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While the literature reviewed underscores the increasing relevance of digital technology in education and the critical role of leadership in digital adoption, it also reveals a persistent gap in empirical research specifically focused on digital leadership within the FE sector. Much of the existing research on educational technology and leadership tends to focus on primary, secondary, or higher education contexts with limited attention to the unique organisational, cultural, and strategic dynamics of FE colleges (Lumby, 2001; Greatbatch &amp; Tate, 2018).</w:t>
      </w:r>
    </w:p>
    <w:p w:rsidR="00000000" w:rsidDel="00000000" w:rsidP="00000000" w:rsidRDefault="00000000" w:rsidRPr="00000000" w14:paraId="0000003B">
      <w:pPr>
        <w:spacing w:after="240" w:before="240" w:lineRule="auto"/>
        <w:rPr>
          <w:sz w:val="24"/>
          <w:szCs w:val="24"/>
        </w:rPr>
      </w:pPr>
      <w:r w:rsidDel="00000000" w:rsidR="00000000" w:rsidRPr="00000000">
        <w:rPr>
          <w:sz w:val="24"/>
          <w:szCs w:val="24"/>
          <w:rtl w:val="0"/>
        </w:rPr>
        <w:t xml:space="preserve">Furthermore, while policy documents and national strategies (e.g., DfE, 2019; JISC, 2020) acknowledge the importance of digital capability, they often fail to provide granular insights into how FE leaders operationalise these ambitions in practice. There is also a notable lack of research that captures the lived experiences, perceptions, and competencies of FE leaders as they respond to the demands of digital transformation. Studies that do exist tend to be descriptive rather than critical, offering surface-level analysis without exploring the deeper organisational or systemic challenges facing leaders in this sector.</w:t>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t xml:space="preserve">Moreover, the available CPD literature suggests an underinvestment in leadership-specific digital training, yet there is little qualitative data on how FE leaders themselves experience, interpret, or attempt to fill this gap. The sector therefore lacks an evidence-informed framework that could guide leadership development for digital maturity.</w:t>
      </w:r>
    </w:p>
    <w:p w:rsidR="00000000" w:rsidDel="00000000" w:rsidP="00000000" w:rsidRDefault="00000000" w:rsidRPr="00000000" w14:paraId="0000003D">
      <w:pPr>
        <w:spacing w:after="240" w:before="240" w:lineRule="auto"/>
        <w:rPr>
          <w:sz w:val="24"/>
          <w:szCs w:val="24"/>
        </w:rPr>
      </w:pPr>
      <w:r w:rsidDel="00000000" w:rsidR="00000000" w:rsidRPr="00000000">
        <w:rPr>
          <w:sz w:val="24"/>
          <w:szCs w:val="24"/>
          <w:rtl w:val="0"/>
        </w:rPr>
        <w:t xml:space="preserve">In light of these gaps, this study seeks to make an original contribution by providing a detailed, qualitative exploration of FE college leaders' use of digital technology in their daily work. It will explore their technological competencies, perceptions, leadership behaviours, and the institutional enablers and constraints they face. By doing so, it will offer context-sensitive insights that can inform leadership development, institutional strategy, and national policy for a digitally resilient FE sector.</w:t>
      </w:r>
      <w:r w:rsidDel="00000000" w:rsidR="00000000" w:rsidRPr="00000000">
        <w:rPr>
          <w:rtl w:val="0"/>
        </w:rPr>
      </w:r>
    </w:p>
    <w:p w:rsidR="00000000" w:rsidDel="00000000" w:rsidP="00000000" w:rsidRDefault="00000000" w:rsidRPr="00000000" w14:paraId="0000003E">
      <w:pPr>
        <w:pStyle w:val="Heading2"/>
        <w:keepNext w:val="0"/>
        <w:keepLines w:val="0"/>
        <w:spacing w:after="80" w:lineRule="auto"/>
        <w:rPr>
          <w:b w:val="1"/>
          <w:sz w:val="24"/>
          <w:szCs w:val="24"/>
        </w:rPr>
      </w:pPr>
      <w:bookmarkStart w:colFirst="0" w:colLast="0" w:name="_xs0ch7ubotx2" w:id="6"/>
      <w:bookmarkEnd w:id="6"/>
      <w:r w:rsidDel="00000000" w:rsidR="00000000" w:rsidRPr="00000000">
        <w:rPr>
          <w:b w:val="1"/>
          <w:sz w:val="24"/>
          <w:szCs w:val="24"/>
          <w:rtl w:val="0"/>
        </w:rPr>
        <w:t xml:space="preserve">4. Proposed Methodology </w:t>
      </w:r>
    </w:p>
    <w:p w:rsidR="00000000" w:rsidDel="00000000" w:rsidP="00000000" w:rsidRDefault="00000000" w:rsidRPr="00000000" w14:paraId="0000003F">
      <w:pPr>
        <w:spacing w:after="240" w:before="240" w:lineRule="auto"/>
        <w:rPr>
          <w:sz w:val="24"/>
          <w:szCs w:val="24"/>
        </w:rPr>
      </w:pPr>
      <w:r w:rsidDel="00000000" w:rsidR="00000000" w:rsidRPr="00000000">
        <w:rPr>
          <w:sz w:val="24"/>
          <w:szCs w:val="24"/>
          <w:rtl w:val="0"/>
        </w:rPr>
        <w:t xml:space="preserve">This section presents the philosophical, methodological, and operational framework for the proposed research, which seeks to explore the perceptions, technological competencies, and practices of Further Education (FE) college leaders regarding digital transformation in England. A sound methodology underpins the credibility, validity, and reliability of educational research, ensuring it is systematic, reflective, and ethically sound (Kumar, 2011).</w:t>
      </w:r>
    </w:p>
    <w:p w:rsidR="00000000" w:rsidDel="00000000" w:rsidP="00000000" w:rsidRDefault="00000000" w:rsidRPr="00000000" w14:paraId="00000040">
      <w:pPr>
        <w:spacing w:after="240" w:before="240" w:lineRule="auto"/>
        <w:rPr>
          <w:b w:val="1"/>
          <w:sz w:val="24"/>
          <w:szCs w:val="24"/>
        </w:rPr>
      </w:pPr>
      <w:r w:rsidDel="00000000" w:rsidR="00000000" w:rsidRPr="00000000">
        <w:rPr>
          <w:b w:val="1"/>
          <w:sz w:val="24"/>
          <w:szCs w:val="24"/>
          <w:rtl w:val="0"/>
        </w:rPr>
        <w:t xml:space="preserve">4.1 Research Philosophy and Paradigm</w:t>
      </w:r>
    </w:p>
    <w:p w:rsidR="00000000" w:rsidDel="00000000" w:rsidP="00000000" w:rsidRDefault="00000000" w:rsidRPr="00000000" w14:paraId="00000041">
      <w:pPr>
        <w:spacing w:after="240" w:before="240" w:lineRule="auto"/>
        <w:rPr>
          <w:sz w:val="24"/>
          <w:szCs w:val="24"/>
        </w:rPr>
      </w:pPr>
      <w:r w:rsidDel="00000000" w:rsidR="00000000" w:rsidRPr="00000000">
        <w:rPr>
          <w:sz w:val="24"/>
          <w:szCs w:val="24"/>
          <w:rtl w:val="0"/>
        </w:rPr>
        <w:t xml:space="preserve">There are several philosophical traditions underpinning educational research, notably positivism, interpretivism, and pragmatism. The chosen paradigm frames how reality is perceived and how knowledge is understood and constructed (Walliman, 2011).</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Positivism, a philosophy advanced by Auguste Comte (1798–1857), asserts that valid knowledge is obtained through sensory experience and empirical verification. It is associated with quantitative methods, hypothesis testing, and statistical generalisation (Comte, 1908; King, Keohane &amp; Verba, 1994). However, positivism was challenged by social scientists who questioned its applicability to complex human behaviours and social contexts.</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Conversely, interpretivism views reality as socially constructed and focuses on understanding the meaning individuals ascribe to experiences (Myers, 2008). This philosophy is well-suited to qualitative research, which aims to explore phenomena through language, lived experiences, and shared cultural meanings.</w:t>
      </w:r>
    </w:p>
    <w:p w:rsidR="00000000" w:rsidDel="00000000" w:rsidP="00000000" w:rsidRDefault="00000000" w:rsidRPr="00000000" w14:paraId="00000044">
      <w:pPr>
        <w:spacing w:after="240" w:before="240" w:lineRule="auto"/>
        <w:rPr>
          <w:sz w:val="24"/>
          <w:szCs w:val="24"/>
        </w:rPr>
      </w:pPr>
      <w:r w:rsidDel="00000000" w:rsidR="00000000" w:rsidRPr="00000000">
        <w:rPr>
          <w:sz w:val="24"/>
          <w:szCs w:val="24"/>
          <w:rtl w:val="0"/>
        </w:rPr>
        <w:t xml:space="preserve">Given the aim of this study—to understand how FE college leaders perceive and implement technology—the interpretivist paradigm is deemed most appropriate. The study does not seek to test a hypothesis statistically but to capture the contextual and subjective nuances of leadership practices in situ.</w:t>
      </w:r>
    </w:p>
    <w:p w:rsidR="00000000" w:rsidDel="00000000" w:rsidP="00000000" w:rsidRDefault="00000000" w:rsidRPr="00000000" w14:paraId="00000045">
      <w:pPr>
        <w:spacing w:after="240" w:before="240" w:lineRule="auto"/>
        <w:rPr>
          <w:sz w:val="24"/>
          <w:szCs w:val="24"/>
        </w:rPr>
      </w:pPr>
      <w:r w:rsidDel="00000000" w:rsidR="00000000" w:rsidRPr="00000000">
        <w:rPr>
          <w:sz w:val="24"/>
          <w:szCs w:val="24"/>
          <w:rtl w:val="0"/>
        </w:rPr>
        <w:t xml:space="preserve">While mixed methods (Creswell, 2003) were considered, the emphasis on understanding experience and perception, rather than measuring prevalence, renders qualitative methods more aligned with the research questions.</w:t>
      </w:r>
    </w:p>
    <w:p w:rsidR="00000000" w:rsidDel="00000000" w:rsidP="00000000" w:rsidRDefault="00000000" w:rsidRPr="00000000" w14:paraId="00000046">
      <w:pPr>
        <w:spacing w:after="240" w:before="240" w:lineRule="auto"/>
        <w:rPr>
          <w:b w:val="1"/>
          <w:sz w:val="24"/>
          <w:szCs w:val="24"/>
        </w:rPr>
      </w:pPr>
      <w:r w:rsidDel="00000000" w:rsidR="00000000" w:rsidRPr="00000000">
        <w:rPr>
          <w:b w:val="1"/>
          <w:sz w:val="24"/>
          <w:szCs w:val="24"/>
          <w:rtl w:val="0"/>
        </w:rPr>
        <w:t xml:space="preserve">4.2 Research Design</w:t>
      </w:r>
    </w:p>
    <w:p w:rsidR="00000000" w:rsidDel="00000000" w:rsidP="00000000" w:rsidRDefault="00000000" w:rsidRPr="00000000" w14:paraId="00000047">
      <w:pPr>
        <w:spacing w:after="240" w:before="240" w:lineRule="auto"/>
        <w:rPr>
          <w:sz w:val="24"/>
          <w:szCs w:val="24"/>
        </w:rPr>
      </w:pPr>
      <w:r w:rsidDel="00000000" w:rsidR="00000000" w:rsidRPr="00000000">
        <w:rPr>
          <w:sz w:val="24"/>
          <w:szCs w:val="24"/>
          <w:rtl w:val="0"/>
        </w:rPr>
        <w:t xml:space="preserve">The study adopts a </w:t>
      </w:r>
      <w:r w:rsidDel="00000000" w:rsidR="00000000" w:rsidRPr="00000000">
        <w:rPr>
          <w:b w:val="1"/>
          <w:sz w:val="24"/>
          <w:szCs w:val="24"/>
          <w:rtl w:val="0"/>
        </w:rPr>
        <w:t xml:space="preserve">transcendental phenomenological design</w:t>
      </w:r>
      <w:r w:rsidDel="00000000" w:rsidR="00000000" w:rsidRPr="00000000">
        <w:rPr>
          <w:sz w:val="24"/>
          <w:szCs w:val="24"/>
          <w:rtl w:val="0"/>
        </w:rPr>
        <w:t xml:space="preserve">, a qualitative methodology rooted in the philosophical writings of Husserl and Moustakas (1994). Phenomenology seeks to describe the commonalities of lived experiences and to distil the essence of a phenomenon. In this case, the phenomenon is the leadership and digital practices enacted by FE college leaders.</w:t>
      </w:r>
    </w:p>
    <w:p w:rsidR="00000000" w:rsidDel="00000000" w:rsidP="00000000" w:rsidRDefault="00000000" w:rsidRPr="00000000" w14:paraId="00000048">
      <w:pPr>
        <w:spacing w:after="240" w:before="240" w:lineRule="auto"/>
        <w:rPr>
          <w:sz w:val="24"/>
          <w:szCs w:val="24"/>
        </w:rPr>
      </w:pPr>
      <w:r w:rsidDel="00000000" w:rsidR="00000000" w:rsidRPr="00000000">
        <w:rPr>
          <w:sz w:val="24"/>
          <w:szCs w:val="24"/>
          <w:rtl w:val="0"/>
        </w:rPr>
        <w:t xml:space="preserve">This design enables the researcher to explore not only what leaders do with digital technology, but how they make sense of it, adapt to it, and enact it within complex institutional contexts (Denzin &amp; Lincoln, 1994). This design allows for rich data collection through interviews, supported by questionnaires and document analysis.</w:t>
      </w:r>
    </w:p>
    <w:p w:rsidR="00000000" w:rsidDel="00000000" w:rsidP="00000000" w:rsidRDefault="00000000" w:rsidRPr="00000000" w14:paraId="00000049">
      <w:pPr>
        <w:spacing w:after="240" w:before="240" w:lineRule="auto"/>
        <w:rPr>
          <w:b w:val="1"/>
          <w:sz w:val="24"/>
          <w:szCs w:val="24"/>
        </w:rPr>
      </w:pPr>
      <w:r w:rsidDel="00000000" w:rsidR="00000000" w:rsidRPr="00000000">
        <w:rPr>
          <w:b w:val="1"/>
          <w:sz w:val="24"/>
          <w:szCs w:val="24"/>
          <w:rtl w:val="0"/>
        </w:rPr>
        <w:t xml:space="preserve">4.3 Justification for a Qualitative Approach</w:t>
      </w:r>
    </w:p>
    <w:p w:rsidR="00000000" w:rsidDel="00000000" w:rsidP="00000000" w:rsidRDefault="00000000" w:rsidRPr="00000000" w14:paraId="0000004A">
      <w:pPr>
        <w:spacing w:after="240" w:before="240" w:lineRule="auto"/>
        <w:rPr>
          <w:sz w:val="24"/>
          <w:szCs w:val="24"/>
        </w:rPr>
      </w:pPr>
      <w:r w:rsidDel="00000000" w:rsidR="00000000" w:rsidRPr="00000000">
        <w:rPr>
          <w:sz w:val="24"/>
          <w:szCs w:val="24"/>
          <w:rtl w:val="0"/>
        </w:rPr>
        <w:t xml:space="preserve">The decision to employ a qualitative approach is based on several key considerations:</w:t>
      </w:r>
    </w:p>
    <w:p w:rsidR="00000000" w:rsidDel="00000000" w:rsidP="00000000" w:rsidRDefault="00000000" w:rsidRPr="00000000" w14:paraId="0000004B">
      <w:pPr>
        <w:numPr>
          <w:ilvl w:val="0"/>
          <w:numId w:val="4"/>
        </w:numPr>
        <w:spacing w:after="0" w:afterAutospacing="0" w:before="240" w:lineRule="auto"/>
        <w:ind w:left="720" w:hanging="360"/>
        <w:rPr>
          <w:sz w:val="24"/>
          <w:szCs w:val="24"/>
        </w:rPr>
      </w:pPr>
      <w:r w:rsidDel="00000000" w:rsidR="00000000" w:rsidRPr="00000000">
        <w:rPr>
          <w:b w:val="1"/>
          <w:sz w:val="24"/>
          <w:szCs w:val="24"/>
          <w:rtl w:val="0"/>
        </w:rPr>
        <w:t xml:space="preserve">Naturalistic Context</w:t>
      </w:r>
      <w:r w:rsidDel="00000000" w:rsidR="00000000" w:rsidRPr="00000000">
        <w:rPr>
          <w:sz w:val="24"/>
          <w:szCs w:val="24"/>
          <w:rtl w:val="0"/>
        </w:rPr>
        <w:t xml:space="preserve">: Data will be collected in the natural settings of participants—colleges or remote workplaces—rather than controlled environments, thus preserving contextual authenticity (Corwin, 2003).</w:t>
      </w:r>
    </w:p>
    <w:p w:rsidR="00000000" w:rsidDel="00000000" w:rsidP="00000000" w:rsidRDefault="00000000" w:rsidRPr="00000000" w14:paraId="0000004C">
      <w:pPr>
        <w:numPr>
          <w:ilvl w:val="0"/>
          <w:numId w:val="4"/>
        </w:numPr>
        <w:spacing w:after="0" w:afterAutospacing="0" w:before="0" w:beforeAutospacing="0" w:lineRule="auto"/>
        <w:ind w:left="720" w:hanging="360"/>
        <w:rPr>
          <w:sz w:val="24"/>
          <w:szCs w:val="24"/>
        </w:rPr>
      </w:pPr>
      <w:r w:rsidDel="00000000" w:rsidR="00000000" w:rsidRPr="00000000">
        <w:rPr>
          <w:b w:val="1"/>
          <w:sz w:val="24"/>
          <w:szCs w:val="24"/>
          <w:rtl w:val="0"/>
        </w:rPr>
        <w:t xml:space="preserve">Depth and Nuance</w:t>
      </w:r>
      <w:r w:rsidDel="00000000" w:rsidR="00000000" w:rsidRPr="00000000">
        <w:rPr>
          <w:sz w:val="24"/>
          <w:szCs w:val="24"/>
          <w:rtl w:val="0"/>
        </w:rPr>
        <w:t xml:space="preserve">: The focus is on gaining deep insight into the leadership practices and perspectives of FE leaders, something that numeric data alone cannot capture.</w:t>
      </w:r>
    </w:p>
    <w:p w:rsidR="00000000" w:rsidDel="00000000" w:rsidP="00000000" w:rsidRDefault="00000000" w:rsidRPr="00000000" w14:paraId="0000004D">
      <w:pPr>
        <w:numPr>
          <w:ilvl w:val="0"/>
          <w:numId w:val="4"/>
        </w:numPr>
        <w:spacing w:after="0" w:afterAutospacing="0" w:before="0" w:beforeAutospacing="0" w:lineRule="auto"/>
        <w:ind w:left="720" w:hanging="360"/>
        <w:rPr>
          <w:sz w:val="24"/>
          <w:szCs w:val="24"/>
        </w:rPr>
      </w:pPr>
      <w:r w:rsidDel="00000000" w:rsidR="00000000" w:rsidRPr="00000000">
        <w:rPr>
          <w:b w:val="1"/>
          <w:sz w:val="24"/>
          <w:szCs w:val="24"/>
          <w:rtl w:val="0"/>
        </w:rPr>
        <w:t xml:space="preserve">Perspective-Centred</w:t>
      </w:r>
      <w:r w:rsidDel="00000000" w:rsidR="00000000" w:rsidRPr="00000000">
        <w:rPr>
          <w:sz w:val="24"/>
          <w:szCs w:val="24"/>
          <w:rtl w:val="0"/>
        </w:rPr>
        <w:t xml:space="preserve">: The study centres on the subjective interpretations of leaders, making qualitative methods most appropriate (Brown, 2006).</w:t>
      </w:r>
    </w:p>
    <w:p w:rsidR="00000000" w:rsidDel="00000000" w:rsidP="00000000" w:rsidRDefault="00000000" w:rsidRPr="00000000" w14:paraId="0000004E">
      <w:pPr>
        <w:numPr>
          <w:ilvl w:val="0"/>
          <w:numId w:val="4"/>
        </w:numPr>
        <w:spacing w:after="240" w:before="0" w:beforeAutospacing="0" w:lineRule="auto"/>
        <w:ind w:left="720" w:hanging="360"/>
        <w:rPr>
          <w:sz w:val="24"/>
          <w:szCs w:val="24"/>
        </w:rPr>
      </w:pPr>
      <w:r w:rsidDel="00000000" w:rsidR="00000000" w:rsidRPr="00000000">
        <w:rPr>
          <w:b w:val="1"/>
          <w:sz w:val="24"/>
          <w:szCs w:val="24"/>
          <w:rtl w:val="0"/>
        </w:rPr>
        <w:t xml:space="preserve">Small, Targeted Sample</w:t>
      </w:r>
      <w:r w:rsidDel="00000000" w:rsidR="00000000" w:rsidRPr="00000000">
        <w:rPr>
          <w:sz w:val="24"/>
          <w:szCs w:val="24"/>
          <w:rtl w:val="0"/>
        </w:rPr>
        <w:t xml:space="preserve">: The research targets a defined group of professionals, for whom rich, narrative data are more informative than generalisable trends.</w:t>
      </w:r>
    </w:p>
    <w:p w:rsidR="00000000" w:rsidDel="00000000" w:rsidP="00000000" w:rsidRDefault="00000000" w:rsidRPr="00000000" w14:paraId="0000004F">
      <w:pPr>
        <w:spacing w:after="240" w:before="240" w:lineRule="auto"/>
        <w:rPr>
          <w:b w:val="1"/>
          <w:sz w:val="24"/>
          <w:szCs w:val="24"/>
        </w:rPr>
      </w:pPr>
      <w:r w:rsidDel="00000000" w:rsidR="00000000" w:rsidRPr="00000000">
        <w:rPr>
          <w:b w:val="1"/>
          <w:sz w:val="24"/>
          <w:szCs w:val="24"/>
          <w:rtl w:val="0"/>
        </w:rPr>
        <w:t xml:space="preserve">4.4 Area of Study and Target Population</w:t>
      </w:r>
    </w:p>
    <w:p w:rsidR="00000000" w:rsidDel="00000000" w:rsidP="00000000" w:rsidRDefault="00000000" w:rsidRPr="00000000" w14:paraId="00000050">
      <w:pPr>
        <w:spacing w:after="240" w:before="240" w:lineRule="auto"/>
        <w:rPr>
          <w:sz w:val="24"/>
          <w:szCs w:val="24"/>
        </w:rPr>
      </w:pPr>
      <w:r w:rsidDel="00000000" w:rsidR="00000000" w:rsidRPr="00000000">
        <w:rPr>
          <w:sz w:val="24"/>
          <w:szCs w:val="24"/>
          <w:rtl w:val="0"/>
        </w:rPr>
        <w:t xml:space="preserve">The study will be conducted with middle and senior leaders across a small selection of Further Education colleges in England. Participants will include Principals, Deputy Principals, Heads of Faculty, Heads of Department, and other staff with leadership responsibility for digital strategy.</w:t>
      </w:r>
    </w:p>
    <w:p w:rsidR="00000000" w:rsidDel="00000000" w:rsidP="00000000" w:rsidRDefault="00000000" w:rsidRPr="00000000" w14:paraId="00000051">
      <w:pPr>
        <w:spacing w:after="240" w:before="240" w:lineRule="auto"/>
        <w:rPr>
          <w:sz w:val="24"/>
          <w:szCs w:val="24"/>
        </w:rPr>
      </w:pPr>
      <w:r w:rsidDel="00000000" w:rsidR="00000000" w:rsidRPr="00000000">
        <w:rPr>
          <w:sz w:val="24"/>
          <w:szCs w:val="24"/>
          <w:rtl w:val="0"/>
        </w:rPr>
        <w:t xml:space="preserve">The target population is defined as the group of individuals who meet specific inclusion criteria: currently employed in a leadership role in an FE or sixth-form college in England. Secondary school leaders will be excluded, as their institutional contexts and accountability structures differ significantly from those in the FE sector (Burns &amp; Grove, 1997).</w:t>
      </w:r>
    </w:p>
    <w:p w:rsidR="00000000" w:rsidDel="00000000" w:rsidP="00000000" w:rsidRDefault="00000000" w:rsidRPr="00000000" w14:paraId="00000052">
      <w:pPr>
        <w:spacing w:after="240" w:before="240" w:lineRule="auto"/>
        <w:rPr>
          <w:b w:val="1"/>
          <w:sz w:val="24"/>
          <w:szCs w:val="24"/>
        </w:rPr>
      </w:pPr>
      <w:r w:rsidDel="00000000" w:rsidR="00000000" w:rsidRPr="00000000">
        <w:rPr>
          <w:b w:val="1"/>
          <w:sz w:val="24"/>
          <w:szCs w:val="24"/>
          <w:rtl w:val="0"/>
        </w:rPr>
        <w:t xml:space="preserve">4.5 Sampling Strategy</w:t>
      </w:r>
    </w:p>
    <w:p w:rsidR="00000000" w:rsidDel="00000000" w:rsidP="00000000" w:rsidRDefault="00000000" w:rsidRPr="00000000" w14:paraId="00000053">
      <w:pPr>
        <w:spacing w:after="240" w:before="240" w:lineRule="auto"/>
        <w:rPr>
          <w:sz w:val="24"/>
          <w:szCs w:val="24"/>
        </w:rPr>
      </w:pPr>
      <w:r w:rsidDel="00000000" w:rsidR="00000000" w:rsidRPr="00000000">
        <w:rPr>
          <w:sz w:val="24"/>
          <w:szCs w:val="24"/>
          <w:rtl w:val="0"/>
        </w:rPr>
        <w:t xml:space="preserve">This research will use </w:t>
      </w:r>
      <w:r w:rsidDel="00000000" w:rsidR="00000000" w:rsidRPr="00000000">
        <w:rPr>
          <w:b w:val="1"/>
          <w:sz w:val="24"/>
          <w:szCs w:val="24"/>
          <w:rtl w:val="0"/>
        </w:rPr>
        <w:t xml:space="preserve">purposive sampling</w:t>
      </w:r>
      <w:r w:rsidDel="00000000" w:rsidR="00000000" w:rsidRPr="00000000">
        <w:rPr>
          <w:sz w:val="24"/>
          <w:szCs w:val="24"/>
          <w:rtl w:val="0"/>
        </w:rPr>
        <w:t xml:space="preserve">, a non-probability method where participants are selected based on their ability to provide rich and relevant data (Palinkas et al., 2015). The criteria include their position within the college and experience with implementing or overseeing digital initiatives.</w:t>
      </w:r>
    </w:p>
    <w:p w:rsidR="00000000" w:rsidDel="00000000" w:rsidP="00000000" w:rsidRDefault="00000000" w:rsidRPr="00000000" w14:paraId="00000054">
      <w:pPr>
        <w:spacing w:after="240" w:before="240" w:lineRule="auto"/>
        <w:rPr>
          <w:sz w:val="24"/>
          <w:szCs w:val="24"/>
        </w:rPr>
      </w:pPr>
      <w:r w:rsidDel="00000000" w:rsidR="00000000" w:rsidRPr="00000000">
        <w:rPr>
          <w:sz w:val="24"/>
          <w:szCs w:val="24"/>
          <w:rtl w:val="0"/>
        </w:rPr>
        <w:t xml:space="preserve">To ensure diversity of perspective, stratified sampling will also be used to represent varying institutional contexts (e.g., urban vs rural, small vs large colleges). Where possible, a simple random sample will be drawn within these strata to select 8–10 participants.</w:t>
      </w:r>
    </w:p>
    <w:p w:rsidR="00000000" w:rsidDel="00000000" w:rsidP="00000000" w:rsidRDefault="00000000" w:rsidRPr="00000000" w14:paraId="00000055">
      <w:pPr>
        <w:spacing w:after="240" w:before="240" w:lineRule="auto"/>
        <w:rPr>
          <w:sz w:val="24"/>
          <w:szCs w:val="24"/>
        </w:rPr>
      </w:pPr>
      <w:r w:rsidDel="00000000" w:rsidR="00000000" w:rsidRPr="00000000">
        <w:rPr>
          <w:sz w:val="24"/>
          <w:szCs w:val="24"/>
          <w:rtl w:val="0"/>
        </w:rPr>
        <w:t xml:space="preserve">Kothari (2007) advocates sampling in cases where the population is finite yet dispersed, as in FE institutions across the country. This approach balances feasibility and richness.</w:t>
      </w:r>
    </w:p>
    <w:p w:rsidR="00000000" w:rsidDel="00000000" w:rsidP="00000000" w:rsidRDefault="00000000" w:rsidRPr="00000000" w14:paraId="00000056">
      <w:pPr>
        <w:spacing w:after="240" w:before="240" w:lineRule="auto"/>
        <w:rPr>
          <w:b w:val="1"/>
          <w:sz w:val="24"/>
          <w:szCs w:val="24"/>
        </w:rPr>
      </w:pPr>
      <w:r w:rsidDel="00000000" w:rsidR="00000000" w:rsidRPr="00000000">
        <w:rPr>
          <w:b w:val="1"/>
          <w:sz w:val="24"/>
          <w:szCs w:val="24"/>
          <w:rtl w:val="0"/>
        </w:rPr>
        <w:t xml:space="preserve">4.6 Data Collection Methods</w:t>
      </w:r>
    </w:p>
    <w:p w:rsidR="00000000" w:rsidDel="00000000" w:rsidP="00000000" w:rsidRDefault="00000000" w:rsidRPr="00000000" w14:paraId="00000057">
      <w:pPr>
        <w:spacing w:after="240" w:before="240" w:lineRule="auto"/>
        <w:rPr>
          <w:sz w:val="24"/>
          <w:szCs w:val="24"/>
        </w:rPr>
      </w:pPr>
      <w:r w:rsidDel="00000000" w:rsidR="00000000" w:rsidRPr="00000000">
        <w:rPr>
          <w:sz w:val="24"/>
          <w:szCs w:val="24"/>
          <w:rtl w:val="0"/>
        </w:rPr>
        <w:t xml:space="preserve">The research will collect data through three interrelated methods:</w:t>
      </w:r>
    </w:p>
    <w:p w:rsidR="00000000" w:rsidDel="00000000" w:rsidP="00000000" w:rsidRDefault="00000000" w:rsidRPr="00000000" w14:paraId="00000058">
      <w:pPr>
        <w:numPr>
          <w:ilvl w:val="0"/>
          <w:numId w:val="6"/>
        </w:numPr>
        <w:spacing w:after="0" w:afterAutospacing="0" w:before="240" w:lineRule="auto"/>
        <w:ind w:left="720" w:hanging="360"/>
        <w:rPr>
          <w:sz w:val="24"/>
          <w:szCs w:val="24"/>
        </w:rPr>
      </w:pPr>
      <w:r w:rsidDel="00000000" w:rsidR="00000000" w:rsidRPr="00000000">
        <w:rPr>
          <w:b w:val="1"/>
          <w:sz w:val="24"/>
          <w:szCs w:val="24"/>
          <w:rtl w:val="0"/>
        </w:rPr>
        <w:t xml:space="preserve">Semi-Structured Interviews</w:t>
      </w:r>
    </w:p>
    <w:p w:rsidR="00000000" w:rsidDel="00000000" w:rsidP="00000000" w:rsidRDefault="00000000" w:rsidRPr="00000000" w14:paraId="00000059">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Aimed at capturing detailed insights into the participants’ experiences, perceptions, and strategic approaches.</w:t>
      </w:r>
    </w:p>
    <w:p w:rsidR="00000000" w:rsidDel="00000000" w:rsidP="00000000" w:rsidRDefault="00000000" w:rsidRPr="00000000" w14:paraId="0000005A">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Approximately 12 interviews will be conducted, each lasting 45–60 minutes.</w:t>
      </w:r>
    </w:p>
    <w:p w:rsidR="00000000" w:rsidDel="00000000" w:rsidP="00000000" w:rsidRDefault="00000000" w:rsidRPr="00000000" w14:paraId="0000005B">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Interviews will be audio-recorded (with consent) and transcribed verbatim for analysis.</w:t>
      </w:r>
    </w:p>
    <w:p w:rsidR="00000000" w:rsidDel="00000000" w:rsidP="00000000" w:rsidRDefault="00000000" w:rsidRPr="00000000" w14:paraId="0000005C">
      <w:pPr>
        <w:numPr>
          <w:ilvl w:val="0"/>
          <w:numId w:val="6"/>
        </w:numPr>
        <w:spacing w:after="0" w:afterAutospacing="0" w:before="0" w:beforeAutospacing="0" w:lineRule="auto"/>
        <w:ind w:left="720" w:hanging="360"/>
        <w:rPr>
          <w:sz w:val="24"/>
          <w:szCs w:val="24"/>
        </w:rPr>
      </w:pPr>
      <w:r w:rsidDel="00000000" w:rsidR="00000000" w:rsidRPr="00000000">
        <w:rPr>
          <w:b w:val="1"/>
          <w:sz w:val="24"/>
          <w:szCs w:val="24"/>
          <w:rtl w:val="0"/>
        </w:rPr>
        <w:t xml:space="preserve">Questionnaires</w:t>
      </w:r>
    </w:p>
    <w:p w:rsidR="00000000" w:rsidDel="00000000" w:rsidP="00000000" w:rsidRDefault="00000000" w:rsidRPr="00000000" w14:paraId="0000005D">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Distributed to approximately 30 leaders to triangulate findings from the interviews.</w:t>
      </w:r>
    </w:p>
    <w:p w:rsidR="00000000" w:rsidDel="00000000" w:rsidP="00000000" w:rsidRDefault="00000000" w:rsidRPr="00000000" w14:paraId="0000005E">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The questionnaires will contain both open-ended and Likert-scale questions to explore general trends and contextual feedback.</w:t>
      </w:r>
    </w:p>
    <w:p w:rsidR="00000000" w:rsidDel="00000000" w:rsidP="00000000" w:rsidRDefault="00000000" w:rsidRPr="00000000" w14:paraId="0000005F">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This will enable breadth of insight across a larger pool.</w:t>
      </w:r>
    </w:p>
    <w:p w:rsidR="00000000" w:rsidDel="00000000" w:rsidP="00000000" w:rsidRDefault="00000000" w:rsidRPr="00000000" w14:paraId="00000060">
      <w:pPr>
        <w:numPr>
          <w:ilvl w:val="0"/>
          <w:numId w:val="6"/>
        </w:numPr>
        <w:spacing w:after="0" w:afterAutospacing="0" w:before="0" w:beforeAutospacing="0" w:lineRule="auto"/>
        <w:ind w:left="720" w:hanging="360"/>
        <w:rPr>
          <w:sz w:val="24"/>
          <w:szCs w:val="24"/>
        </w:rPr>
      </w:pPr>
      <w:r w:rsidDel="00000000" w:rsidR="00000000" w:rsidRPr="00000000">
        <w:rPr>
          <w:b w:val="1"/>
          <w:sz w:val="24"/>
          <w:szCs w:val="24"/>
          <w:rtl w:val="0"/>
        </w:rPr>
        <w:t xml:space="preserve">Document Analysis</w:t>
      </w:r>
    </w:p>
    <w:p w:rsidR="00000000" w:rsidDel="00000000" w:rsidP="00000000" w:rsidRDefault="00000000" w:rsidRPr="00000000" w14:paraId="00000061">
      <w:pPr>
        <w:numPr>
          <w:ilvl w:val="1"/>
          <w:numId w:val="6"/>
        </w:numPr>
        <w:spacing w:after="0" w:afterAutospacing="0" w:before="0" w:beforeAutospacing="0" w:lineRule="auto"/>
        <w:ind w:left="1440" w:hanging="360"/>
        <w:rPr>
          <w:sz w:val="24"/>
          <w:szCs w:val="24"/>
        </w:rPr>
      </w:pPr>
      <w:r w:rsidDel="00000000" w:rsidR="00000000" w:rsidRPr="00000000">
        <w:rPr>
          <w:sz w:val="24"/>
          <w:szCs w:val="24"/>
          <w:rtl w:val="0"/>
        </w:rPr>
        <w:t xml:space="preserve">Institutional strategy documents, CPD plans, technology policies, and inspection reports will be reviewed.</w:t>
      </w:r>
    </w:p>
    <w:p w:rsidR="00000000" w:rsidDel="00000000" w:rsidP="00000000" w:rsidRDefault="00000000" w:rsidRPr="00000000" w14:paraId="00000062">
      <w:pPr>
        <w:numPr>
          <w:ilvl w:val="1"/>
          <w:numId w:val="6"/>
        </w:numPr>
        <w:spacing w:after="240" w:before="0" w:beforeAutospacing="0" w:lineRule="auto"/>
        <w:ind w:left="1440" w:hanging="360"/>
        <w:rPr>
          <w:sz w:val="24"/>
          <w:szCs w:val="24"/>
        </w:rPr>
      </w:pPr>
      <w:r w:rsidDel="00000000" w:rsidR="00000000" w:rsidRPr="00000000">
        <w:rPr>
          <w:sz w:val="24"/>
          <w:szCs w:val="24"/>
          <w:rtl w:val="0"/>
        </w:rPr>
        <w:t xml:space="preserve">This provides a contextual frame and allows the researcher to compare espoused strategies with reported practice.</w:t>
      </w:r>
    </w:p>
    <w:p w:rsidR="00000000" w:rsidDel="00000000" w:rsidP="00000000" w:rsidRDefault="00000000" w:rsidRPr="00000000" w14:paraId="00000063">
      <w:pPr>
        <w:spacing w:after="240" w:before="240" w:lineRule="auto"/>
        <w:rPr>
          <w:sz w:val="24"/>
          <w:szCs w:val="24"/>
        </w:rPr>
      </w:pPr>
      <w:r w:rsidDel="00000000" w:rsidR="00000000" w:rsidRPr="00000000">
        <w:rPr>
          <w:sz w:val="24"/>
          <w:szCs w:val="24"/>
          <w:rtl w:val="0"/>
        </w:rPr>
        <w:t xml:space="preserve">The triangulation of these methods ensures validity and offers multiple lenses through which to interpret the phenomenon (Creswell, 2013).</w:t>
      </w:r>
    </w:p>
    <w:p w:rsidR="00000000" w:rsidDel="00000000" w:rsidP="00000000" w:rsidRDefault="00000000" w:rsidRPr="00000000" w14:paraId="00000064">
      <w:pPr>
        <w:spacing w:after="240" w:before="240" w:lineRule="auto"/>
        <w:rPr>
          <w:b w:val="1"/>
          <w:sz w:val="24"/>
          <w:szCs w:val="24"/>
        </w:rPr>
      </w:pPr>
      <w:r w:rsidDel="00000000" w:rsidR="00000000" w:rsidRPr="00000000">
        <w:rPr>
          <w:b w:val="1"/>
          <w:sz w:val="24"/>
          <w:szCs w:val="24"/>
          <w:rtl w:val="0"/>
        </w:rPr>
        <w:t xml:space="preserve">4.7 Data Analysis</w:t>
      </w:r>
    </w:p>
    <w:p w:rsidR="00000000" w:rsidDel="00000000" w:rsidP="00000000" w:rsidRDefault="00000000" w:rsidRPr="00000000" w14:paraId="00000065">
      <w:pPr>
        <w:spacing w:after="240" w:before="240" w:lineRule="auto"/>
        <w:rPr>
          <w:sz w:val="24"/>
          <w:szCs w:val="24"/>
        </w:rPr>
      </w:pPr>
      <w:r w:rsidDel="00000000" w:rsidR="00000000" w:rsidRPr="00000000">
        <w:rPr>
          <w:sz w:val="24"/>
          <w:szCs w:val="24"/>
          <w:rtl w:val="0"/>
        </w:rPr>
        <w:t xml:space="preserve">The data will be analysed using thematic analysis (Braun &amp; Clarke, 2006). Interview transcripts will be coded inductively and deductively using NVivo software. Emerging patterns will be grouped into categories and refined into key themes reflecting shared experiences and divergences.</w:t>
      </w:r>
      <w:r w:rsidDel="00000000" w:rsidR="00000000" w:rsidRPr="00000000">
        <w:rPr>
          <w:rtl w:val="0"/>
        </w:rPr>
      </w:r>
    </w:p>
    <w:p w:rsidR="00000000" w:rsidDel="00000000" w:rsidP="00000000" w:rsidRDefault="00000000" w:rsidRPr="00000000" w14:paraId="00000066">
      <w:pPr>
        <w:pStyle w:val="Heading3"/>
        <w:keepNext w:val="0"/>
        <w:keepLines w:val="0"/>
        <w:spacing w:before="280" w:lineRule="auto"/>
        <w:rPr>
          <w:b w:val="1"/>
          <w:color w:val="000000"/>
          <w:sz w:val="24"/>
          <w:szCs w:val="24"/>
        </w:rPr>
      </w:pPr>
      <w:bookmarkStart w:colFirst="0" w:colLast="0" w:name="_ecss2gd00sn" w:id="7"/>
      <w:bookmarkEnd w:id="7"/>
      <w:r w:rsidDel="00000000" w:rsidR="00000000" w:rsidRPr="00000000">
        <w:rPr>
          <w:b w:val="1"/>
          <w:color w:val="000000"/>
          <w:sz w:val="24"/>
          <w:szCs w:val="24"/>
          <w:rtl w:val="0"/>
        </w:rPr>
        <w:t xml:space="preserve">5 Ethical Considerations</w:t>
      </w:r>
    </w:p>
    <w:p w:rsidR="00000000" w:rsidDel="00000000" w:rsidP="00000000" w:rsidRDefault="00000000" w:rsidRPr="00000000" w14:paraId="00000067">
      <w:pPr>
        <w:spacing w:after="240" w:before="240" w:lineRule="auto"/>
        <w:rPr>
          <w:sz w:val="24"/>
          <w:szCs w:val="24"/>
        </w:rPr>
      </w:pPr>
      <w:r w:rsidDel="00000000" w:rsidR="00000000" w:rsidRPr="00000000">
        <w:rPr>
          <w:sz w:val="24"/>
          <w:szCs w:val="24"/>
          <w:rtl w:val="0"/>
        </w:rPr>
        <w:t xml:space="preserve">Ethical considerations are a cornerstone of sound educational research, especially when engaging human participants in professional contexts. The proposed study investigating the use of digital technologies by Further Education (FE) college leaders inherently presents a number of ethical challenges and responsibilities. In alignment with the British Educational Research Association (BERA) Ethical Guidelines for Educational Research (2018) and the British Educational Leadership Management and Administration Society (BELMAS) Code of Practice, this section critically explores the ethical implications of the study and outlines the measures to ensure compliance and responsible conduct.</w:t>
      </w:r>
    </w:p>
    <w:p w:rsidR="00000000" w:rsidDel="00000000" w:rsidP="00000000" w:rsidRDefault="00000000" w:rsidRPr="00000000" w14:paraId="00000068">
      <w:pPr>
        <w:spacing w:after="240" w:before="240" w:lineRule="auto"/>
        <w:rPr>
          <w:b w:val="1"/>
          <w:sz w:val="24"/>
          <w:szCs w:val="24"/>
        </w:rPr>
      </w:pPr>
      <w:r w:rsidDel="00000000" w:rsidR="00000000" w:rsidRPr="00000000">
        <w:rPr>
          <w:b w:val="1"/>
          <w:sz w:val="24"/>
          <w:szCs w:val="24"/>
          <w:rtl w:val="0"/>
        </w:rPr>
        <w:t xml:space="preserve">5.1 Informed Consent and Voluntary Participation</w:t>
      </w:r>
    </w:p>
    <w:p w:rsidR="00000000" w:rsidDel="00000000" w:rsidP="00000000" w:rsidRDefault="00000000" w:rsidRPr="00000000" w14:paraId="00000069">
      <w:pPr>
        <w:spacing w:after="240" w:before="240" w:lineRule="auto"/>
        <w:rPr>
          <w:sz w:val="24"/>
          <w:szCs w:val="24"/>
        </w:rPr>
      </w:pPr>
      <w:r w:rsidDel="00000000" w:rsidR="00000000" w:rsidRPr="00000000">
        <w:rPr>
          <w:sz w:val="24"/>
          <w:szCs w:val="24"/>
          <w:rtl w:val="0"/>
        </w:rPr>
        <w:t xml:space="preserve">Central to ethical research is the principle of informed consent. In this study, participants—comprising middle and senior leaders in FE colleges—will receive a comprehensive information sheet and consent form, clarifying the purpose, nature, and scope of the research. This documentation will explicitly state that participation is entirely voluntary, that contributions will be anonymised, and that participants may withdraw at any point without any consequences. These actions are consistent with BERA’s emphasis on autonomy and respect for persons, which demands that participants enter into the research willingly, with adequate understanding of their role and rights (BERA, 2018).</w:t>
      </w:r>
    </w:p>
    <w:p w:rsidR="00000000" w:rsidDel="00000000" w:rsidP="00000000" w:rsidRDefault="00000000" w:rsidRPr="00000000" w14:paraId="0000006A">
      <w:pPr>
        <w:spacing w:after="240" w:before="240" w:lineRule="auto"/>
        <w:rPr>
          <w:sz w:val="24"/>
          <w:szCs w:val="24"/>
        </w:rPr>
      </w:pPr>
      <w:r w:rsidDel="00000000" w:rsidR="00000000" w:rsidRPr="00000000">
        <w:rPr>
          <w:sz w:val="24"/>
          <w:szCs w:val="24"/>
          <w:rtl w:val="0"/>
        </w:rPr>
        <w:t xml:space="preserve">Further, ethical practice requires that consent be ongoing and dynamic rather than a one-time agreement. The researcher will therefore verbally reinforce the voluntary nature of participation before each interview begins, ensuring continuous participant engagement. BELMAS (2021) further supports this iterative consent model, particularly in leadership research, where power dynamics can subtly influence willingness to participate. By adopting these strategies, the researcher aims to foster transparency and trust.</w:t>
      </w:r>
    </w:p>
    <w:p w:rsidR="00000000" w:rsidDel="00000000" w:rsidP="00000000" w:rsidRDefault="00000000" w:rsidRPr="00000000" w14:paraId="0000006B">
      <w:pPr>
        <w:spacing w:after="240" w:before="240" w:lineRule="auto"/>
        <w:rPr>
          <w:b w:val="1"/>
          <w:sz w:val="24"/>
          <w:szCs w:val="24"/>
        </w:rPr>
      </w:pPr>
      <w:r w:rsidDel="00000000" w:rsidR="00000000" w:rsidRPr="00000000">
        <w:rPr>
          <w:b w:val="1"/>
          <w:sz w:val="24"/>
          <w:szCs w:val="24"/>
          <w:rtl w:val="0"/>
        </w:rPr>
        <w:t xml:space="preserve">5.2 Risk Assessment and Participant Wellbeing</w:t>
      </w:r>
    </w:p>
    <w:p w:rsidR="00000000" w:rsidDel="00000000" w:rsidP="00000000" w:rsidRDefault="00000000" w:rsidRPr="00000000" w14:paraId="0000006C">
      <w:pPr>
        <w:spacing w:after="240" w:before="240" w:lineRule="auto"/>
        <w:rPr>
          <w:sz w:val="24"/>
          <w:szCs w:val="24"/>
        </w:rPr>
      </w:pPr>
      <w:r w:rsidDel="00000000" w:rsidR="00000000" w:rsidRPr="00000000">
        <w:rPr>
          <w:sz w:val="24"/>
          <w:szCs w:val="24"/>
          <w:rtl w:val="0"/>
        </w:rPr>
        <w:t xml:space="preserve">Given that the research may include face-to-face interviews, there is an obligation to safeguard the physical and psychological wellbeing of participants. Risk assessments, conducted in collaboration with the estates manager, will ensure that interview environments are safe and accessible. The researcher will also apply the Display Screen Equipment (DSE) Regulations (1992; amended 2002) for virtual interviews, promoting ergonomic best practices and recommending regular breaks to prevent screen fatigue.</w:t>
      </w:r>
    </w:p>
    <w:p w:rsidR="00000000" w:rsidDel="00000000" w:rsidP="00000000" w:rsidRDefault="00000000" w:rsidRPr="00000000" w14:paraId="0000006D">
      <w:pPr>
        <w:spacing w:after="240" w:before="240" w:lineRule="auto"/>
        <w:rPr>
          <w:sz w:val="24"/>
          <w:szCs w:val="24"/>
        </w:rPr>
      </w:pPr>
      <w:r w:rsidDel="00000000" w:rsidR="00000000" w:rsidRPr="00000000">
        <w:rPr>
          <w:sz w:val="24"/>
          <w:szCs w:val="24"/>
          <w:rtl w:val="0"/>
        </w:rPr>
        <w:t xml:space="preserve">This attention to the comfort and safety of participants reflects BERA’s guidance that researchers have a duty to prevent harm and promote wellbeing (BERA, 2018). In professional educational settings, where leaders already manage significant pressures, even a minimal disruption can exacerbate stress. Therefore, the timing, format, and duration of interviews will be designed with sensitivity and flexibility to respect participants' time and workload.</w:t>
      </w:r>
    </w:p>
    <w:p w:rsidR="00000000" w:rsidDel="00000000" w:rsidP="00000000" w:rsidRDefault="00000000" w:rsidRPr="00000000" w14:paraId="0000006E">
      <w:pPr>
        <w:spacing w:after="240" w:before="240" w:lineRule="auto"/>
        <w:rPr>
          <w:b w:val="1"/>
          <w:sz w:val="24"/>
          <w:szCs w:val="24"/>
        </w:rPr>
      </w:pPr>
      <w:r w:rsidDel="00000000" w:rsidR="00000000" w:rsidRPr="00000000">
        <w:rPr>
          <w:b w:val="1"/>
          <w:sz w:val="24"/>
          <w:szCs w:val="24"/>
          <w:rtl w:val="0"/>
        </w:rPr>
        <w:t xml:space="preserve">5.3 Anonymity, Confidentiality, and Data Protection</w:t>
      </w:r>
    </w:p>
    <w:p w:rsidR="00000000" w:rsidDel="00000000" w:rsidP="00000000" w:rsidRDefault="00000000" w:rsidRPr="00000000" w14:paraId="0000006F">
      <w:pPr>
        <w:spacing w:after="240" w:before="240" w:lineRule="auto"/>
        <w:rPr>
          <w:sz w:val="24"/>
          <w:szCs w:val="24"/>
        </w:rPr>
      </w:pPr>
      <w:r w:rsidDel="00000000" w:rsidR="00000000" w:rsidRPr="00000000">
        <w:rPr>
          <w:sz w:val="24"/>
          <w:szCs w:val="24"/>
          <w:rtl w:val="0"/>
        </w:rPr>
        <w:t xml:space="preserve">Confidentiality and data security are critical, especially given the professional status of participants and the potential sensitivity of their disclosures. Participants' identities will be anonymised in all transcripts, reports, and publications. The researcher will ensure this by removing identifying information and using pseudonyms throughout the data lifecycle. Additionally, participants will be provided with their interview transcripts and given the opportunity to review, correct, or redact any part of their contribution. This not only empowers participants but also enhances the accuracy and credibility of the data.</w:t>
      </w:r>
    </w:p>
    <w:p w:rsidR="00000000" w:rsidDel="00000000" w:rsidP="00000000" w:rsidRDefault="00000000" w:rsidRPr="00000000" w14:paraId="00000070">
      <w:pPr>
        <w:spacing w:after="240" w:before="240" w:lineRule="auto"/>
        <w:rPr>
          <w:sz w:val="24"/>
          <w:szCs w:val="24"/>
        </w:rPr>
      </w:pPr>
      <w:r w:rsidDel="00000000" w:rsidR="00000000" w:rsidRPr="00000000">
        <w:rPr>
          <w:sz w:val="24"/>
          <w:szCs w:val="24"/>
          <w:rtl w:val="0"/>
        </w:rPr>
        <w:t xml:space="preserve">Data will be stored using encrypted systems or password-protected files, following institutional protocols and General Data Protection Regulation (GDPR) requirements. Access to raw data will be restricted to the researcher and supervisory team. These measures demonstrate alignment with both BERA’s commitment to secure data handling and BELMAS’s insistence on protecting the integrity and privacy of institutional actors.</w:t>
      </w:r>
    </w:p>
    <w:p w:rsidR="00000000" w:rsidDel="00000000" w:rsidP="00000000" w:rsidRDefault="00000000" w:rsidRPr="00000000" w14:paraId="00000071">
      <w:pPr>
        <w:spacing w:after="240" w:before="240" w:lineRule="auto"/>
        <w:rPr>
          <w:b w:val="1"/>
          <w:sz w:val="24"/>
          <w:szCs w:val="24"/>
        </w:rPr>
      </w:pPr>
      <w:r w:rsidDel="00000000" w:rsidR="00000000" w:rsidRPr="00000000">
        <w:rPr>
          <w:b w:val="1"/>
          <w:sz w:val="24"/>
          <w:szCs w:val="24"/>
          <w:rtl w:val="0"/>
        </w:rPr>
        <w:t xml:space="preserve">5.4 Researcher Reflexivity and Power Relations</w:t>
      </w:r>
    </w:p>
    <w:p w:rsidR="00000000" w:rsidDel="00000000" w:rsidP="00000000" w:rsidRDefault="00000000" w:rsidRPr="00000000" w14:paraId="00000072">
      <w:pPr>
        <w:spacing w:after="240" w:before="240" w:lineRule="auto"/>
        <w:rPr>
          <w:sz w:val="24"/>
          <w:szCs w:val="24"/>
        </w:rPr>
      </w:pPr>
      <w:r w:rsidDel="00000000" w:rsidR="00000000" w:rsidRPr="00000000">
        <w:rPr>
          <w:sz w:val="24"/>
          <w:szCs w:val="24"/>
          <w:rtl w:val="0"/>
        </w:rPr>
        <w:t xml:space="preserve">The dual role of the researcher as both an insider to the FE sector and as a doctoral investigator introduces potential ethical complications related to positionality and power. It is essential to remain reflexive and critically aware of how pre-existing professional relationships, implicit authority, or sectoral familiarity might affect participants’ responses. The researcher will mitigate this by maintaining a professional distance, ensuring neutrality during interviews, and clearly communicating that participation—or non-participation—will have no impact on institutional relationships or reputational standing.</w:t>
      </w:r>
    </w:p>
    <w:p w:rsidR="00000000" w:rsidDel="00000000" w:rsidP="00000000" w:rsidRDefault="00000000" w:rsidRPr="00000000" w14:paraId="00000073">
      <w:pPr>
        <w:spacing w:after="240" w:before="240" w:lineRule="auto"/>
        <w:rPr>
          <w:sz w:val="24"/>
          <w:szCs w:val="24"/>
        </w:rPr>
      </w:pPr>
      <w:r w:rsidDel="00000000" w:rsidR="00000000" w:rsidRPr="00000000">
        <w:rPr>
          <w:sz w:val="24"/>
          <w:szCs w:val="24"/>
          <w:rtl w:val="0"/>
        </w:rPr>
        <w:t xml:space="preserve">As noted by Robson and McCartan (2016), ethical leadership research requires careful attention to “ethics in practice” rather than just procedural ethics. By engaging in reflexive journaling, regularly consulting with peers and supervisors, and subjecting ethical decisions to scrutiny throughout the research lifecycle, the researcher will enhance ethical rigour and transparency.</w:t>
      </w:r>
    </w:p>
    <w:p w:rsidR="00000000" w:rsidDel="00000000" w:rsidP="00000000" w:rsidRDefault="00000000" w:rsidRPr="00000000" w14:paraId="00000074">
      <w:pPr>
        <w:spacing w:after="240" w:before="240" w:lineRule="auto"/>
        <w:rPr>
          <w:b w:val="1"/>
          <w:sz w:val="24"/>
          <w:szCs w:val="24"/>
        </w:rPr>
      </w:pPr>
      <w:r w:rsidDel="00000000" w:rsidR="00000000" w:rsidRPr="00000000">
        <w:rPr>
          <w:b w:val="1"/>
          <w:sz w:val="24"/>
          <w:szCs w:val="24"/>
          <w:rtl w:val="0"/>
        </w:rPr>
        <w:t xml:space="preserve">5.5  Institutional Oversight and Accountability</w:t>
      </w:r>
    </w:p>
    <w:p w:rsidR="00000000" w:rsidDel="00000000" w:rsidP="00000000" w:rsidRDefault="00000000" w:rsidRPr="00000000" w14:paraId="00000075">
      <w:pPr>
        <w:spacing w:after="240" w:before="240" w:lineRule="auto"/>
        <w:rPr>
          <w:b w:val="1"/>
          <w:color w:val="000000"/>
          <w:sz w:val="24"/>
          <w:szCs w:val="24"/>
        </w:rPr>
      </w:pPr>
      <w:r w:rsidDel="00000000" w:rsidR="00000000" w:rsidRPr="00000000">
        <w:rPr>
          <w:sz w:val="24"/>
          <w:szCs w:val="24"/>
          <w:rtl w:val="0"/>
        </w:rPr>
        <w:t xml:space="preserve">Ethical approval will be formally sought from the university ethics committee prior to data collection. This oversight ensures that the project design, participant engagement strategies, and data management protocols meet institutional and sector-wide ethical standards. Any amendments to the methodology will be subject to additional review, further reinforcing accountability and adherence to ethical codes.</w:t>
      </w:r>
      <w:r w:rsidDel="00000000" w:rsidR="00000000" w:rsidRPr="00000000">
        <w:rPr>
          <w:rtl w:val="0"/>
        </w:rPr>
      </w:r>
    </w:p>
    <w:p w:rsidR="00000000" w:rsidDel="00000000" w:rsidP="00000000" w:rsidRDefault="00000000" w:rsidRPr="00000000" w14:paraId="00000076">
      <w:pPr>
        <w:spacing w:after="240" w:before="240" w:lineRule="auto"/>
        <w:rPr>
          <w:sz w:val="24"/>
          <w:szCs w:val="24"/>
        </w:rPr>
      </w:pPr>
      <w:r w:rsidDel="00000000" w:rsidR="00000000" w:rsidRPr="00000000">
        <w:rPr>
          <w:sz w:val="24"/>
          <w:szCs w:val="24"/>
          <w:rtl w:val="0"/>
        </w:rPr>
        <w:t xml:space="preserve">This research proposal incorporates a comprehensive set of ethical safeguards aligned with professional standards from BERA and BELMAS. Through clear communication, secure data management, minimisation of risk, and reflexive practice, the project aspires to conduct ethically responsible research that respects the dignity, rights, and agency of FE college leaders. As educational research increasingly engages with complex, real-world contexts—such as digital transformation in post-16 education—ongoing ethical vigilance is not only necessary but foundational to producing trustworthy and impactful findings.</w:t>
      </w:r>
      <w:r w:rsidDel="00000000" w:rsidR="00000000" w:rsidRPr="00000000">
        <w:rPr>
          <w:rtl w:val="0"/>
        </w:rPr>
      </w:r>
    </w:p>
    <w:p w:rsidR="00000000" w:rsidDel="00000000" w:rsidP="00000000" w:rsidRDefault="00000000" w:rsidRPr="00000000" w14:paraId="00000077">
      <w:pPr>
        <w:pStyle w:val="Heading2"/>
        <w:keepNext w:val="0"/>
        <w:keepLines w:val="0"/>
        <w:spacing w:after="80" w:lineRule="auto"/>
        <w:rPr>
          <w:b w:val="1"/>
          <w:sz w:val="24"/>
          <w:szCs w:val="24"/>
        </w:rPr>
      </w:pPr>
      <w:bookmarkStart w:colFirst="0" w:colLast="0" w:name="_h81ocuhc2e2o" w:id="8"/>
      <w:bookmarkEnd w:id="8"/>
      <w:r w:rsidDel="00000000" w:rsidR="00000000" w:rsidRPr="00000000">
        <w:rPr>
          <w:b w:val="1"/>
          <w:sz w:val="24"/>
          <w:szCs w:val="24"/>
          <w:rtl w:val="0"/>
        </w:rPr>
        <w:t xml:space="preserve">5. Conclusion (approx. 300 words)</w:t>
      </w:r>
    </w:p>
    <w:p w:rsidR="00000000" w:rsidDel="00000000" w:rsidP="00000000" w:rsidRDefault="00000000" w:rsidRPr="00000000" w14:paraId="00000078">
      <w:pPr>
        <w:spacing w:after="240" w:before="240" w:lineRule="auto"/>
        <w:rPr>
          <w:sz w:val="24"/>
          <w:szCs w:val="24"/>
        </w:rPr>
      </w:pPr>
      <w:r w:rsidDel="00000000" w:rsidR="00000000" w:rsidRPr="00000000">
        <w:rPr>
          <w:sz w:val="24"/>
          <w:szCs w:val="24"/>
          <w:rtl w:val="0"/>
        </w:rPr>
        <w:t xml:space="preserve">This research seeks to address a significant and timely gap in educational literature by exploring how Further Education (FE) college leaders in England utilise digital technologies within their professional roles. In a landscape shaped by rapid technological advancement, constrained public funding, and post-pandemic reform, leadership in FE is more critical than ever. The sector’s response to digital transformation is likely to shape not only institutional performance but also student experience, workforce capacity, and policy alignment.</w:t>
      </w:r>
    </w:p>
    <w:p w:rsidR="00000000" w:rsidDel="00000000" w:rsidP="00000000" w:rsidRDefault="00000000" w:rsidRPr="00000000" w14:paraId="00000079">
      <w:pPr>
        <w:spacing w:after="240" w:before="240" w:lineRule="auto"/>
        <w:rPr>
          <w:sz w:val="24"/>
          <w:szCs w:val="24"/>
        </w:rPr>
      </w:pPr>
      <w:r w:rsidDel="00000000" w:rsidR="00000000" w:rsidRPr="00000000">
        <w:rPr>
          <w:sz w:val="24"/>
          <w:szCs w:val="24"/>
          <w:rtl w:val="0"/>
        </w:rPr>
        <w:t xml:space="preserve">As Lumby (2001) rightly observed, the FE sector has long suffered from a paucity of robust theoretical engagement with leadership and management. This under-theorisation has resulted in a lack of bespoke models and guidance for leaders operating in this complex space, often forcing them to adapt frameworks originally developed for schools or higher education institutions. This study therefore not only addresses a practical problem but contributes to the intellectual enrichment of FE leadership theory.</w:t>
      </w:r>
    </w:p>
    <w:p w:rsidR="00000000" w:rsidDel="00000000" w:rsidP="00000000" w:rsidRDefault="00000000" w:rsidRPr="00000000" w14:paraId="0000007A">
      <w:pPr>
        <w:spacing w:after="240" w:before="240" w:lineRule="auto"/>
        <w:rPr>
          <w:sz w:val="24"/>
          <w:szCs w:val="24"/>
        </w:rPr>
      </w:pPr>
      <w:r w:rsidDel="00000000" w:rsidR="00000000" w:rsidRPr="00000000">
        <w:rPr>
          <w:sz w:val="24"/>
          <w:szCs w:val="24"/>
          <w:rtl w:val="0"/>
        </w:rPr>
        <w:t xml:space="preserve">By adopting a qualitative, phenomenological methodology, this study prioritises the lived experiences of middle and senior FE leaders as they engage with digital agendas. It seeks to illuminate how these professionals conceptualise technology, lead digital change, and navigate the tensions between strategic mandates and localised constraints. The interpretivist approach supports a nuanced analysis that respects the variability and complexity of individual settings, enabling the generation of thick, context-rich data that would be difficult to capture through quantitative means.</w:t>
      </w:r>
    </w:p>
    <w:p w:rsidR="00000000" w:rsidDel="00000000" w:rsidP="00000000" w:rsidRDefault="00000000" w:rsidRPr="00000000" w14:paraId="0000007B">
      <w:pPr>
        <w:spacing w:after="240" w:before="240" w:lineRule="auto"/>
        <w:rPr>
          <w:sz w:val="24"/>
          <w:szCs w:val="24"/>
        </w:rPr>
      </w:pPr>
      <w:r w:rsidDel="00000000" w:rsidR="00000000" w:rsidRPr="00000000">
        <w:rPr>
          <w:sz w:val="24"/>
          <w:szCs w:val="24"/>
          <w:rtl w:val="0"/>
        </w:rPr>
        <w:t xml:space="preserve">The anticipated findings of this research promise to offer multiple layers of impact. At the institutional level, insights will inform the development of leadership CPD programmes tailored to the digital realities of FE. These might include training modules on digital visioning, ethical data management, leading hybrid teams, and building a digital-first culture of collaboration and innovation. Such programmes could be invaluable in closing the current digital leadership capability gap, identified in previous studies (ETF, 2018; JISC, 2020).</w:t>
      </w:r>
    </w:p>
    <w:p w:rsidR="00000000" w:rsidDel="00000000" w:rsidP="00000000" w:rsidRDefault="00000000" w:rsidRPr="00000000" w14:paraId="0000007C">
      <w:pPr>
        <w:spacing w:after="240" w:before="240" w:lineRule="auto"/>
        <w:rPr>
          <w:sz w:val="24"/>
          <w:szCs w:val="24"/>
        </w:rPr>
      </w:pPr>
      <w:r w:rsidDel="00000000" w:rsidR="00000000" w:rsidRPr="00000000">
        <w:rPr>
          <w:sz w:val="24"/>
          <w:szCs w:val="24"/>
          <w:rtl w:val="0"/>
        </w:rPr>
        <w:t xml:space="preserve">At the policy level, the research could help shape national approaches to digital transformation in FE, advocating for targeted funding, flexible implementation models, and coherent guidance on the use of emerging technologies. Policymakers will benefit from empirically grounded recommendations that reflect sector-specific needs and capabilities. This could be especially relevant as bodies like Ofsted and the Department for Education explore how digital leadership aligns with inspection frameworks and accountability mechanisms.</w:t>
      </w:r>
    </w:p>
    <w:p w:rsidR="00000000" w:rsidDel="00000000" w:rsidP="00000000" w:rsidRDefault="00000000" w:rsidRPr="00000000" w14:paraId="0000007D">
      <w:pPr>
        <w:spacing w:after="240" w:before="240" w:lineRule="auto"/>
        <w:rPr>
          <w:sz w:val="24"/>
          <w:szCs w:val="24"/>
        </w:rPr>
      </w:pPr>
      <w:r w:rsidDel="00000000" w:rsidR="00000000" w:rsidRPr="00000000">
        <w:rPr>
          <w:sz w:val="24"/>
          <w:szCs w:val="24"/>
          <w:rtl w:val="0"/>
        </w:rPr>
        <w:t xml:space="preserve">Furthermore, the research will contribute to a growing body of knowledge that recognises educational leaders not just as operational managers but as strategic agents of change. By documenting and disseminating stories of innovation, resilience, and challenge, the study elevates the voices of FE leaders and positions them as central actors in shaping a more digitally responsive education system.</w:t>
      </w:r>
    </w:p>
    <w:p w:rsidR="00000000" w:rsidDel="00000000" w:rsidP="00000000" w:rsidRDefault="00000000" w:rsidRPr="00000000" w14:paraId="0000007E">
      <w:pPr>
        <w:spacing w:after="240" w:before="240" w:lineRule="auto"/>
        <w:rPr>
          <w:sz w:val="24"/>
          <w:szCs w:val="24"/>
        </w:rPr>
      </w:pPr>
      <w:r w:rsidDel="00000000" w:rsidR="00000000" w:rsidRPr="00000000">
        <w:rPr>
          <w:sz w:val="24"/>
          <w:szCs w:val="24"/>
          <w:rtl w:val="0"/>
        </w:rPr>
        <w:t xml:space="preserve">In summary, this study is anchored in the conviction that effective, visionary leadership is essential for realising the full potential of technology in FE. Through in-depth qualitative analysis, it will generate new insights, offer practical solutions, and support a more digitally literate and confident FE leadership community. In doing so, it aligns with the broader educational mission of equity, excellence, and adaptability in the digital age.</w:t>
      </w:r>
    </w:p>
    <w:p w:rsidR="00000000" w:rsidDel="00000000" w:rsidP="00000000" w:rsidRDefault="00000000" w:rsidRPr="00000000" w14:paraId="0000007F">
      <w:pPr>
        <w:spacing w:after="240" w:before="240" w:lineRule="auto"/>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pStyle w:val="Heading2"/>
        <w:keepNext w:val="0"/>
        <w:keepLines w:val="0"/>
        <w:spacing w:after="80" w:lineRule="auto"/>
        <w:rPr>
          <w:b w:val="1"/>
          <w:color w:val="365f91"/>
          <w:sz w:val="24"/>
          <w:szCs w:val="24"/>
        </w:rPr>
      </w:pPr>
      <w:bookmarkStart w:colFirst="0" w:colLast="0" w:name="_v93t9rwrzm3g" w:id="9"/>
      <w:bookmarkEnd w:id="9"/>
      <w:r w:rsidDel="00000000" w:rsidR="00000000" w:rsidRPr="00000000">
        <w:rPr>
          <w:b w:val="1"/>
          <w:sz w:val="24"/>
          <w:szCs w:val="24"/>
          <w:rtl w:val="0"/>
        </w:rPr>
        <w:t xml:space="preserve">References</w:t>
      </w:r>
      <w:r w:rsidDel="00000000" w:rsidR="00000000" w:rsidRPr="00000000">
        <w:rPr>
          <w:rtl w:val="0"/>
        </w:rPr>
      </w:r>
    </w:p>
    <w:p w:rsidR="00000000" w:rsidDel="00000000" w:rsidP="00000000" w:rsidRDefault="00000000" w:rsidRPr="00000000" w14:paraId="00000082">
      <w:pPr>
        <w:spacing w:after="200" w:line="276.0005454545455" w:lineRule="auto"/>
        <w:rPr>
          <w:sz w:val="24"/>
          <w:szCs w:val="24"/>
        </w:rPr>
      </w:pPr>
      <w:r w:rsidDel="00000000" w:rsidR="00000000" w:rsidRPr="00000000">
        <w:rPr>
          <w:sz w:val="24"/>
          <w:szCs w:val="24"/>
          <w:rtl w:val="0"/>
        </w:rPr>
        <w:t xml:space="preserve">Anderson, R. E., &amp; Dexter, S. (2005). School Technology Leadership: An Empirical Investigation of Prevalence and Effect. Educational Administration Quarterly, 41(1), 49–82.</w:t>
      </w:r>
    </w:p>
    <w:p w:rsidR="00000000" w:rsidDel="00000000" w:rsidP="00000000" w:rsidRDefault="00000000" w:rsidRPr="00000000" w14:paraId="00000083">
      <w:pPr>
        <w:spacing w:after="200" w:line="276.0005454545455" w:lineRule="auto"/>
        <w:rPr>
          <w:sz w:val="24"/>
          <w:szCs w:val="24"/>
        </w:rPr>
      </w:pPr>
      <w:r w:rsidDel="00000000" w:rsidR="00000000" w:rsidRPr="00000000">
        <w:rPr>
          <w:sz w:val="24"/>
          <w:szCs w:val="24"/>
          <w:rtl w:val="0"/>
        </w:rPr>
        <w:t xml:space="preserve">BELMAS (2021). Code of Practice for Educational Leadership Research. British Educational Leadership, Management and Administration Society.</w:t>
      </w:r>
    </w:p>
    <w:p w:rsidR="00000000" w:rsidDel="00000000" w:rsidP="00000000" w:rsidRDefault="00000000" w:rsidRPr="00000000" w14:paraId="00000084">
      <w:pPr>
        <w:spacing w:after="200" w:line="276.0005454545455" w:lineRule="auto"/>
        <w:rPr>
          <w:sz w:val="24"/>
          <w:szCs w:val="24"/>
        </w:rPr>
      </w:pPr>
      <w:r w:rsidDel="00000000" w:rsidR="00000000" w:rsidRPr="00000000">
        <w:rPr>
          <w:sz w:val="24"/>
          <w:szCs w:val="24"/>
          <w:rtl w:val="0"/>
        </w:rPr>
        <w:t xml:space="preserve">BERA (2018). Ethical Guidelines for Educational Research (4th ed.). British Educational Research Association. Available at: https://www.bera.ac.uk/publication/ethical-guidelines-for-educational-research-2018</w:t>
      </w:r>
    </w:p>
    <w:p w:rsidR="00000000" w:rsidDel="00000000" w:rsidP="00000000" w:rsidRDefault="00000000" w:rsidRPr="00000000" w14:paraId="00000085">
      <w:pPr>
        <w:spacing w:after="200" w:line="276.0005454545455" w:lineRule="auto"/>
        <w:rPr>
          <w:sz w:val="24"/>
          <w:szCs w:val="24"/>
        </w:rPr>
      </w:pPr>
      <w:r w:rsidDel="00000000" w:rsidR="00000000" w:rsidRPr="00000000">
        <w:rPr>
          <w:sz w:val="24"/>
          <w:szCs w:val="24"/>
          <w:rtl w:val="0"/>
        </w:rPr>
        <w:t xml:space="preserve">Balanskat, A., Blamire, R., &amp; Kefala, S. (2006). The ICT impact report: A review of studies of ICT impact on schools in Europe. European Schoolnet.</w:t>
      </w:r>
    </w:p>
    <w:p w:rsidR="00000000" w:rsidDel="00000000" w:rsidP="00000000" w:rsidRDefault="00000000" w:rsidRPr="00000000" w14:paraId="00000086">
      <w:pPr>
        <w:spacing w:after="200" w:line="276.0005454545455" w:lineRule="auto"/>
        <w:rPr>
          <w:sz w:val="24"/>
          <w:szCs w:val="24"/>
        </w:rPr>
      </w:pPr>
      <w:r w:rsidDel="00000000" w:rsidR="00000000" w:rsidRPr="00000000">
        <w:rPr>
          <w:sz w:val="24"/>
          <w:szCs w:val="24"/>
          <w:rtl w:val="0"/>
        </w:rPr>
        <w:t xml:space="preserve">Braun, V., &amp; Clarke, V. (2006). Using thematic analysis in psychology. Qualitative Research in Psychology, 3(2), 77–101.</w:t>
      </w:r>
    </w:p>
    <w:p w:rsidR="00000000" w:rsidDel="00000000" w:rsidP="00000000" w:rsidRDefault="00000000" w:rsidRPr="00000000" w14:paraId="00000087">
      <w:pPr>
        <w:spacing w:after="200" w:line="276.0005454545455" w:lineRule="auto"/>
        <w:rPr>
          <w:sz w:val="24"/>
          <w:szCs w:val="24"/>
        </w:rPr>
      </w:pPr>
      <w:r w:rsidDel="00000000" w:rsidR="00000000" w:rsidRPr="00000000">
        <w:rPr>
          <w:sz w:val="24"/>
          <w:szCs w:val="24"/>
          <w:rtl w:val="0"/>
        </w:rPr>
        <w:t xml:space="preserve">Brown, R. B. (2006). Doing your dissertation in business and management: The reality of research and writing. SAGE Publications.</w:t>
      </w:r>
    </w:p>
    <w:p w:rsidR="00000000" w:rsidDel="00000000" w:rsidP="00000000" w:rsidRDefault="00000000" w:rsidRPr="00000000" w14:paraId="00000088">
      <w:pPr>
        <w:spacing w:after="200" w:line="276.0005454545455" w:lineRule="auto"/>
        <w:rPr>
          <w:sz w:val="24"/>
          <w:szCs w:val="24"/>
        </w:rPr>
      </w:pPr>
      <w:r w:rsidDel="00000000" w:rsidR="00000000" w:rsidRPr="00000000">
        <w:rPr>
          <w:sz w:val="24"/>
          <w:szCs w:val="24"/>
          <w:rtl w:val="0"/>
        </w:rPr>
        <w:t xml:space="preserve">Burns, N., &amp; Grove, S. K. (1997). The Practice of Nursing Research: Conduct, Critique and Utilization. W.B. Saunders.</w:t>
      </w:r>
    </w:p>
    <w:p w:rsidR="00000000" w:rsidDel="00000000" w:rsidP="00000000" w:rsidRDefault="00000000" w:rsidRPr="00000000" w14:paraId="00000089">
      <w:pPr>
        <w:spacing w:after="200" w:line="276.0005454545455" w:lineRule="auto"/>
        <w:rPr>
          <w:sz w:val="24"/>
          <w:szCs w:val="24"/>
        </w:rPr>
      </w:pPr>
      <w:r w:rsidDel="00000000" w:rsidR="00000000" w:rsidRPr="00000000">
        <w:rPr>
          <w:sz w:val="24"/>
          <w:szCs w:val="24"/>
          <w:rtl w:val="0"/>
        </w:rPr>
        <w:t xml:space="preserve">Comte, A. (1908). A General View of Positivism. London: Routledge.</w:t>
      </w:r>
    </w:p>
    <w:p w:rsidR="00000000" w:rsidDel="00000000" w:rsidP="00000000" w:rsidRDefault="00000000" w:rsidRPr="00000000" w14:paraId="0000008A">
      <w:pPr>
        <w:spacing w:after="200" w:line="276.0005454545455" w:lineRule="auto"/>
        <w:rPr>
          <w:sz w:val="24"/>
          <w:szCs w:val="24"/>
        </w:rPr>
      </w:pPr>
      <w:r w:rsidDel="00000000" w:rsidR="00000000" w:rsidRPr="00000000">
        <w:rPr>
          <w:sz w:val="24"/>
          <w:szCs w:val="24"/>
          <w:rtl w:val="0"/>
        </w:rPr>
        <w:t xml:space="preserve">Corwin, T. (2003). Blending Qualitative and Quantitative Research Methods in Theses and Dissertations. University Press of America.</w:t>
      </w:r>
    </w:p>
    <w:p w:rsidR="00000000" w:rsidDel="00000000" w:rsidP="00000000" w:rsidRDefault="00000000" w:rsidRPr="00000000" w14:paraId="0000008B">
      <w:pPr>
        <w:spacing w:after="200" w:line="276.0005454545455" w:lineRule="auto"/>
        <w:rPr>
          <w:sz w:val="24"/>
          <w:szCs w:val="24"/>
        </w:rPr>
      </w:pPr>
      <w:r w:rsidDel="00000000" w:rsidR="00000000" w:rsidRPr="00000000">
        <w:rPr>
          <w:sz w:val="24"/>
          <w:szCs w:val="24"/>
          <w:rtl w:val="0"/>
        </w:rPr>
        <w:t xml:space="preserve">Creswell, J. W. (2003). Research Design: Qualitative, Quantitative, and Mixed Methods Approaches. Sage Publications.</w:t>
      </w:r>
    </w:p>
    <w:p w:rsidR="00000000" w:rsidDel="00000000" w:rsidP="00000000" w:rsidRDefault="00000000" w:rsidRPr="00000000" w14:paraId="0000008C">
      <w:pPr>
        <w:spacing w:after="200" w:line="276.0005454545455" w:lineRule="auto"/>
        <w:rPr>
          <w:sz w:val="24"/>
          <w:szCs w:val="24"/>
        </w:rPr>
      </w:pPr>
      <w:r w:rsidDel="00000000" w:rsidR="00000000" w:rsidRPr="00000000">
        <w:rPr>
          <w:sz w:val="24"/>
          <w:szCs w:val="24"/>
          <w:rtl w:val="0"/>
        </w:rPr>
        <w:t xml:space="preserve">Creswell, J. W. (2013). Qualitative inquiry and research design: Choosing among five approaches (3rd ed.). SAGE Publications.</w:t>
      </w:r>
    </w:p>
    <w:p w:rsidR="00000000" w:rsidDel="00000000" w:rsidP="00000000" w:rsidRDefault="00000000" w:rsidRPr="00000000" w14:paraId="0000008D">
      <w:pPr>
        <w:spacing w:after="200" w:line="276.0005454545455" w:lineRule="auto"/>
        <w:rPr>
          <w:sz w:val="24"/>
          <w:szCs w:val="24"/>
        </w:rPr>
      </w:pPr>
      <w:r w:rsidDel="00000000" w:rsidR="00000000" w:rsidRPr="00000000">
        <w:rPr>
          <w:sz w:val="24"/>
          <w:szCs w:val="24"/>
          <w:rtl w:val="0"/>
        </w:rPr>
        <w:t xml:space="preserve">Denzin, N. K., &amp; Lincoln, Y. S. (1994). Handbook of Qualitative Research. Sage Publications.</w:t>
      </w:r>
    </w:p>
    <w:p w:rsidR="00000000" w:rsidDel="00000000" w:rsidP="00000000" w:rsidRDefault="00000000" w:rsidRPr="00000000" w14:paraId="0000008E">
      <w:pPr>
        <w:spacing w:after="200" w:line="276.0005454545455" w:lineRule="auto"/>
        <w:rPr>
          <w:sz w:val="24"/>
          <w:szCs w:val="24"/>
        </w:rPr>
      </w:pPr>
      <w:r w:rsidDel="00000000" w:rsidR="00000000" w:rsidRPr="00000000">
        <w:rPr>
          <w:sz w:val="24"/>
          <w:szCs w:val="24"/>
          <w:rtl w:val="0"/>
        </w:rPr>
        <w:t xml:space="preserve">DfE (2019). Realising the potential of technology in education: A strategy for education providers and the technology industry. Department for Education.</w:t>
      </w:r>
    </w:p>
    <w:p w:rsidR="00000000" w:rsidDel="00000000" w:rsidP="00000000" w:rsidRDefault="00000000" w:rsidRPr="00000000" w14:paraId="0000008F">
      <w:pPr>
        <w:spacing w:after="200" w:line="276.0005454545455" w:lineRule="auto"/>
        <w:rPr>
          <w:sz w:val="24"/>
          <w:szCs w:val="24"/>
        </w:rPr>
      </w:pPr>
      <w:r w:rsidDel="00000000" w:rsidR="00000000" w:rsidRPr="00000000">
        <w:rPr>
          <w:sz w:val="24"/>
          <w:szCs w:val="24"/>
          <w:rtl w:val="0"/>
        </w:rPr>
        <w:t xml:space="preserve">ETF (2018). Leadership for Digital Learning: Professional Development Needs of FE Leaders. Education and Training Foundation.</w:t>
      </w:r>
    </w:p>
    <w:p w:rsidR="00000000" w:rsidDel="00000000" w:rsidP="00000000" w:rsidRDefault="00000000" w:rsidRPr="00000000" w14:paraId="00000090">
      <w:pPr>
        <w:spacing w:after="200" w:line="276.0005454545455" w:lineRule="auto"/>
        <w:rPr>
          <w:sz w:val="24"/>
          <w:szCs w:val="24"/>
        </w:rPr>
      </w:pPr>
      <w:r w:rsidDel="00000000" w:rsidR="00000000" w:rsidRPr="00000000">
        <w:rPr>
          <w:sz w:val="24"/>
          <w:szCs w:val="24"/>
          <w:rtl w:val="0"/>
        </w:rPr>
        <w:t xml:space="preserve">Ertmer, P. A., &amp; Ottenbreit-Leftwich, A. T. (2010). Teacher Technology Change. Journal of Research on Technology in Education, 42(3), 255–284.</w:t>
      </w:r>
    </w:p>
    <w:p w:rsidR="00000000" w:rsidDel="00000000" w:rsidP="00000000" w:rsidRDefault="00000000" w:rsidRPr="00000000" w14:paraId="00000091">
      <w:pPr>
        <w:spacing w:after="200" w:line="276.0005454545455" w:lineRule="auto"/>
        <w:rPr>
          <w:sz w:val="24"/>
          <w:szCs w:val="24"/>
        </w:rPr>
      </w:pPr>
      <w:r w:rsidDel="00000000" w:rsidR="00000000" w:rsidRPr="00000000">
        <w:rPr>
          <w:sz w:val="24"/>
          <w:szCs w:val="24"/>
          <w:rtl w:val="0"/>
        </w:rPr>
        <w:t xml:space="preserve">Fullan, M. (2013). The new meaning of educational change. Teachers College Press.</w:t>
      </w:r>
    </w:p>
    <w:p w:rsidR="00000000" w:rsidDel="00000000" w:rsidP="00000000" w:rsidRDefault="00000000" w:rsidRPr="00000000" w14:paraId="00000092">
      <w:pPr>
        <w:spacing w:after="200" w:line="276.0005454545455" w:lineRule="auto"/>
        <w:rPr>
          <w:sz w:val="24"/>
          <w:szCs w:val="24"/>
        </w:rPr>
      </w:pPr>
      <w:r w:rsidDel="00000000" w:rsidR="00000000" w:rsidRPr="00000000">
        <w:rPr>
          <w:sz w:val="24"/>
          <w:szCs w:val="24"/>
          <w:rtl w:val="0"/>
        </w:rPr>
        <w:t xml:space="preserve">Gillard, D. (2018). Education in England: A history. Retrieved from www.educationengland.org.uk/history</w:t>
      </w:r>
    </w:p>
    <w:p w:rsidR="00000000" w:rsidDel="00000000" w:rsidP="00000000" w:rsidRDefault="00000000" w:rsidRPr="00000000" w14:paraId="00000093">
      <w:pPr>
        <w:spacing w:after="200" w:line="276.0005454545455" w:lineRule="auto"/>
        <w:rPr>
          <w:sz w:val="24"/>
          <w:szCs w:val="24"/>
        </w:rPr>
      </w:pPr>
      <w:r w:rsidDel="00000000" w:rsidR="00000000" w:rsidRPr="00000000">
        <w:rPr>
          <w:sz w:val="24"/>
          <w:szCs w:val="24"/>
          <w:rtl w:val="0"/>
        </w:rPr>
        <w:t xml:space="preserve">Greatbatch, D., &amp; Tate, S. (2018). Teaching, leadership and governance in further education. Department for Education.</w:t>
      </w:r>
    </w:p>
    <w:p w:rsidR="00000000" w:rsidDel="00000000" w:rsidP="00000000" w:rsidRDefault="00000000" w:rsidRPr="00000000" w14:paraId="00000094">
      <w:pPr>
        <w:spacing w:after="200" w:line="276.0005454545455" w:lineRule="auto"/>
        <w:rPr>
          <w:sz w:val="24"/>
          <w:szCs w:val="24"/>
        </w:rPr>
      </w:pPr>
      <w:r w:rsidDel="00000000" w:rsidR="00000000" w:rsidRPr="00000000">
        <w:rPr>
          <w:sz w:val="24"/>
          <w:szCs w:val="24"/>
          <w:rtl w:val="0"/>
        </w:rPr>
        <w:t xml:space="preserve">Hayes, D. (2007). A lecturer’s guide to further education. McGraw-Hill Education.</w:t>
      </w:r>
    </w:p>
    <w:p w:rsidR="00000000" w:rsidDel="00000000" w:rsidP="00000000" w:rsidRDefault="00000000" w:rsidRPr="00000000" w14:paraId="00000095">
      <w:pPr>
        <w:spacing w:after="200" w:line="276.0005454545455" w:lineRule="auto"/>
        <w:rPr>
          <w:sz w:val="24"/>
          <w:szCs w:val="24"/>
        </w:rPr>
      </w:pPr>
      <w:r w:rsidDel="00000000" w:rsidR="00000000" w:rsidRPr="00000000">
        <w:rPr>
          <w:sz w:val="24"/>
          <w:szCs w:val="24"/>
          <w:rtl w:val="0"/>
        </w:rPr>
        <w:t xml:space="preserve">Health and Safety Executive (HSE) (2002). Display Screen Equipment Regulations: Guidance on Regulations. Available at: https://www.hse.gov.uk/msd/dse/</w:t>
      </w:r>
    </w:p>
    <w:p w:rsidR="00000000" w:rsidDel="00000000" w:rsidP="00000000" w:rsidRDefault="00000000" w:rsidRPr="00000000" w14:paraId="00000096">
      <w:pPr>
        <w:spacing w:after="200" w:line="276.0005454545455" w:lineRule="auto"/>
        <w:rPr>
          <w:sz w:val="24"/>
          <w:szCs w:val="24"/>
        </w:rPr>
      </w:pPr>
      <w:r w:rsidDel="00000000" w:rsidR="00000000" w:rsidRPr="00000000">
        <w:rPr>
          <w:sz w:val="24"/>
          <w:szCs w:val="24"/>
          <w:rtl w:val="0"/>
        </w:rPr>
        <w:t xml:space="preserve">Hoffer, E. (1973). Reflections on the human condition. Harper and Row.</w:t>
      </w:r>
    </w:p>
    <w:p w:rsidR="00000000" w:rsidDel="00000000" w:rsidP="00000000" w:rsidRDefault="00000000" w:rsidRPr="00000000" w14:paraId="00000097">
      <w:pPr>
        <w:spacing w:after="200" w:line="276.0005454545455" w:lineRule="auto"/>
        <w:rPr>
          <w:sz w:val="24"/>
          <w:szCs w:val="24"/>
        </w:rPr>
      </w:pPr>
      <w:r w:rsidDel="00000000" w:rsidR="00000000" w:rsidRPr="00000000">
        <w:rPr>
          <w:sz w:val="24"/>
          <w:szCs w:val="24"/>
          <w:rtl w:val="0"/>
        </w:rPr>
        <w:t xml:space="preserve">JISC (2020). Digital Leadership in Further Education: Strategic insights. JISC.</w:t>
      </w:r>
    </w:p>
    <w:p w:rsidR="00000000" w:rsidDel="00000000" w:rsidP="00000000" w:rsidRDefault="00000000" w:rsidRPr="00000000" w14:paraId="00000098">
      <w:pPr>
        <w:spacing w:after="200" w:line="276.0005454545455" w:lineRule="auto"/>
        <w:rPr>
          <w:sz w:val="24"/>
          <w:szCs w:val="24"/>
        </w:rPr>
      </w:pPr>
      <w:r w:rsidDel="00000000" w:rsidR="00000000" w:rsidRPr="00000000">
        <w:rPr>
          <w:sz w:val="24"/>
          <w:szCs w:val="24"/>
          <w:rtl w:val="0"/>
        </w:rPr>
        <w:t xml:space="preserve">Kothari, C. R. (2007). Research Methodology: Methods and Techniques. New Age International.</w:t>
      </w:r>
    </w:p>
    <w:p w:rsidR="00000000" w:rsidDel="00000000" w:rsidP="00000000" w:rsidRDefault="00000000" w:rsidRPr="00000000" w14:paraId="00000099">
      <w:pPr>
        <w:spacing w:after="200" w:line="276.0005454545455" w:lineRule="auto"/>
        <w:rPr>
          <w:sz w:val="24"/>
          <w:szCs w:val="24"/>
        </w:rPr>
      </w:pPr>
      <w:r w:rsidDel="00000000" w:rsidR="00000000" w:rsidRPr="00000000">
        <w:rPr>
          <w:sz w:val="24"/>
          <w:szCs w:val="24"/>
          <w:rtl w:val="0"/>
        </w:rPr>
        <w:t xml:space="preserve">Kotter, J. P. (1990). A force for change: How leadership differs from management. Free Press.</w:t>
      </w:r>
    </w:p>
    <w:p w:rsidR="00000000" w:rsidDel="00000000" w:rsidP="00000000" w:rsidRDefault="00000000" w:rsidRPr="00000000" w14:paraId="0000009A">
      <w:pPr>
        <w:spacing w:after="200" w:line="276.0005454545455" w:lineRule="auto"/>
        <w:rPr>
          <w:sz w:val="24"/>
          <w:szCs w:val="24"/>
        </w:rPr>
      </w:pPr>
      <w:r w:rsidDel="00000000" w:rsidR="00000000" w:rsidRPr="00000000">
        <w:rPr>
          <w:sz w:val="24"/>
          <w:szCs w:val="24"/>
          <w:rtl w:val="0"/>
        </w:rPr>
        <w:t xml:space="preserve">Kumar, R. (2011). Research Methodology: A Step-by-Step Guide for Beginners. 3rd ed. Sage.</w:t>
      </w:r>
    </w:p>
    <w:p w:rsidR="00000000" w:rsidDel="00000000" w:rsidP="00000000" w:rsidRDefault="00000000" w:rsidRPr="00000000" w14:paraId="0000009B">
      <w:pPr>
        <w:spacing w:after="200" w:line="276.0005454545455" w:lineRule="auto"/>
        <w:rPr>
          <w:sz w:val="24"/>
          <w:szCs w:val="24"/>
        </w:rPr>
      </w:pPr>
      <w:r w:rsidDel="00000000" w:rsidR="00000000" w:rsidRPr="00000000">
        <w:rPr>
          <w:sz w:val="24"/>
          <w:szCs w:val="24"/>
          <w:rtl w:val="0"/>
        </w:rPr>
        <w:t xml:space="preserve">Lumby, J. (2001). Managing Further Education: Learning Enterprise. Educational Management &amp; Administration, 29(2), 135–149.</w:t>
      </w:r>
    </w:p>
    <w:p w:rsidR="00000000" w:rsidDel="00000000" w:rsidP="00000000" w:rsidRDefault="00000000" w:rsidRPr="00000000" w14:paraId="0000009C">
      <w:pPr>
        <w:spacing w:after="200" w:line="276.0005454545455" w:lineRule="auto"/>
        <w:rPr>
          <w:sz w:val="24"/>
          <w:szCs w:val="24"/>
        </w:rPr>
      </w:pPr>
      <w:r w:rsidDel="00000000" w:rsidR="00000000" w:rsidRPr="00000000">
        <w:rPr>
          <w:sz w:val="24"/>
          <w:szCs w:val="24"/>
          <w:rtl w:val="0"/>
        </w:rPr>
        <w:t xml:space="preserve">Moustakas, C. (1994). Phenomenological Research Methods. Sage.</w:t>
      </w:r>
    </w:p>
    <w:p w:rsidR="00000000" w:rsidDel="00000000" w:rsidP="00000000" w:rsidRDefault="00000000" w:rsidRPr="00000000" w14:paraId="0000009D">
      <w:pPr>
        <w:spacing w:after="200" w:line="276.0005454545455" w:lineRule="auto"/>
        <w:rPr>
          <w:sz w:val="24"/>
          <w:szCs w:val="24"/>
        </w:rPr>
      </w:pPr>
      <w:r w:rsidDel="00000000" w:rsidR="00000000" w:rsidRPr="00000000">
        <w:rPr>
          <w:sz w:val="24"/>
          <w:szCs w:val="24"/>
          <w:rtl w:val="0"/>
        </w:rPr>
        <w:t xml:space="preserve">Myers, M. D. (2008). Qualitative research in business &amp; management. SAGE Publications.</w:t>
      </w:r>
    </w:p>
    <w:p w:rsidR="00000000" w:rsidDel="00000000" w:rsidP="00000000" w:rsidRDefault="00000000" w:rsidRPr="00000000" w14:paraId="0000009E">
      <w:pPr>
        <w:spacing w:after="200" w:line="276.0005454545455" w:lineRule="auto"/>
        <w:rPr>
          <w:sz w:val="24"/>
          <w:szCs w:val="24"/>
        </w:rPr>
      </w:pPr>
      <w:r w:rsidDel="00000000" w:rsidR="00000000" w:rsidRPr="00000000">
        <w:rPr>
          <w:sz w:val="24"/>
          <w:szCs w:val="24"/>
          <w:rtl w:val="0"/>
        </w:rPr>
        <w:t xml:space="preserve">OECD (2006). Improving School Leadership Volume 1: Policy and Practice. OECD Publishing.</w:t>
      </w:r>
    </w:p>
    <w:p w:rsidR="00000000" w:rsidDel="00000000" w:rsidP="00000000" w:rsidRDefault="00000000" w:rsidRPr="00000000" w14:paraId="0000009F">
      <w:pPr>
        <w:spacing w:after="200" w:line="276.0005454545455" w:lineRule="auto"/>
        <w:rPr>
          <w:sz w:val="24"/>
          <w:szCs w:val="24"/>
        </w:rPr>
      </w:pPr>
      <w:r w:rsidDel="00000000" w:rsidR="00000000" w:rsidRPr="00000000">
        <w:rPr>
          <w:sz w:val="24"/>
          <w:szCs w:val="24"/>
          <w:rtl w:val="0"/>
        </w:rPr>
        <w:t xml:space="preserve">OECD (2021). The digital transformation of education: Connecting schools and accelerating access. Paris: OECD Publishing.</w:t>
      </w:r>
    </w:p>
    <w:p w:rsidR="00000000" w:rsidDel="00000000" w:rsidP="00000000" w:rsidRDefault="00000000" w:rsidRPr="00000000" w14:paraId="000000A0">
      <w:pPr>
        <w:spacing w:after="200" w:line="276.0005454545455" w:lineRule="auto"/>
        <w:rPr>
          <w:sz w:val="24"/>
          <w:szCs w:val="24"/>
        </w:rPr>
      </w:pPr>
      <w:r w:rsidDel="00000000" w:rsidR="00000000" w:rsidRPr="00000000">
        <w:rPr>
          <w:sz w:val="24"/>
          <w:szCs w:val="24"/>
          <w:rtl w:val="0"/>
        </w:rPr>
        <w:t xml:space="preserve">Palinkas, L. A. et al. (2015). Purposeful sampling for qualitative data collection and analysis in mixed method implementation research. Administration and Policy in Mental Health and Mental Health Services Research, 42(5), 533–544.</w:t>
      </w:r>
    </w:p>
    <w:p w:rsidR="00000000" w:rsidDel="00000000" w:rsidP="00000000" w:rsidRDefault="00000000" w:rsidRPr="00000000" w14:paraId="000000A1">
      <w:pPr>
        <w:spacing w:after="200" w:line="276.0005454545455" w:lineRule="auto"/>
        <w:rPr>
          <w:sz w:val="24"/>
          <w:szCs w:val="24"/>
        </w:rPr>
      </w:pPr>
      <w:r w:rsidDel="00000000" w:rsidR="00000000" w:rsidRPr="00000000">
        <w:rPr>
          <w:sz w:val="24"/>
          <w:szCs w:val="24"/>
          <w:rtl w:val="0"/>
        </w:rPr>
        <w:t xml:space="preserve">Robson, C., &amp; McCartan, K. (2016). Real World Research (4th ed.). Chichester: Wiley.</w:t>
      </w:r>
    </w:p>
    <w:p w:rsidR="00000000" w:rsidDel="00000000" w:rsidP="00000000" w:rsidRDefault="00000000" w:rsidRPr="00000000" w14:paraId="000000A2">
      <w:pPr>
        <w:spacing w:after="200" w:line="276.0005454545455" w:lineRule="auto"/>
        <w:rPr>
          <w:sz w:val="24"/>
          <w:szCs w:val="24"/>
        </w:rPr>
      </w:pPr>
      <w:r w:rsidDel="00000000" w:rsidR="00000000" w:rsidRPr="00000000">
        <w:rPr>
          <w:sz w:val="24"/>
          <w:szCs w:val="24"/>
          <w:rtl w:val="0"/>
        </w:rPr>
        <w:t xml:space="preserve">Selwyn, N. (2016). Education and Technology: Key Issues and Debates. Bloomsbury Academic.</w:t>
      </w:r>
    </w:p>
    <w:p w:rsidR="00000000" w:rsidDel="00000000" w:rsidP="00000000" w:rsidRDefault="00000000" w:rsidRPr="00000000" w14:paraId="000000A3">
      <w:pPr>
        <w:spacing w:after="200" w:line="276.0005454545455" w:lineRule="auto"/>
        <w:rPr>
          <w:sz w:val="24"/>
          <w:szCs w:val="24"/>
        </w:rPr>
      </w:pPr>
      <w:r w:rsidDel="00000000" w:rsidR="00000000" w:rsidRPr="00000000">
        <w:rPr>
          <w:sz w:val="24"/>
          <w:szCs w:val="24"/>
          <w:rtl w:val="0"/>
        </w:rPr>
        <w:t xml:space="preserve">Singh, P., Chan, Y. F., &amp; Sidhu, G. K. (2006). Writing a Research Proposal: A Practical Guide. Venton.</w:t>
      </w:r>
    </w:p>
    <w:p w:rsidR="00000000" w:rsidDel="00000000" w:rsidP="00000000" w:rsidRDefault="00000000" w:rsidRPr="00000000" w14:paraId="000000A4">
      <w:pPr>
        <w:spacing w:after="200" w:line="276.0005454545455" w:lineRule="auto"/>
        <w:rPr>
          <w:sz w:val="24"/>
          <w:szCs w:val="24"/>
        </w:rPr>
      </w:pPr>
      <w:r w:rsidDel="00000000" w:rsidR="00000000" w:rsidRPr="00000000">
        <w:rPr>
          <w:sz w:val="24"/>
          <w:szCs w:val="24"/>
          <w:rtl w:val="0"/>
        </w:rPr>
        <w:t xml:space="preserve">UNESCO-UIS. (2015). ICT in Education in Sub-Saharan Africa: A comparative analysis of basic e-readiness in schools. UNESCO Institute for Statistics.</w:t>
      </w:r>
    </w:p>
    <w:p w:rsidR="00000000" w:rsidDel="00000000" w:rsidP="00000000" w:rsidRDefault="00000000" w:rsidRPr="00000000" w14:paraId="000000A5">
      <w:pPr>
        <w:spacing w:after="200" w:line="276.0005454545455" w:lineRule="auto"/>
        <w:rPr>
          <w:sz w:val="24"/>
          <w:szCs w:val="24"/>
        </w:rPr>
      </w:pPr>
      <w:r w:rsidDel="00000000" w:rsidR="00000000" w:rsidRPr="00000000">
        <w:rPr>
          <w:sz w:val="24"/>
          <w:szCs w:val="24"/>
          <w:rtl w:val="0"/>
        </w:rPr>
        <w:t xml:space="preserve">Walliman, N., &amp; Walliman, N. S. R. (2011). Research methods: The basics. Routledge.</w:t>
      </w:r>
    </w:p>
    <w:p w:rsidR="00000000" w:rsidDel="00000000" w:rsidP="00000000" w:rsidRDefault="00000000" w:rsidRPr="00000000" w14:paraId="000000A6">
      <w:pPr>
        <w:spacing w:after="200" w:line="276.0005454545455" w:lineRule="auto"/>
        <w:rPr>
          <w:sz w:val="24"/>
          <w:szCs w:val="24"/>
        </w:rPr>
      </w:pPr>
      <w:r w:rsidDel="00000000" w:rsidR="00000000" w:rsidRPr="00000000">
        <w:rPr>
          <w:sz w:val="24"/>
          <w:szCs w:val="24"/>
          <w:rtl w:val="0"/>
        </w:rPr>
        <w:t xml:space="preserve">Williamson, B., Eynon, R., &amp; Potter, J. (2020). Pandemic politics, pedagogies and practices: Digital technologies and distance education during the coronavirus emergency. Learning, Media and Technology, 45(2), 107–114.</w:t>
      </w:r>
    </w:p>
    <w:p w:rsidR="00000000" w:rsidDel="00000000" w:rsidP="00000000" w:rsidRDefault="00000000" w:rsidRPr="00000000" w14:paraId="000000A7">
      <w:pPr>
        <w:spacing w:after="200" w:line="276.0005454545455" w:lineRule="auto"/>
        <w:rPr>
          <w:sz w:val="24"/>
          <w:szCs w:val="24"/>
        </w:rPr>
      </w:pPr>
      <w:r w:rsidDel="00000000" w:rsidR="00000000" w:rsidRPr="00000000">
        <w:rPr>
          <w:sz w:val="24"/>
          <w:szCs w:val="24"/>
          <w:rtl w:val="0"/>
        </w:rPr>
        <w:t xml:space="preserve">Zitter, I., &amp; Hoeve, A. (2012). Hybrid Learning Environments: Merging Learning and Work Processes to Facilitate Knowledge Integration and Transitions. OECD Education Working Papers, No. 81.</w:t>
      </w:r>
    </w:p>
    <w:p w:rsidR="00000000" w:rsidDel="00000000" w:rsidP="00000000" w:rsidRDefault="00000000" w:rsidRPr="00000000" w14:paraId="000000A8">
      <w:pPr>
        <w:spacing w:after="240" w:before="240" w:lineRule="auto"/>
        <w:rPr>
          <w:sz w:val="24"/>
          <w:szCs w:val="24"/>
        </w:rPr>
      </w:pPr>
      <w:r w:rsidDel="00000000" w:rsidR="00000000" w:rsidRPr="00000000">
        <w:rPr>
          <w:sz w:val="24"/>
          <w:szCs w:val="24"/>
          <w:rtl w:val="0"/>
        </w:rPr>
        <w:t xml:space="preserve">DfE (2019). </w:t>
      </w:r>
      <w:r w:rsidDel="00000000" w:rsidR="00000000" w:rsidRPr="00000000">
        <w:rPr>
          <w:i w:val="1"/>
          <w:sz w:val="24"/>
          <w:szCs w:val="24"/>
          <w:rtl w:val="0"/>
        </w:rPr>
        <w:t xml:space="preserve">Realising the potential of technology in education: A strategy for education providers and the technology industry</w:t>
      </w:r>
      <w:r w:rsidDel="00000000" w:rsidR="00000000" w:rsidRPr="00000000">
        <w:rPr>
          <w:sz w:val="24"/>
          <w:szCs w:val="24"/>
          <w:rtl w:val="0"/>
        </w:rPr>
        <w:t xml:space="preserve">. Department for Education.</w:t>
      </w:r>
    </w:p>
    <w:p w:rsidR="00000000" w:rsidDel="00000000" w:rsidP="00000000" w:rsidRDefault="00000000" w:rsidRPr="00000000" w14:paraId="000000A9">
      <w:pPr>
        <w:spacing w:after="240" w:before="240" w:lineRule="auto"/>
        <w:rPr>
          <w:sz w:val="24"/>
          <w:szCs w:val="24"/>
        </w:rPr>
      </w:pPr>
      <w:r w:rsidDel="00000000" w:rsidR="00000000" w:rsidRPr="00000000">
        <w:rPr>
          <w:sz w:val="24"/>
          <w:szCs w:val="24"/>
          <w:rtl w:val="0"/>
        </w:rPr>
        <w:t xml:space="preserve">Greatbatch, D. &amp; Tate, S. (2018). </w:t>
      </w:r>
      <w:r w:rsidDel="00000000" w:rsidR="00000000" w:rsidRPr="00000000">
        <w:rPr>
          <w:i w:val="1"/>
          <w:sz w:val="24"/>
          <w:szCs w:val="24"/>
          <w:rtl w:val="0"/>
        </w:rPr>
        <w:t xml:space="preserve">Teaching, leadership and governance in further education</w:t>
      </w:r>
      <w:r w:rsidDel="00000000" w:rsidR="00000000" w:rsidRPr="00000000">
        <w:rPr>
          <w:sz w:val="24"/>
          <w:szCs w:val="24"/>
          <w:rtl w:val="0"/>
        </w:rPr>
        <w:t xml:space="preserve">. London: Department for Education.</w:t>
      </w:r>
    </w:p>
    <w:p w:rsidR="00000000" w:rsidDel="00000000" w:rsidP="00000000" w:rsidRDefault="00000000" w:rsidRPr="00000000" w14:paraId="000000AA">
      <w:pPr>
        <w:spacing w:after="240" w:before="240" w:lineRule="auto"/>
        <w:rPr>
          <w:sz w:val="24"/>
          <w:szCs w:val="24"/>
        </w:rPr>
      </w:pPr>
      <w:r w:rsidDel="00000000" w:rsidR="00000000" w:rsidRPr="00000000">
        <w:rPr>
          <w:sz w:val="24"/>
          <w:szCs w:val="24"/>
          <w:rtl w:val="0"/>
        </w:rPr>
        <w:t xml:space="preserve">JISC (2020). </w:t>
      </w:r>
      <w:r w:rsidDel="00000000" w:rsidR="00000000" w:rsidRPr="00000000">
        <w:rPr>
          <w:i w:val="1"/>
          <w:sz w:val="24"/>
          <w:szCs w:val="24"/>
          <w:rtl w:val="0"/>
        </w:rPr>
        <w:t xml:space="preserve">Digital Leadership in Further Education: Strategic insights</w:t>
      </w:r>
      <w:r w:rsidDel="00000000" w:rsidR="00000000" w:rsidRPr="00000000">
        <w:rPr>
          <w:sz w:val="24"/>
          <w:szCs w:val="24"/>
          <w:rtl w:val="0"/>
        </w:rPr>
        <w:t xml:space="preserve">. Bristol: JISC.</w:t>
      </w:r>
    </w:p>
    <w:p w:rsidR="00000000" w:rsidDel="00000000" w:rsidP="00000000" w:rsidRDefault="00000000" w:rsidRPr="00000000" w14:paraId="000000AB">
      <w:pPr>
        <w:spacing w:after="240" w:before="240" w:lineRule="auto"/>
        <w:rPr>
          <w:sz w:val="24"/>
          <w:szCs w:val="24"/>
        </w:rPr>
      </w:pPr>
      <w:r w:rsidDel="00000000" w:rsidR="00000000" w:rsidRPr="00000000">
        <w:rPr>
          <w:sz w:val="24"/>
          <w:szCs w:val="24"/>
          <w:rtl w:val="0"/>
        </w:rPr>
        <w:t xml:space="preserve">Lumby, J. (2001). </w:t>
      </w:r>
      <w:r w:rsidDel="00000000" w:rsidR="00000000" w:rsidRPr="00000000">
        <w:rPr>
          <w:i w:val="1"/>
          <w:sz w:val="24"/>
          <w:szCs w:val="24"/>
          <w:rtl w:val="0"/>
        </w:rPr>
        <w:t xml:space="preserve">Managing Further Education: Learning Enterprise</w:t>
      </w:r>
      <w:r w:rsidDel="00000000" w:rsidR="00000000" w:rsidRPr="00000000">
        <w:rPr>
          <w:sz w:val="24"/>
          <w:szCs w:val="24"/>
          <w:rtl w:val="0"/>
        </w:rPr>
        <w:t xml:space="preserve">. London: Paul Chapman Publishing.</w:t>
      </w:r>
    </w:p>
    <w:p w:rsidR="00000000" w:rsidDel="00000000" w:rsidP="00000000" w:rsidRDefault="00000000" w:rsidRPr="00000000" w14:paraId="000000AC">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