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F46446" w:rsidRDefault="00F46446"/>
    <w:p w14:paraId="00000002" w14:textId="3C89ED34" w:rsidR="00F46446" w:rsidRDefault="005053AF">
      <w:pPr>
        <w:rPr>
          <w:sz w:val="24"/>
          <w:szCs w:val="24"/>
        </w:rPr>
      </w:pPr>
      <w:r>
        <w:rPr>
          <w:sz w:val="24"/>
          <w:szCs w:val="24"/>
        </w:rPr>
        <w:t xml:space="preserve">Bilingualism, the ability to speak two languages, has ever increasing importance in Wales. This is clearly shown by Welsh Government (2017) vision to have one million fluent Welsh speakers by 2050. They believe that the Welsh language is one of </w:t>
      </w:r>
      <w:r w:rsidR="005675D3">
        <w:rPr>
          <w:sz w:val="24"/>
          <w:szCs w:val="24"/>
        </w:rPr>
        <w:t>Wales’s</w:t>
      </w:r>
      <w:r>
        <w:rPr>
          <w:sz w:val="24"/>
          <w:szCs w:val="24"/>
        </w:rPr>
        <w:t xml:space="preserve"> greatest treasures and it helps define Wales as a nation. They are adamant that Wales needs to reach a point where the Welsh language is an integral part of all aspects of people's lives, and beginning</w:t>
      </w:r>
      <w:r w:rsidR="005675D3">
        <w:rPr>
          <w:sz w:val="24"/>
          <w:szCs w:val="24"/>
        </w:rPr>
        <w:t xml:space="preserve"> to</w:t>
      </w:r>
      <w:r>
        <w:rPr>
          <w:sz w:val="24"/>
          <w:szCs w:val="24"/>
        </w:rPr>
        <w:t xml:space="preserve"> speak, read and learn Welsh in early years settings can only help achieve this goal.  </w:t>
      </w:r>
    </w:p>
    <w:p w14:paraId="00000003" w14:textId="77777777" w:rsidR="00F46446" w:rsidRDefault="00F46446">
      <w:pPr>
        <w:rPr>
          <w:sz w:val="24"/>
          <w:szCs w:val="24"/>
        </w:rPr>
      </w:pPr>
    </w:p>
    <w:p w14:paraId="00000004" w14:textId="7DEDD2DE" w:rsidR="00F46446" w:rsidRDefault="005053AF">
      <w:pPr>
        <w:rPr>
          <w:sz w:val="24"/>
          <w:szCs w:val="24"/>
        </w:rPr>
      </w:pPr>
      <w:r>
        <w:rPr>
          <w:sz w:val="24"/>
          <w:szCs w:val="24"/>
        </w:rPr>
        <w:t xml:space="preserve">Powys County Council (N.D.) are of the opinion that there </w:t>
      </w:r>
      <w:r w:rsidR="008123A2">
        <w:rPr>
          <w:sz w:val="24"/>
          <w:szCs w:val="24"/>
        </w:rPr>
        <w:t>is</w:t>
      </w:r>
      <w:r>
        <w:rPr>
          <w:sz w:val="24"/>
          <w:szCs w:val="24"/>
        </w:rPr>
        <w:t xml:space="preserve"> a plethora of benefits to a child being bilingual. They begin by saying that being bilingual has a positive effect on keeping the brain active in later life and can also reduce the risk of dementia. UCLA Health (N.D.) have completed a study which corroborates this opinion. Upon completion of a study on 254 Alzheimer's patients they found that those patients who were bilingual could stall dementia symptoms by up to four years in comparison to those patients who can only speak one language, monolinguals. They suggest that having the ability to speak and think in two languages allows the individual to build up a cognitive reserve which helps stem the decline from </w:t>
      </w:r>
      <w:r w:rsidR="008123A2">
        <w:rPr>
          <w:sz w:val="24"/>
          <w:szCs w:val="24"/>
        </w:rPr>
        <w:t>Alzheimer’s</w:t>
      </w:r>
      <w:r>
        <w:rPr>
          <w:sz w:val="24"/>
          <w:szCs w:val="24"/>
        </w:rPr>
        <w:t xml:space="preserve"> to dementia. </w:t>
      </w:r>
      <w:r w:rsidR="008123A2">
        <w:rPr>
          <w:sz w:val="24"/>
          <w:szCs w:val="24"/>
        </w:rPr>
        <w:t xml:space="preserve">Alzheimer’s Society (2017) have also conducted research into this theory and agree with the opinion that being bilingual can indeed delay the onset of dementia. They go on to say that in comparison to monolinguals, bilinguals showed increased functional connections in specific parts of the brain involved in executive control. They also are of the opinion that the extent of which they used their second language poses a clear link to activities in key neural areas. </w:t>
      </w:r>
    </w:p>
    <w:p w14:paraId="00000005" w14:textId="77777777" w:rsidR="00F46446" w:rsidRDefault="00F46446">
      <w:pPr>
        <w:rPr>
          <w:sz w:val="24"/>
          <w:szCs w:val="24"/>
        </w:rPr>
      </w:pPr>
    </w:p>
    <w:p w14:paraId="00000006" w14:textId="19F32081" w:rsidR="00F46446" w:rsidRDefault="005053AF">
      <w:pPr>
        <w:rPr>
          <w:sz w:val="24"/>
          <w:szCs w:val="24"/>
        </w:rPr>
      </w:pPr>
      <w:r>
        <w:rPr>
          <w:sz w:val="24"/>
          <w:szCs w:val="24"/>
        </w:rPr>
        <w:t>Powys County Council (N.D.) also believes that being bilingual gives the child access to different cultures and different worlds of experience. The Welsh Government (N</w:t>
      </w:r>
      <w:r w:rsidR="008123A2">
        <w:rPr>
          <w:sz w:val="24"/>
          <w:szCs w:val="24"/>
        </w:rPr>
        <w:t>.D.)</w:t>
      </w:r>
      <w:r>
        <w:rPr>
          <w:sz w:val="24"/>
          <w:szCs w:val="24"/>
        </w:rPr>
        <w:t xml:space="preserve"> states that the current system of teaching and learning Welsh in English medium schools has to change. They are of the opinion that the Welsh language is a vital part of the Welsh culture and </w:t>
      </w:r>
      <w:r w:rsidR="003B6DD8">
        <w:rPr>
          <w:sz w:val="24"/>
          <w:szCs w:val="24"/>
        </w:rPr>
        <w:t>identity,</w:t>
      </w:r>
      <w:r>
        <w:rPr>
          <w:sz w:val="24"/>
          <w:szCs w:val="24"/>
        </w:rPr>
        <w:t xml:space="preserve"> so more learners need to be supported in being able to access it. Speaking Welsh and being bilingual will give the children access to Welsh books, television shows, songs and being able to enjoy and take part in important cultural events in Wales such as the eisteddfod. In my activity we sang a number of songs and learnt numbers in Welsh which a child in an early years setting would be able to learn and then share with their families and friends, which will only help increase not only their confidence but also the people with whom they share their knowledge with. </w:t>
      </w:r>
    </w:p>
    <w:p w14:paraId="00000007" w14:textId="77777777" w:rsidR="00F46446" w:rsidRDefault="00F46446">
      <w:pPr>
        <w:rPr>
          <w:sz w:val="24"/>
          <w:szCs w:val="24"/>
        </w:rPr>
      </w:pPr>
    </w:p>
    <w:p w14:paraId="00000008" w14:textId="3636DA4E" w:rsidR="00F46446" w:rsidRDefault="005053AF">
      <w:pPr>
        <w:rPr>
          <w:sz w:val="24"/>
          <w:szCs w:val="24"/>
        </w:rPr>
      </w:pPr>
      <w:r>
        <w:rPr>
          <w:sz w:val="24"/>
          <w:szCs w:val="24"/>
        </w:rPr>
        <w:t xml:space="preserve">Trautner (2019), looks at why children aged 0-3 are best equipped at beginning to learn two languages. She goes on to say that children of that age have brains that are uniquely suited to learn multiple languages as it is at its most flexible stage. She believes that children as young as 6 months old can excel in detecting a switch to a second language and picking up a second language can come as easy to them as walking and learning their primary language. During my activity my aim was to use </w:t>
      </w:r>
      <w:r>
        <w:rPr>
          <w:sz w:val="24"/>
          <w:szCs w:val="24"/>
        </w:rPr>
        <w:lastRenderedPageBreak/>
        <w:t xml:space="preserve">both English and Welsh to increase the learners ability of not only speaking the language but picking up switches between each one. By making it engaging and fun the children would be able to relate back to that experience and as a result remember the numbers they were being taught in Welsh. </w:t>
      </w:r>
      <w:r w:rsidR="001F640C">
        <w:rPr>
          <w:sz w:val="24"/>
          <w:szCs w:val="24"/>
        </w:rPr>
        <w:t xml:space="preserve">Baker (2001) believes that the effectiveness of a bilingual education and how quickly children can pick up a second language is not necessarily dependent on an individual classroom and schools characteristics. He is of the opinion that social, economic, cultural and political differences can play a role in how effective the bilingual education can be. For example, the willingness of the practitioner to both involve and build good relationships with parents and the community can play a part in effective bilingual education. If a parent is not comfortable with their child beginning to speak a second language and </w:t>
      </w:r>
      <w:r w:rsidR="00F545FB">
        <w:rPr>
          <w:sz w:val="24"/>
          <w:szCs w:val="24"/>
        </w:rPr>
        <w:t xml:space="preserve">not willing to help them speak it in the home environment this could have a detrimental effect on their child’s learning. </w:t>
      </w:r>
    </w:p>
    <w:p w14:paraId="02F98B14" w14:textId="77777777" w:rsidR="00F545FB" w:rsidRDefault="00F545FB">
      <w:pPr>
        <w:rPr>
          <w:sz w:val="24"/>
          <w:szCs w:val="24"/>
        </w:rPr>
      </w:pPr>
    </w:p>
    <w:p w14:paraId="0CD8A08D" w14:textId="222A84DC" w:rsidR="00F545FB" w:rsidRDefault="00F545FB">
      <w:pPr>
        <w:rPr>
          <w:color w:val="000000"/>
          <w:sz w:val="24"/>
          <w:szCs w:val="24"/>
        </w:rPr>
      </w:pPr>
      <w:r w:rsidRPr="00F545FB">
        <w:rPr>
          <w:color w:val="000000"/>
          <w:sz w:val="24"/>
          <w:szCs w:val="24"/>
        </w:rPr>
        <w:t>Xia, An and Guo, J. (2022)</w:t>
      </w:r>
      <w:r>
        <w:rPr>
          <w:color w:val="000000"/>
          <w:sz w:val="24"/>
          <w:szCs w:val="24"/>
        </w:rPr>
        <w:t xml:space="preserve"> look at the link between bilingualism and creativity or divergent thinking. </w:t>
      </w:r>
      <w:r w:rsidR="00837209">
        <w:rPr>
          <w:color w:val="000000"/>
          <w:sz w:val="24"/>
          <w:szCs w:val="24"/>
        </w:rPr>
        <w:t xml:space="preserve">They believe that the skills that bilingualists use switching back and forth from one language to </w:t>
      </w:r>
      <w:proofErr w:type="gramStart"/>
      <w:r w:rsidR="00837209">
        <w:rPr>
          <w:color w:val="000000"/>
          <w:sz w:val="24"/>
          <w:szCs w:val="24"/>
        </w:rPr>
        <w:t>another</w:t>
      </w:r>
      <w:proofErr w:type="gramEnd"/>
      <w:r w:rsidR="00837209">
        <w:rPr>
          <w:color w:val="000000"/>
          <w:sz w:val="24"/>
          <w:szCs w:val="24"/>
        </w:rPr>
        <w:t xml:space="preserve"> helps foster the cognitive processes linked to creative or divergent thinking. Conversely, a study conducted by students of the UWTSD (2024) disagrees with this theory. </w:t>
      </w:r>
      <w:r w:rsidR="005675D3">
        <w:rPr>
          <w:color w:val="000000"/>
          <w:sz w:val="24"/>
          <w:szCs w:val="24"/>
        </w:rPr>
        <w:t>Within the study both monolingual and bilingual students from the same schools took part in three measures of divergent thinking. The results showed that there were no differences between the monolingual and bilingual students across any of the divergent thinking measures. They go on to say that the study shows that there is no evidence to show that bilingual students hol</w:t>
      </w:r>
      <w:r w:rsidR="005053AF">
        <w:rPr>
          <w:color w:val="000000"/>
          <w:sz w:val="24"/>
          <w:szCs w:val="24"/>
        </w:rPr>
        <w:t>d</w:t>
      </w:r>
      <w:r w:rsidR="005675D3">
        <w:rPr>
          <w:color w:val="000000"/>
          <w:sz w:val="24"/>
          <w:szCs w:val="24"/>
        </w:rPr>
        <w:t xml:space="preserve"> any advantage in the divergent thinking aspect of creativity amongst students, which in turn suggest</w:t>
      </w:r>
      <w:r w:rsidR="00F2304C">
        <w:rPr>
          <w:color w:val="000000"/>
          <w:sz w:val="24"/>
          <w:szCs w:val="24"/>
        </w:rPr>
        <w:t>s</w:t>
      </w:r>
      <w:r w:rsidR="005675D3">
        <w:rPr>
          <w:color w:val="000000"/>
          <w:sz w:val="24"/>
          <w:szCs w:val="24"/>
        </w:rPr>
        <w:t xml:space="preserve"> that previous results from other theorists could have been affected by false positives. They finish by saying that although bilingualism has many benefits to children, increasing divergent thinking is not one of them. </w:t>
      </w:r>
    </w:p>
    <w:p w14:paraId="1E4B42C6" w14:textId="77777777" w:rsidR="00CD35EC" w:rsidRDefault="00CD35EC">
      <w:pPr>
        <w:rPr>
          <w:color w:val="000000"/>
          <w:sz w:val="24"/>
          <w:szCs w:val="24"/>
        </w:rPr>
      </w:pPr>
    </w:p>
    <w:p w14:paraId="5C1DC8EC" w14:textId="29C717FD" w:rsidR="00CD35EC" w:rsidRDefault="00CD35EC">
      <w:pPr>
        <w:rPr>
          <w:sz w:val="24"/>
          <w:szCs w:val="24"/>
        </w:rPr>
      </w:pPr>
      <w:r>
        <w:rPr>
          <w:sz w:val="24"/>
          <w:szCs w:val="24"/>
        </w:rPr>
        <w:t xml:space="preserve">Senedd Wales (2022) look at the new curriculum Cymraeg. Within the new curriculum they specify four purposes. Ambitious and capable learners, enterprising and creative contributors, ethical and informed citizens who are ready to be citizens of Wales and the world and finally healthy and confident individuals who are ready to lead fulfilling lives as members of society. Making bilingualism a foundation of the curriculum lends itself to ensuring all four purposes are reached. </w:t>
      </w:r>
      <w:r w:rsidR="00DF07A6">
        <w:rPr>
          <w:sz w:val="24"/>
          <w:szCs w:val="24"/>
        </w:rPr>
        <w:t xml:space="preserve">Learning two languages will make learners far more capable and ambitious as they will be able to access more material and push themselves to try more challenging tasks whether that be in their primary or secondary language. As previously noted, some theorists believe that being bilingual results in increased creative capacity consequently, the second purpose of creating enterprising and creative contributors would be fulfilled. The third purpose looks at creating ethical and informed citizens who are ready to become citizens of Wales. Learning Welsh from an early age through early years, foundation phase and KS2 will allow the learner to develop confidence in speaking Welsh and as a result be able to tap into Welsh culture more and contribute to Welsh society effectively. </w:t>
      </w:r>
      <w:r w:rsidR="00F2304C">
        <w:rPr>
          <w:sz w:val="24"/>
          <w:szCs w:val="24"/>
        </w:rPr>
        <w:t>Finally,</w:t>
      </w:r>
      <w:r w:rsidR="00DF07A6">
        <w:rPr>
          <w:sz w:val="24"/>
          <w:szCs w:val="24"/>
        </w:rPr>
        <w:t xml:space="preserve"> being healthy and confident people can be developed by </w:t>
      </w:r>
      <w:r w:rsidR="00DF07A6">
        <w:rPr>
          <w:sz w:val="24"/>
          <w:szCs w:val="24"/>
        </w:rPr>
        <w:lastRenderedPageBreak/>
        <w:t xml:space="preserve">being bilingual as being able to speak two languages helps bring on the confidence of the individual as they will be able to engage with an increased number of people in differing circles of life. </w:t>
      </w:r>
      <w:r w:rsidR="00790FA6">
        <w:rPr>
          <w:sz w:val="24"/>
          <w:szCs w:val="24"/>
        </w:rPr>
        <w:t xml:space="preserve">Jenkins (2020) on bera.ac.uk looks at how the new Welsh curriculum is battling the current ‘language crisis’ within the country. She admits that the possibility of learning Welsh over the last twenty years has been incredibly challenging due to it being non compulsory past KS3. She goes on to say however, that the new curriculum is looking at tackling these issues head on. It focusses on the value of promoting a younger individuals learning of all languages, English, Welsh and ‘international languages’ they use languages as a ‘key to helping to understand the world around us’. In my activity I used both English and Welsh effectively to teach numbers in Welsh to the Early Years learners. By interchanging between the two </w:t>
      </w:r>
      <w:r w:rsidR="00263EF1">
        <w:rPr>
          <w:sz w:val="24"/>
          <w:szCs w:val="24"/>
        </w:rPr>
        <w:t>languages,</w:t>
      </w:r>
      <w:r w:rsidR="00790FA6">
        <w:rPr>
          <w:sz w:val="24"/>
          <w:szCs w:val="24"/>
        </w:rPr>
        <w:t xml:space="preserve"> I gave the learners opportunity to understand the context behind the activity by speaking English whilst also encouraging their Welsh development by focusing the activity on learning numbers in Welsh. </w:t>
      </w:r>
    </w:p>
    <w:p w14:paraId="7C860184" w14:textId="77777777" w:rsidR="00263EF1" w:rsidRDefault="00263EF1">
      <w:pPr>
        <w:rPr>
          <w:sz w:val="24"/>
          <w:szCs w:val="24"/>
        </w:rPr>
      </w:pPr>
    </w:p>
    <w:p w14:paraId="7033B87F" w14:textId="6C80367E" w:rsidR="00263EF1" w:rsidRDefault="00263EF1">
      <w:pPr>
        <w:rPr>
          <w:sz w:val="24"/>
          <w:szCs w:val="24"/>
        </w:rPr>
      </w:pPr>
      <w:r>
        <w:rPr>
          <w:sz w:val="24"/>
          <w:szCs w:val="24"/>
        </w:rPr>
        <w:t xml:space="preserve">To conclude, the evidence clearly shows that there are a number of positives that children can pick up by being bilingual. Whether that be being able to embrace their own culture more and also increase their brains cognitive ability therefore reducing risk of dementia in later life. It is also clear from the evidence that the earlier a child is exposed to bilingualism the better as their brain is most flexible and able to learn and retain two languages at an early stage in their lives. Consequently, it is our responsibility as early years practitioners that we facilitate and enable the opportunity for learners to begin on their bilingual journey just as I did in my activity. By making it fun and engaging whilst also linking it to the Welsh language gives the learner the best chance possible to begin learning the language and benefit from being bilingual for the rest of their lives. </w:t>
      </w:r>
    </w:p>
    <w:p w14:paraId="4315C9F1" w14:textId="77777777" w:rsidR="00263EF1" w:rsidRPr="00F545FB" w:rsidRDefault="00263EF1">
      <w:pPr>
        <w:rPr>
          <w:sz w:val="24"/>
          <w:szCs w:val="24"/>
        </w:rPr>
      </w:pPr>
    </w:p>
    <w:p w14:paraId="4D999ABA" w14:textId="77777777" w:rsidR="00F545FB" w:rsidRDefault="00F545FB">
      <w:pPr>
        <w:rPr>
          <w:sz w:val="24"/>
          <w:szCs w:val="24"/>
        </w:rPr>
      </w:pPr>
    </w:p>
    <w:p w14:paraId="3E2B3282" w14:textId="77777777" w:rsidR="00F545FB" w:rsidRDefault="00F545FB">
      <w:pPr>
        <w:rPr>
          <w:sz w:val="24"/>
          <w:szCs w:val="24"/>
        </w:rPr>
      </w:pPr>
    </w:p>
    <w:p w14:paraId="00000009" w14:textId="77777777" w:rsidR="00F46446" w:rsidRDefault="00F46446">
      <w:pPr>
        <w:rPr>
          <w:sz w:val="24"/>
          <w:szCs w:val="24"/>
        </w:rPr>
      </w:pPr>
    </w:p>
    <w:p w14:paraId="0000000A" w14:textId="77777777" w:rsidR="00F46446" w:rsidRDefault="00F46446">
      <w:pPr>
        <w:rPr>
          <w:sz w:val="24"/>
          <w:szCs w:val="24"/>
        </w:rPr>
      </w:pPr>
    </w:p>
    <w:p w14:paraId="0000000B" w14:textId="77777777" w:rsidR="00F46446" w:rsidRDefault="00F46446">
      <w:pPr>
        <w:rPr>
          <w:sz w:val="24"/>
          <w:szCs w:val="24"/>
        </w:rPr>
      </w:pPr>
    </w:p>
    <w:p w14:paraId="0000000C" w14:textId="77777777" w:rsidR="00F46446" w:rsidRDefault="00F46446">
      <w:pPr>
        <w:rPr>
          <w:sz w:val="24"/>
          <w:szCs w:val="24"/>
        </w:rPr>
      </w:pPr>
    </w:p>
    <w:p w14:paraId="0000000D" w14:textId="77777777" w:rsidR="00F46446" w:rsidRDefault="00F46446">
      <w:pPr>
        <w:rPr>
          <w:sz w:val="24"/>
          <w:szCs w:val="24"/>
        </w:rPr>
      </w:pPr>
    </w:p>
    <w:p w14:paraId="0000000E" w14:textId="77777777" w:rsidR="00F46446" w:rsidRDefault="00F46446">
      <w:pPr>
        <w:rPr>
          <w:sz w:val="24"/>
          <w:szCs w:val="24"/>
        </w:rPr>
      </w:pPr>
    </w:p>
    <w:p w14:paraId="0000000F" w14:textId="77777777" w:rsidR="00F46446" w:rsidRDefault="00F46446">
      <w:pPr>
        <w:rPr>
          <w:sz w:val="24"/>
          <w:szCs w:val="24"/>
        </w:rPr>
      </w:pPr>
    </w:p>
    <w:p w14:paraId="00000011" w14:textId="77777777" w:rsidR="00F46446" w:rsidRDefault="005053AF" w:rsidP="00CD35EC">
      <w:pPr>
        <w:pStyle w:val="Heading3"/>
        <w:keepNext w:val="0"/>
        <w:keepLines w:val="0"/>
        <w:spacing w:before="0"/>
        <w:rPr>
          <w:b/>
          <w:color w:val="1F1F1F"/>
          <w:shd w:val="clear" w:color="auto" w:fill="FFD530"/>
        </w:rPr>
      </w:pPr>
      <w:r>
        <w:fldChar w:fldCharType="begin"/>
      </w:r>
      <w:r>
        <w:instrText xml:space="preserve"> HYPERLINK "https://www.gov.wales/sites/default/files/statistics-and-research/2019-07/140430-welsh-additional-language-en.pdf" </w:instrText>
      </w:r>
      <w:r>
        <w:fldChar w:fldCharType="separate"/>
      </w:r>
    </w:p>
    <w:p w14:paraId="00000012" w14:textId="77777777" w:rsidR="00F46446" w:rsidRDefault="00F46446">
      <w:pPr>
        <w:pStyle w:val="Heading3"/>
        <w:keepNext w:val="0"/>
        <w:keepLines w:val="0"/>
        <w:spacing w:before="0" w:after="60"/>
        <w:ind w:left="1480" w:right="-20"/>
        <w:rPr>
          <w:b/>
          <w:color w:val="1F1F1F"/>
          <w:shd w:val="clear" w:color="auto" w:fill="FFD530"/>
        </w:rPr>
      </w:pPr>
      <w:bookmarkStart w:id="0" w:name="_tsjbr0tl4spc" w:colFirst="0" w:colLast="0"/>
      <w:bookmarkEnd w:id="0"/>
    </w:p>
    <w:p w14:paraId="00000013" w14:textId="77777777" w:rsidR="00F46446" w:rsidRDefault="005053AF">
      <w:pPr>
        <w:shd w:val="clear" w:color="auto" w:fill="FFFFFF"/>
        <w:ind w:left="1500"/>
        <w:rPr>
          <w:color w:val="1F1F1F"/>
          <w:sz w:val="24"/>
          <w:szCs w:val="24"/>
        </w:rPr>
      </w:pPr>
      <w:r>
        <w:fldChar w:fldCharType="end"/>
      </w:r>
      <w:r>
        <w:rPr>
          <w:color w:val="FFFFFF"/>
          <w:sz w:val="24"/>
          <w:szCs w:val="24"/>
        </w:rPr>
        <w:t>PDF</w:t>
      </w:r>
      <w:r>
        <w:rPr>
          <w:color w:val="1F1F1F"/>
          <w:sz w:val="24"/>
          <w:szCs w:val="24"/>
        </w:rPr>
        <w:t xml:space="preserve"> </w:t>
      </w:r>
    </w:p>
    <w:p w14:paraId="00000014" w14:textId="77777777" w:rsidR="00F46446" w:rsidRDefault="00F46446">
      <w:pPr>
        <w:rPr>
          <w:sz w:val="24"/>
          <w:szCs w:val="24"/>
        </w:rPr>
      </w:pPr>
    </w:p>
    <w:p w14:paraId="7A950D52" w14:textId="77777777" w:rsidR="003B6DD8" w:rsidRDefault="003B6DD8" w:rsidP="008123A2">
      <w:pPr>
        <w:pStyle w:val="NormalWeb"/>
        <w:spacing w:before="0" w:beforeAutospacing="0" w:after="0" w:afterAutospacing="0" w:line="360" w:lineRule="atLeast"/>
        <w:rPr>
          <w:rFonts w:ascii="Calibri" w:hAnsi="Calibri" w:cs="Calibri"/>
          <w:color w:val="000000"/>
          <w:sz w:val="27"/>
          <w:szCs w:val="27"/>
        </w:rPr>
      </w:pPr>
    </w:p>
    <w:p w14:paraId="2D57C45F" w14:textId="77777777" w:rsidR="003B6DD8" w:rsidRDefault="003B6DD8" w:rsidP="008123A2">
      <w:pPr>
        <w:pStyle w:val="NormalWeb"/>
        <w:spacing w:before="0" w:beforeAutospacing="0" w:after="0" w:afterAutospacing="0" w:line="360" w:lineRule="atLeast"/>
        <w:rPr>
          <w:rFonts w:ascii="Calibri" w:hAnsi="Calibri" w:cs="Calibri"/>
          <w:color w:val="000000"/>
          <w:sz w:val="27"/>
          <w:szCs w:val="27"/>
        </w:rPr>
      </w:pPr>
    </w:p>
    <w:p w14:paraId="1951EE40" w14:textId="302E95D0" w:rsidR="00015050" w:rsidRDefault="00015050" w:rsidP="00DF07A6">
      <w:pPr>
        <w:pStyle w:val="NormalWeb"/>
        <w:rPr>
          <w:rFonts w:ascii="Calibri" w:hAnsi="Calibri" w:cs="Calibri"/>
          <w:b/>
          <w:bCs/>
          <w:color w:val="000000"/>
          <w:sz w:val="27"/>
          <w:szCs w:val="27"/>
          <w:u w:val="single"/>
        </w:rPr>
      </w:pPr>
      <w:r w:rsidRPr="00015050">
        <w:rPr>
          <w:rFonts w:ascii="Calibri" w:hAnsi="Calibri" w:cs="Calibri"/>
          <w:b/>
          <w:bCs/>
          <w:color w:val="000000"/>
          <w:sz w:val="27"/>
          <w:szCs w:val="27"/>
          <w:u w:val="single"/>
        </w:rPr>
        <w:lastRenderedPageBreak/>
        <w:t xml:space="preserve">Reference List </w:t>
      </w:r>
    </w:p>
    <w:p w14:paraId="11D0EE25" w14:textId="2B627049" w:rsidR="00015050" w:rsidRPr="00015050" w:rsidRDefault="00015050" w:rsidP="00015050">
      <w:pPr>
        <w:spacing w:line="360" w:lineRule="auto"/>
        <w:rPr>
          <w:sz w:val="24"/>
          <w:szCs w:val="24"/>
        </w:rPr>
      </w:pPr>
      <w:r w:rsidRPr="00015050">
        <w:rPr>
          <w:sz w:val="24"/>
          <w:szCs w:val="24"/>
        </w:rPr>
        <w:t xml:space="preserve">A living language: a language for living - Moving forward Policy statement Live Learn Enjoy. (n.d.). Available at: </w:t>
      </w:r>
      <w:hyperlink r:id="rId6" w:history="1">
        <w:r w:rsidRPr="00F90B56">
          <w:rPr>
            <w:rStyle w:val="Hyperlink"/>
            <w:sz w:val="24"/>
            <w:szCs w:val="24"/>
          </w:rPr>
          <w:t>https://www.gov.wales/sites/default/files/publications/2018-12/welsh-language-strategy-2012-to-2017-moving-forward.pdf</w:t>
        </w:r>
      </w:hyperlink>
      <w:r w:rsidRPr="00015050">
        <w:rPr>
          <w:sz w:val="24"/>
          <w:szCs w:val="24"/>
        </w:rPr>
        <w:t>.</w:t>
      </w:r>
      <w:r>
        <w:rPr>
          <w:sz w:val="24"/>
          <w:szCs w:val="24"/>
        </w:rPr>
        <w:t xml:space="preserve"> </w:t>
      </w:r>
      <w:r w:rsidRPr="00015050">
        <w:rPr>
          <w:color w:val="000000"/>
          <w:sz w:val="24"/>
          <w:szCs w:val="24"/>
        </w:rPr>
        <w:t>[Accessed 18 Apr. 2024].</w:t>
      </w:r>
    </w:p>
    <w:p w14:paraId="79256699" w14:textId="5427F6B7" w:rsidR="008123A2" w:rsidRPr="00015050" w:rsidRDefault="008123A2" w:rsidP="00DF07A6">
      <w:pPr>
        <w:pStyle w:val="NormalWeb"/>
        <w:rPr>
          <w:rFonts w:ascii="Arial" w:hAnsi="Arial" w:cs="Arial"/>
          <w:color w:val="000000"/>
        </w:rPr>
      </w:pPr>
      <w:r w:rsidRPr="00015050">
        <w:rPr>
          <w:rFonts w:ascii="Arial" w:hAnsi="Arial" w:cs="Arial"/>
          <w:color w:val="000000"/>
        </w:rPr>
        <w:t>Alzheimer’s Society. (2017). </w:t>
      </w:r>
      <w:r w:rsidRPr="00015050">
        <w:rPr>
          <w:rFonts w:ascii="Arial" w:hAnsi="Arial" w:cs="Arial"/>
          <w:i/>
          <w:iCs/>
          <w:color w:val="000000"/>
        </w:rPr>
        <w:t>Bilingual Brains Are More Resilient to Dementia Cause by Alzheimer’s Disease</w:t>
      </w:r>
      <w:r w:rsidRPr="00015050">
        <w:rPr>
          <w:rFonts w:ascii="Arial" w:hAnsi="Arial" w:cs="Arial"/>
          <w:color w:val="000000"/>
        </w:rPr>
        <w:t xml:space="preserve">. [online] Available at: </w:t>
      </w:r>
      <w:hyperlink r:id="rId7" w:history="1">
        <w:r w:rsidR="003B6DD8" w:rsidRPr="00015050">
          <w:rPr>
            <w:rStyle w:val="Hyperlink"/>
            <w:rFonts w:ascii="Arial" w:hAnsi="Arial" w:cs="Arial"/>
          </w:rPr>
          <w:t>https://www.alzheimers.org.uk/news/2018-05-15/bilingual-brains-are-more-resilient-dementia-cause-alzheimers-disease</w:t>
        </w:r>
      </w:hyperlink>
      <w:r w:rsidRPr="00015050">
        <w:rPr>
          <w:rFonts w:ascii="Arial" w:hAnsi="Arial" w:cs="Arial"/>
          <w:color w:val="000000"/>
        </w:rPr>
        <w:t>.</w:t>
      </w:r>
      <w:r w:rsidR="00015050" w:rsidRPr="00015050">
        <w:rPr>
          <w:rFonts w:ascii="Arial" w:hAnsi="Arial" w:cs="Arial"/>
          <w:color w:val="000000"/>
        </w:rPr>
        <w:t xml:space="preserve"> </w:t>
      </w:r>
      <w:r w:rsidR="00015050" w:rsidRPr="00015050">
        <w:rPr>
          <w:rFonts w:ascii="Arial" w:hAnsi="Arial" w:cs="Arial"/>
          <w:color w:val="000000"/>
        </w:rPr>
        <w:t>[Accessed 18 Apr. 2024].</w:t>
      </w:r>
    </w:p>
    <w:p w14:paraId="533351E7" w14:textId="77777777" w:rsidR="00015050" w:rsidRDefault="003B6DD8" w:rsidP="00DF07A6">
      <w:pPr>
        <w:pStyle w:val="NormalWeb"/>
        <w:spacing w:before="0" w:beforeAutospacing="0" w:after="0" w:afterAutospacing="0" w:line="360" w:lineRule="atLeast"/>
        <w:rPr>
          <w:rFonts w:ascii="Arial" w:hAnsi="Arial" w:cs="Arial"/>
          <w:color w:val="000000"/>
        </w:rPr>
      </w:pPr>
      <w:r w:rsidRPr="00015050">
        <w:rPr>
          <w:rFonts w:ascii="Arial" w:hAnsi="Arial" w:cs="Arial"/>
          <w:color w:val="000000"/>
        </w:rPr>
        <w:t>Baker, C. (2001). </w:t>
      </w:r>
      <w:r w:rsidRPr="00015050">
        <w:rPr>
          <w:rFonts w:ascii="Arial" w:hAnsi="Arial" w:cs="Arial"/>
          <w:i/>
          <w:iCs/>
          <w:color w:val="000000"/>
        </w:rPr>
        <w:t>Foundations of bilingual education and bilingualism</w:t>
      </w:r>
      <w:r w:rsidRPr="00015050">
        <w:rPr>
          <w:rFonts w:ascii="Arial" w:hAnsi="Arial" w:cs="Arial"/>
          <w:color w:val="000000"/>
        </w:rPr>
        <w:t>. 3rd ed. Bristol: Multilingual Matters.</w:t>
      </w:r>
    </w:p>
    <w:p w14:paraId="2E9C5BF5" w14:textId="77777777" w:rsidR="00015050" w:rsidRDefault="00015050" w:rsidP="00DF07A6">
      <w:pPr>
        <w:pStyle w:val="NormalWeb"/>
        <w:spacing w:before="0" w:beforeAutospacing="0" w:after="0" w:afterAutospacing="0" w:line="360" w:lineRule="atLeast"/>
        <w:rPr>
          <w:rFonts w:ascii="Arial" w:hAnsi="Arial" w:cs="Arial"/>
          <w:color w:val="000000"/>
        </w:rPr>
      </w:pPr>
    </w:p>
    <w:p w14:paraId="4337D3F1" w14:textId="72D9F517" w:rsidR="00DF07A6" w:rsidRPr="00015050" w:rsidRDefault="00DF07A6" w:rsidP="00DF07A6">
      <w:pPr>
        <w:pStyle w:val="NormalWeb"/>
        <w:spacing w:before="0" w:beforeAutospacing="0" w:after="0" w:afterAutospacing="0" w:line="360" w:lineRule="atLeast"/>
        <w:rPr>
          <w:rFonts w:ascii="Arial" w:hAnsi="Arial" w:cs="Arial"/>
          <w:color w:val="000000"/>
        </w:rPr>
      </w:pPr>
      <w:r w:rsidRPr="00015050">
        <w:rPr>
          <w:rFonts w:ascii="Arial" w:hAnsi="Arial" w:cs="Arial"/>
          <w:color w:val="000000"/>
        </w:rPr>
        <w:t>www.bera.ac.uk. (n.d.). </w:t>
      </w:r>
      <w:r w:rsidRPr="00015050">
        <w:rPr>
          <w:rFonts w:ascii="Arial" w:hAnsi="Arial" w:cs="Arial"/>
          <w:i/>
          <w:iCs/>
          <w:color w:val="000000"/>
        </w:rPr>
        <w:t>Tackling the languages ‘crisis’: Supporting multilingualism in the new curriculum for Wales</w:t>
      </w:r>
      <w:r w:rsidRPr="00015050">
        <w:rPr>
          <w:rFonts w:ascii="Arial" w:hAnsi="Arial" w:cs="Arial"/>
          <w:color w:val="000000"/>
        </w:rPr>
        <w:t xml:space="preserve">. [online] Available at: </w:t>
      </w:r>
      <w:hyperlink r:id="rId8" w:history="1">
        <w:r w:rsidR="00015050" w:rsidRPr="00015050">
          <w:rPr>
            <w:rStyle w:val="Hyperlink"/>
            <w:rFonts w:ascii="Arial" w:hAnsi="Arial" w:cs="Arial"/>
          </w:rPr>
          <w:t>https://www.bera.ac.uk/blog/tackling-the-languages-crisis-supporting-multilingualism-in-the-new-curriculum-for-wales</w:t>
        </w:r>
      </w:hyperlink>
      <w:r w:rsidRPr="00015050">
        <w:rPr>
          <w:rFonts w:ascii="Arial" w:hAnsi="Arial" w:cs="Arial"/>
          <w:color w:val="000000"/>
        </w:rPr>
        <w:t>.</w:t>
      </w:r>
      <w:r w:rsidR="00015050">
        <w:rPr>
          <w:rFonts w:ascii="Arial" w:hAnsi="Arial" w:cs="Arial"/>
          <w:color w:val="000000"/>
        </w:rPr>
        <w:t xml:space="preserve"> </w:t>
      </w:r>
      <w:r w:rsidR="00015050" w:rsidRPr="00015050">
        <w:rPr>
          <w:rFonts w:ascii="Arial" w:hAnsi="Arial" w:cs="Arial"/>
          <w:color w:val="000000"/>
        </w:rPr>
        <w:t>[Accessed 18 Apr. 2024].</w:t>
      </w:r>
    </w:p>
    <w:p w14:paraId="35878590" w14:textId="4F81A449" w:rsidR="00015050" w:rsidRPr="00015050" w:rsidRDefault="00015050" w:rsidP="00015050">
      <w:pPr>
        <w:spacing w:before="240" w:after="240"/>
        <w:rPr>
          <w:sz w:val="24"/>
          <w:szCs w:val="24"/>
        </w:rPr>
      </w:pPr>
      <w:r w:rsidRPr="00015050">
        <w:rPr>
          <w:sz w:val="24"/>
          <w:szCs w:val="24"/>
        </w:rPr>
        <w:t xml:space="preserve">Powys County Council. (n.d.). </w:t>
      </w:r>
      <w:r w:rsidRPr="00015050">
        <w:rPr>
          <w:i/>
          <w:sz w:val="24"/>
          <w:szCs w:val="24"/>
        </w:rPr>
        <w:t>Destination bilingual: the benefits of choosing a Welsh-medium education</w:t>
      </w:r>
      <w:r w:rsidRPr="00015050">
        <w:rPr>
          <w:sz w:val="24"/>
          <w:szCs w:val="24"/>
        </w:rPr>
        <w:t xml:space="preserve">. [online] Available at: </w:t>
      </w:r>
      <w:hyperlink r:id="rId9">
        <w:r w:rsidRPr="00015050">
          <w:rPr>
            <w:color w:val="1155CC"/>
            <w:sz w:val="24"/>
            <w:szCs w:val="24"/>
            <w:u w:val="single"/>
          </w:rPr>
          <w:t>https://en.powys.gov.uk/article/10742/Destination-bilingual-the-benefits-of-choosing-a-Welsh-medium-education</w:t>
        </w:r>
      </w:hyperlink>
      <w:r w:rsidRPr="00015050">
        <w:rPr>
          <w:sz w:val="24"/>
          <w:szCs w:val="24"/>
        </w:rPr>
        <w:t>.</w:t>
      </w:r>
      <w:r>
        <w:rPr>
          <w:sz w:val="24"/>
          <w:szCs w:val="24"/>
        </w:rPr>
        <w:t xml:space="preserve"> </w:t>
      </w:r>
      <w:r w:rsidRPr="00015050">
        <w:rPr>
          <w:color w:val="000000"/>
          <w:sz w:val="24"/>
          <w:szCs w:val="24"/>
        </w:rPr>
        <w:t>[Accessed 18 Apr. 2024].</w:t>
      </w:r>
    </w:p>
    <w:p w14:paraId="72BC0EEF" w14:textId="77777777" w:rsidR="00015050" w:rsidRPr="00015050" w:rsidRDefault="00015050" w:rsidP="00015050">
      <w:pPr>
        <w:pStyle w:val="NormalWeb"/>
        <w:spacing w:before="0" w:beforeAutospacing="0" w:after="0" w:afterAutospacing="0" w:line="360" w:lineRule="atLeast"/>
        <w:rPr>
          <w:rFonts w:ascii="Arial" w:hAnsi="Arial" w:cs="Arial"/>
          <w:color w:val="000000"/>
        </w:rPr>
      </w:pPr>
      <w:r w:rsidRPr="00015050">
        <w:rPr>
          <w:rFonts w:ascii="Arial" w:hAnsi="Arial" w:cs="Arial"/>
          <w:color w:val="000000"/>
        </w:rPr>
        <w:t>Senedd.wales. (2022). </w:t>
      </w:r>
      <w:r w:rsidRPr="00015050">
        <w:rPr>
          <w:rFonts w:ascii="Arial" w:hAnsi="Arial" w:cs="Arial"/>
          <w:i/>
          <w:iCs/>
          <w:color w:val="000000"/>
        </w:rPr>
        <w:t>The Draft Curriculum for Wales 2022</w:t>
      </w:r>
      <w:r w:rsidRPr="00015050">
        <w:rPr>
          <w:rFonts w:ascii="Arial" w:hAnsi="Arial" w:cs="Arial"/>
          <w:color w:val="000000"/>
        </w:rPr>
        <w:t>. [online] Available at: https://research.senedd.wales/research-articles/the-draft-curriculum-for-wales-2022/#:~:text=Professor%20Donaldson%E2%80%99s%20work%20began%20by%20asking%20what%20should [Accessed 19 Apr. 2024].</w:t>
      </w:r>
    </w:p>
    <w:p w14:paraId="3CDB08E0" w14:textId="77777777" w:rsidR="00015050" w:rsidRPr="00015050" w:rsidRDefault="00015050" w:rsidP="00015050">
      <w:pPr>
        <w:pStyle w:val="NormalWeb"/>
        <w:spacing w:before="0" w:beforeAutospacing="0" w:after="0" w:afterAutospacing="0" w:line="360" w:lineRule="atLeast"/>
        <w:rPr>
          <w:rFonts w:ascii="Arial" w:hAnsi="Arial" w:cs="Arial"/>
          <w:color w:val="000000"/>
        </w:rPr>
      </w:pPr>
    </w:p>
    <w:p w14:paraId="50DB1780" w14:textId="5E8E5A9B" w:rsidR="00015050" w:rsidRPr="00015050" w:rsidRDefault="00015050" w:rsidP="00015050">
      <w:pPr>
        <w:pStyle w:val="NormalWeb"/>
        <w:spacing w:before="0" w:beforeAutospacing="0" w:after="0" w:afterAutospacing="0" w:line="360" w:lineRule="atLeast"/>
        <w:rPr>
          <w:rStyle w:val="Hyperlink"/>
          <w:rFonts w:ascii="Arial" w:hAnsi="Arial" w:cs="Arial"/>
        </w:rPr>
      </w:pPr>
      <w:r w:rsidRPr="00015050">
        <w:rPr>
          <w:rFonts w:ascii="Arial" w:hAnsi="Arial" w:cs="Arial"/>
        </w:rPr>
        <w:t xml:space="preserve">‌Trautner, T. (2019). </w:t>
      </w:r>
      <w:r w:rsidRPr="00015050">
        <w:rPr>
          <w:rFonts w:ascii="Arial" w:hAnsi="Arial" w:cs="Arial"/>
          <w:i/>
        </w:rPr>
        <w:t>Advantages of a bilingual brain</w:t>
      </w:r>
      <w:r w:rsidRPr="00015050">
        <w:rPr>
          <w:rFonts w:ascii="Arial" w:hAnsi="Arial" w:cs="Arial"/>
        </w:rPr>
        <w:t xml:space="preserve">. [online] Michigan State University. Available at: </w:t>
      </w:r>
      <w:hyperlink r:id="rId10" w:history="1">
        <w:r w:rsidRPr="00015050">
          <w:rPr>
            <w:rStyle w:val="Hyperlink"/>
            <w:rFonts w:ascii="Arial" w:hAnsi="Arial" w:cs="Arial"/>
          </w:rPr>
          <w:t>https://www.canr.msu.edu/news/advantages_of_a_bilingual_brain</w:t>
        </w:r>
      </w:hyperlink>
      <w:r>
        <w:rPr>
          <w:rStyle w:val="Hyperlink"/>
          <w:rFonts w:ascii="Arial" w:hAnsi="Arial" w:cs="Arial"/>
        </w:rPr>
        <w:t xml:space="preserve"> </w:t>
      </w:r>
      <w:r w:rsidRPr="00015050">
        <w:rPr>
          <w:rFonts w:ascii="Arial" w:hAnsi="Arial" w:cs="Arial"/>
          <w:color w:val="000000"/>
        </w:rPr>
        <w:t>[Accessed 18 Apr. 2024].</w:t>
      </w:r>
    </w:p>
    <w:p w14:paraId="6A16D274" w14:textId="77777777" w:rsidR="00015050" w:rsidRPr="00015050" w:rsidRDefault="00015050" w:rsidP="00015050">
      <w:pPr>
        <w:pStyle w:val="NormalWeb"/>
        <w:spacing w:before="0" w:beforeAutospacing="0" w:after="0" w:afterAutospacing="0" w:line="360" w:lineRule="atLeast"/>
        <w:rPr>
          <w:rStyle w:val="Hyperlink"/>
          <w:rFonts w:ascii="Arial" w:hAnsi="Arial" w:cs="Arial"/>
        </w:rPr>
      </w:pPr>
    </w:p>
    <w:p w14:paraId="4A0944A0" w14:textId="6BDC26B0" w:rsidR="00015050" w:rsidRDefault="00015050" w:rsidP="00015050">
      <w:pPr>
        <w:pStyle w:val="NormalWeb"/>
        <w:spacing w:before="0" w:beforeAutospacing="0" w:after="0" w:afterAutospacing="0" w:line="360" w:lineRule="atLeast"/>
        <w:rPr>
          <w:rFonts w:ascii="Arial" w:hAnsi="Arial" w:cs="Arial"/>
          <w:color w:val="1155CC"/>
          <w:u w:val="single"/>
        </w:rPr>
      </w:pPr>
      <w:r w:rsidRPr="00015050">
        <w:rPr>
          <w:rFonts w:ascii="Arial" w:hAnsi="Arial" w:cs="Arial"/>
        </w:rPr>
        <w:t xml:space="preserve">www.uclahealth.org. (n.d.). </w:t>
      </w:r>
      <w:r w:rsidRPr="00015050">
        <w:rPr>
          <w:rFonts w:ascii="Arial" w:hAnsi="Arial" w:cs="Arial"/>
          <w:i/>
        </w:rPr>
        <w:t>Bilingualism Delays the Onset of Alzheimer’s Symptoms</w:t>
      </w:r>
      <w:r w:rsidRPr="00015050">
        <w:rPr>
          <w:rFonts w:ascii="Arial" w:hAnsi="Arial" w:cs="Arial"/>
        </w:rPr>
        <w:t xml:space="preserve">. [online] Available at: </w:t>
      </w:r>
      <w:hyperlink r:id="rId11" w:anchor=":~:text=A%20study%20of%20253%20Alzheimer">
        <w:r w:rsidRPr="00015050">
          <w:rPr>
            <w:rFonts w:ascii="Arial" w:hAnsi="Arial" w:cs="Arial"/>
            <w:color w:val="1155CC"/>
            <w:u w:val="single"/>
          </w:rPr>
          <w:t>https://www.uclahealth.org/departments/neurology/about-us/neurology-lab-profiles/bilingualism-delays-onset-alzheimers-symptoms#:~:text=A%20study%20of%20253%20Alzheimer</w:t>
        </w:r>
      </w:hyperlink>
      <w:r>
        <w:rPr>
          <w:rFonts w:ascii="Arial" w:hAnsi="Arial" w:cs="Arial"/>
          <w:color w:val="1155CC"/>
          <w:u w:val="single"/>
        </w:rPr>
        <w:t xml:space="preserve"> </w:t>
      </w:r>
      <w:r w:rsidRPr="00015050">
        <w:rPr>
          <w:rFonts w:ascii="Arial" w:hAnsi="Arial" w:cs="Arial"/>
          <w:color w:val="000000"/>
        </w:rPr>
        <w:t>[Accessed 18 Apr. 2024].</w:t>
      </w:r>
    </w:p>
    <w:p w14:paraId="32E8279D" w14:textId="77777777" w:rsidR="00015050" w:rsidRDefault="00015050" w:rsidP="00015050">
      <w:pPr>
        <w:pStyle w:val="NormalWeb"/>
        <w:spacing w:before="0" w:beforeAutospacing="0" w:after="0" w:afterAutospacing="0" w:line="360" w:lineRule="atLeast"/>
        <w:rPr>
          <w:rFonts w:ascii="Arial" w:hAnsi="Arial" w:cs="Arial"/>
          <w:color w:val="1155CC"/>
          <w:u w:val="single"/>
        </w:rPr>
      </w:pPr>
    </w:p>
    <w:p w14:paraId="01403EAA" w14:textId="77777777" w:rsidR="00015050" w:rsidRPr="00015050" w:rsidRDefault="00015050" w:rsidP="00015050">
      <w:pPr>
        <w:pStyle w:val="NormalWeb"/>
        <w:spacing w:before="0" w:beforeAutospacing="0" w:after="0" w:afterAutospacing="0" w:line="360" w:lineRule="atLeast"/>
        <w:rPr>
          <w:rFonts w:ascii="Arial" w:hAnsi="Arial" w:cs="Arial"/>
          <w:color w:val="000000"/>
        </w:rPr>
      </w:pPr>
      <w:r w:rsidRPr="00015050">
        <w:rPr>
          <w:rFonts w:ascii="Arial" w:hAnsi="Arial" w:cs="Arial"/>
          <w:color w:val="000000"/>
        </w:rPr>
        <w:t>Uwtsd.ac.uk. (2024). Available at: https://www-sciencedirect-com.ezproxy.uwtsd.ac.uk/science/article/pii/S1871187121001334?via%3Dihub [Accessed 18 Apr. 2024].</w:t>
      </w:r>
    </w:p>
    <w:p w14:paraId="3490023D" w14:textId="3D188FDB" w:rsidR="00015050" w:rsidRDefault="00015050" w:rsidP="00015050">
      <w:pPr>
        <w:pStyle w:val="NormalWeb"/>
        <w:rPr>
          <w:rFonts w:ascii="Arial" w:hAnsi="Arial" w:cs="Arial"/>
          <w:color w:val="000000"/>
        </w:rPr>
      </w:pPr>
      <w:r w:rsidRPr="00015050">
        <w:rPr>
          <w:rFonts w:ascii="Arial" w:hAnsi="Arial" w:cs="Arial"/>
          <w:color w:val="000000"/>
        </w:rPr>
        <w:t>‌</w:t>
      </w:r>
      <w:r w:rsidR="005053AF" w:rsidRPr="00015050">
        <w:rPr>
          <w:rFonts w:ascii="Arial" w:hAnsi="Arial" w:cs="Arial"/>
        </w:rPr>
        <w:t xml:space="preserve">Welsh Government (2017). </w:t>
      </w:r>
      <w:r w:rsidR="005053AF" w:rsidRPr="00015050">
        <w:rPr>
          <w:rFonts w:ascii="Arial" w:hAnsi="Arial" w:cs="Arial"/>
          <w:i/>
        </w:rPr>
        <w:t>Cymraeg 2050 A million Welsh speakers</w:t>
      </w:r>
      <w:r w:rsidR="005053AF" w:rsidRPr="00015050">
        <w:rPr>
          <w:rFonts w:ascii="Arial" w:hAnsi="Arial" w:cs="Arial"/>
        </w:rPr>
        <w:t xml:space="preserve">. [online] Available at: </w:t>
      </w:r>
      <w:hyperlink r:id="rId12" w:history="1">
        <w:r w:rsidRPr="00F90B56">
          <w:rPr>
            <w:rStyle w:val="Hyperlink"/>
            <w:rFonts w:ascii="Arial" w:hAnsi="Arial" w:cs="Arial"/>
          </w:rPr>
          <w:t>https://www.gov.wales/sites/default/files/publications/2018-12/cymraeg-2050-welsh-language-strategy.pdf</w:t>
        </w:r>
      </w:hyperlink>
      <w:r w:rsidR="005053AF" w:rsidRPr="00015050">
        <w:rPr>
          <w:rFonts w:ascii="Arial" w:hAnsi="Arial" w:cs="Arial"/>
        </w:rPr>
        <w:t>.</w:t>
      </w:r>
      <w:r>
        <w:rPr>
          <w:rFonts w:ascii="Arial" w:hAnsi="Arial" w:cs="Arial"/>
        </w:rPr>
        <w:t xml:space="preserve"> </w:t>
      </w:r>
      <w:r w:rsidRPr="00015050">
        <w:rPr>
          <w:rFonts w:ascii="Arial" w:hAnsi="Arial" w:cs="Arial"/>
          <w:color w:val="000000"/>
        </w:rPr>
        <w:t>[Accessed 18 Apr. 2024].</w:t>
      </w:r>
    </w:p>
    <w:p w14:paraId="0FC5F3D7" w14:textId="0C3B68E1" w:rsidR="00F545FB" w:rsidRPr="00015050" w:rsidRDefault="00F545FB" w:rsidP="00015050">
      <w:pPr>
        <w:pStyle w:val="NormalWeb"/>
        <w:rPr>
          <w:rFonts w:ascii="Arial" w:hAnsi="Arial" w:cs="Arial"/>
          <w:color w:val="000000"/>
        </w:rPr>
      </w:pPr>
      <w:r w:rsidRPr="00015050">
        <w:rPr>
          <w:rFonts w:ascii="Arial" w:hAnsi="Arial" w:cs="Arial"/>
          <w:color w:val="000000"/>
        </w:rPr>
        <w:t>Xia, T., An, Y. and Guo, J. (2022). Bilingualism and creativity: Benefits from cognitive inhibition and cognitive flexibility. </w:t>
      </w:r>
      <w:r w:rsidRPr="00015050">
        <w:rPr>
          <w:rFonts w:ascii="Arial" w:hAnsi="Arial" w:cs="Arial"/>
          <w:i/>
          <w:iCs/>
          <w:color w:val="000000"/>
        </w:rPr>
        <w:t>Frontiers in Psychology</w:t>
      </w:r>
      <w:r w:rsidRPr="00015050">
        <w:rPr>
          <w:rFonts w:ascii="Arial" w:hAnsi="Arial" w:cs="Arial"/>
          <w:color w:val="000000"/>
        </w:rPr>
        <w:t xml:space="preserve">, 13. </w:t>
      </w:r>
      <w:r w:rsidR="00015050" w:rsidRPr="00015050">
        <w:rPr>
          <w:rFonts w:ascii="Arial" w:hAnsi="Arial" w:cs="Arial"/>
          <w:color w:val="000000"/>
        </w:rPr>
        <w:t>https</w:t>
      </w:r>
      <w:r w:rsidRPr="00015050">
        <w:rPr>
          <w:rFonts w:ascii="Arial" w:hAnsi="Arial" w:cs="Arial"/>
          <w:color w:val="000000"/>
        </w:rPr>
        <w:t>//doi.org/10.3389/fpsyg.2022.1016777.</w:t>
      </w:r>
      <w:r w:rsidR="00015050">
        <w:rPr>
          <w:rFonts w:ascii="Arial" w:hAnsi="Arial" w:cs="Arial"/>
          <w:color w:val="000000"/>
        </w:rPr>
        <w:t xml:space="preserve"> </w:t>
      </w:r>
      <w:r w:rsidR="00015050" w:rsidRPr="00015050">
        <w:rPr>
          <w:rFonts w:ascii="Arial" w:hAnsi="Arial" w:cs="Arial"/>
          <w:color w:val="000000"/>
        </w:rPr>
        <w:t>[Accessed 18 Apr. 2024].</w:t>
      </w:r>
    </w:p>
    <w:p w14:paraId="38284145" w14:textId="77777777" w:rsidR="00F545FB" w:rsidRDefault="00F545FB" w:rsidP="00F545FB">
      <w:pPr>
        <w:pStyle w:val="NormalWeb"/>
        <w:rPr>
          <w:rFonts w:ascii="Calibri" w:hAnsi="Calibri" w:cs="Calibri"/>
          <w:color w:val="000000"/>
          <w:sz w:val="27"/>
          <w:szCs w:val="27"/>
        </w:rPr>
      </w:pPr>
      <w:r>
        <w:rPr>
          <w:rFonts w:ascii="Calibri" w:hAnsi="Calibri" w:cs="Calibri"/>
          <w:color w:val="000000"/>
          <w:sz w:val="27"/>
          <w:szCs w:val="27"/>
        </w:rPr>
        <w:t>‌</w:t>
      </w:r>
    </w:p>
    <w:p w14:paraId="59435661" w14:textId="77777777" w:rsidR="00F545FB" w:rsidRDefault="00F545FB">
      <w:pPr>
        <w:spacing w:before="240" w:after="240"/>
        <w:rPr>
          <w:sz w:val="27"/>
          <w:szCs w:val="27"/>
        </w:rPr>
      </w:pPr>
    </w:p>
    <w:p w14:paraId="0000001C" w14:textId="77777777" w:rsidR="00F46446" w:rsidRDefault="005053AF">
      <w:pPr>
        <w:spacing w:before="240" w:after="240"/>
        <w:rPr>
          <w:sz w:val="27"/>
          <w:szCs w:val="27"/>
        </w:rPr>
      </w:pPr>
      <w:r>
        <w:rPr>
          <w:sz w:val="27"/>
          <w:szCs w:val="27"/>
        </w:rPr>
        <w:t>‌</w:t>
      </w:r>
    </w:p>
    <w:p w14:paraId="0000001D" w14:textId="77777777" w:rsidR="00F46446" w:rsidRDefault="00F46446">
      <w:pPr>
        <w:spacing w:before="240" w:after="240"/>
        <w:rPr>
          <w:sz w:val="27"/>
          <w:szCs w:val="27"/>
        </w:rPr>
      </w:pPr>
    </w:p>
    <w:p w14:paraId="0000001E" w14:textId="77777777" w:rsidR="00F46446" w:rsidRDefault="00F46446">
      <w:pPr>
        <w:spacing w:before="240" w:after="240"/>
        <w:rPr>
          <w:sz w:val="27"/>
          <w:szCs w:val="27"/>
        </w:rPr>
      </w:pPr>
    </w:p>
    <w:p w14:paraId="0000001F" w14:textId="77777777" w:rsidR="00F46446" w:rsidRDefault="005053AF">
      <w:pPr>
        <w:spacing w:before="240" w:after="240"/>
        <w:rPr>
          <w:sz w:val="27"/>
          <w:szCs w:val="27"/>
        </w:rPr>
      </w:pPr>
      <w:r>
        <w:rPr>
          <w:sz w:val="27"/>
          <w:szCs w:val="27"/>
        </w:rPr>
        <w:t>‌</w:t>
      </w:r>
    </w:p>
    <w:p w14:paraId="00000020" w14:textId="77777777" w:rsidR="00F46446" w:rsidRDefault="00F46446">
      <w:pPr>
        <w:spacing w:before="240" w:after="240"/>
        <w:rPr>
          <w:sz w:val="27"/>
          <w:szCs w:val="27"/>
        </w:rPr>
      </w:pPr>
    </w:p>
    <w:p w14:paraId="00000021" w14:textId="77777777" w:rsidR="00F46446" w:rsidRDefault="005053AF">
      <w:pPr>
        <w:spacing w:before="240" w:after="240"/>
        <w:rPr>
          <w:sz w:val="24"/>
          <w:szCs w:val="24"/>
        </w:rPr>
      </w:pPr>
      <w:r>
        <w:rPr>
          <w:sz w:val="24"/>
          <w:szCs w:val="24"/>
        </w:rPr>
        <w:t>‌</w:t>
      </w:r>
    </w:p>
    <w:p w14:paraId="00000022" w14:textId="77777777" w:rsidR="00F46446" w:rsidRDefault="00F46446">
      <w:pPr>
        <w:spacing w:before="240" w:after="240"/>
        <w:rPr>
          <w:sz w:val="24"/>
          <w:szCs w:val="24"/>
        </w:rPr>
      </w:pPr>
    </w:p>
    <w:p w14:paraId="00000023" w14:textId="77777777" w:rsidR="00F46446" w:rsidRDefault="00F46446">
      <w:pPr>
        <w:rPr>
          <w:sz w:val="24"/>
          <w:szCs w:val="24"/>
        </w:rPr>
      </w:pPr>
    </w:p>
    <w:sectPr w:rsidR="00F46446">
      <w:head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61F3EC" w14:textId="77777777" w:rsidR="00733ECA" w:rsidRDefault="00733ECA">
      <w:pPr>
        <w:spacing w:line="240" w:lineRule="auto"/>
      </w:pPr>
      <w:r>
        <w:separator/>
      </w:r>
    </w:p>
  </w:endnote>
  <w:endnote w:type="continuationSeparator" w:id="0">
    <w:p w14:paraId="653160D4" w14:textId="77777777" w:rsidR="00733ECA" w:rsidRDefault="00733EC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682ADC" w14:textId="77777777" w:rsidR="00733ECA" w:rsidRDefault="00733ECA">
      <w:pPr>
        <w:spacing w:line="240" w:lineRule="auto"/>
      </w:pPr>
      <w:r>
        <w:separator/>
      </w:r>
    </w:p>
  </w:footnote>
  <w:footnote w:type="continuationSeparator" w:id="0">
    <w:p w14:paraId="63D431B6" w14:textId="77777777" w:rsidR="00733ECA" w:rsidRDefault="00733EC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4" w14:textId="77777777" w:rsidR="00F46446" w:rsidRDefault="005053AF">
    <w:r>
      <w:t>Rory Butterfield</w:t>
    </w:r>
  </w:p>
  <w:p w14:paraId="00000025" w14:textId="3B7C8C79" w:rsidR="00F46446" w:rsidRDefault="005053AF" w:rsidP="0089232A">
    <w:pPr>
      <w:tabs>
        <w:tab w:val="left" w:pos="8051"/>
      </w:tabs>
    </w:pPr>
    <w:r>
      <w:t>2312708</w:t>
    </w:r>
    <w:r w:rsidR="0089232A">
      <w:tab/>
      <w:t xml:space="preserve">WC:1437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6446"/>
    <w:rsid w:val="00015050"/>
    <w:rsid w:val="001F640C"/>
    <w:rsid w:val="00263EF1"/>
    <w:rsid w:val="003B6DD8"/>
    <w:rsid w:val="004B5A44"/>
    <w:rsid w:val="005053AF"/>
    <w:rsid w:val="005675D3"/>
    <w:rsid w:val="00733ECA"/>
    <w:rsid w:val="00790FA6"/>
    <w:rsid w:val="008123A2"/>
    <w:rsid w:val="00837209"/>
    <w:rsid w:val="0089232A"/>
    <w:rsid w:val="00CD35EC"/>
    <w:rsid w:val="00DF07A6"/>
    <w:rsid w:val="00F2304C"/>
    <w:rsid w:val="00F46446"/>
    <w:rsid w:val="00F545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5DF0EE"/>
  <w15:docId w15:val="{71B79FC7-4A84-4ED8-96C0-7C20C8CEFB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unhideWhenUsed/>
    <w:rsid w:val="008123A2"/>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B6DD8"/>
    <w:rPr>
      <w:color w:val="0000FF" w:themeColor="hyperlink"/>
      <w:u w:val="single"/>
    </w:rPr>
  </w:style>
  <w:style w:type="character" w:styleId="UnresolvedMention">
    <w:name w:val="Unresolved Mention"/>
    <w:basedOn w:val="DefaultParagraphFont"/>
    <w:uiPriority w:val="99"/>
    <w:semiHidden/>
    <w:unhideWhenUsed/>
    <w:rsid w:val="003B6DD8"/>
    <w:rPr>
      <w:color w:val="605E5C"/>
      <w:shd w:val="clear" w:color="auto" w:fill="E1DFDD"/>
    </w:rPr>
  </w:style>
  <w:style w:type="paragraph" w:styleId="Header">
    <w:name w:val="header"/>
    <w:basedOn w:val="Normal"/>
    <w:link w:val="HeaderChar"/>
    <w:uiPriority w:val="99"/>
    <w:unhideWhenUsed/>
    <w:rsid w:val="0089232A"/>
    <w:pPr>
      <w:tabs>
        <w:tab w:val="center" w:pos="4513"/>
        <w:tab w:val="right" w:pos="9026"/>
      </w:tabs>
      <w:spacing w:line="240" w:lineRule="auto"/>
    </w:pPr>
  </w:style>
  <w:style w:type="character" w:customStyle="1" w:styleId="HeaderChar">
    <w:name w:val="Header Char"/>
    <w:basedOn w:val="DefaultParagraphFont"/>
    <w:link w:val="Header"/>
    <w:uiPriority w:val="99"/>
    <w:rsid w:val="0089232A"/>
  </w:style>
  <w:style w:type="paragraph" w:styleId="Footer">
    <w:name w:val="footer"/>
    <w:basedOn w:val="Normal"/>
    <w:link w:val="FooterChar"/>
    <w:uiPriority w:val="99"/>
    <w:unhideWhenUsed/>
    <w:rsid w:val="0089232A"/>
    <w:pPr>
      <w:tabs>
        <w:tab w:val="center" w:pos="4513"/>
        <w:tab w:val="right" w:pos="9026"/>
      </w:tabs>
      <w:spacing w:line="240" w:lineRule="auto"/>
    </w:pPr>
  </w:style>
  <w:style w:type="character" w:customStyle="1" w:styleId="FooterChar">
    <w:name w:val="Footer Char"/>
    <w:basedOn w:val="DefaultParagraphFont"/>
    <w:link w:val="Footer"/>
    <w:uiPriority w:val="99"/>
    <w:rsid w:val="008923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2489213">
      <w:bodyDiv w:val="1"/>
      <w:marLeft w:val="0"/>
      <w:marRight w:val="0"/>
      <w:marTop w:val="0"/>
      <w:marBottom w:val="0"/>
      <w:divBdr>
        <w:top w:val="none" w:sz="0" w:space="0" w:color="auto"/>
        <w:left w:val="none" w:sz="0" w:space="0" w:color="auto"/>
        <w:bottom w:val="none" w:sz="0" w:space="0" w:color="auto"/>
        <w:right w:val="none" w:sz="0" w:space="0" w:color="auto"/>
      </w:divBdr>
    </w:div>
    <w:div w:id="820073137">
      <w:bodyDiv w:val="1"/>
      <w:marLeft w:val="0"/>
      <w:marRight w:val="0"/>
      <w:marTop w:val="0"/>
      <w:marBottom w:val="0"/>
      <w:divBdr>
        <w:top w:val="none" w:sz="0" w:space="0" w:color="auto"/>
        <w:left w:val="none" w:sz="0" w:space="0" w:color="auto"/>
        <w:bottom w:val="none" w:sz="0" w:space="0" w:color="auto"/>
        <w:right w:val="none" w:sz="0" w:space="0" w:color="auto"/>
      </w:divBdr>
    </w:div>
    <w:div w:id="848567634">
      <w:bodyDiv w:val="1"/>
      <w:marLeft w:val="0"/>
      <w:marRight w:val="0"/>
      <w:marTop w:val="0"/>
      <w:marBottom w:val="0"/>
      <w:divBdr>
        <w:top w:val="none" w:sz="0" w:space="0" w:color="auto"/>
        <w:left w:val="none" w:sz="0" w:space="0" w:color="auto"/>
        <w:bottom w:val="none" w:sz="0" w:space="0" w:color="auto"/>
        <w:right w:val="none" w:sz="0" w:space="0" w:color="auto"/>
      </w:divBdr>
    </w:div>
    <w:div w:id="991567192">
      <w:bodyDiv w:val="1"/>
      <w:marLeft w:val="0"/>
      <w:marRight w:val="0"/>
      <w:marTop w:val="0"/>
      <w:marBottom w:val="0"/>
      <w:divBdr>
        <w:top w:val="none" w:sz="0" w:space="0" w:color="auto"/>
        <w:left w:val="none" w:sz="0" w:space="0" w:color="auto"/>
        <w:bottom w:val="none" w:sz="0" w:space="0" w:color="auto"/>
        <w:right w:val="none" w:sz="0" w:space="0" w:color="auto"/>
      </w:divBdr>
    </w:div>
    <w:div w:id="1470712007">
      <w:bodyDiv w:val="1"/>
      <w:marLeft w:val="0"/>
      <w:marRight w:val="0"/>
      <w:marTop w:val="0"/>
      <w:marBottom w:val="0"/>
      <w:divBdr>
        <w:top w:val="none" w:sz="0" w:space="0" w:color="auto"/>
        <w:left w:val="none" w:sz="0" w:space="0" w:color="auto"/>
        <w:bottom w:val="none" w:sz="0" w:space="0" w:color="auto"/>
        <w:right w:val="none" w:sz="0" w:space="0" w:color="auto"/>
      </w:divBdr>
    </w:div>
    <w:div w:id="1615790121">
      <w:bodyDiv w:val="1"/>
      <w:marLeft w:val="0"/>
      <w:marRight w:val="0"/>
      <w:marTop w:val="0"/>
      <w:marBottom w:val="0"/>
      <w:divBdr>
        <w:top w:val="none" w:sz="0" w:space="0" w:color="auto"/>
        <w:left w:val="none" w:sz="0" w:space="0" w:color="auto"/>
        <w:bottom w:val="none" w:sz="0" w:space="0" w:color="auto"/>
        <w:right w:val="none" w:sz="0" w:space="0" w:color="auto"/>
      </w:divBdr>
    </w:div>
    <w:div w:id="163436190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bera.ac.uk/blog/tackling-the-languages-crisis-supporting-multilingualism-in-the-new-curriculum-for-wales" TargetMode="External"/><Relationship Id="rId13"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www.alzheimers.org.uk/news/2018-05-15/bilingual-brains-are-more-resilient-dementia-cause-alzheimers-disease" TargetMode="External"/><Relationship Id="rId12" Type="http://schemas.openxmlformats.org/officeDocument/2006/relationships/hyperlink" Target="https://www.gov.wales/sites/default/files/publications/2018-12/cymraeg-2050-welsh-language-strategy.pdf"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wales/sites/default/files/publications/2018-12/welsh-language-strategy-2012-to-2017-moving-forward.pdf" TargetMode="External"/><Relationship Id="rId11" Type="http://schemas.openxmlformats.org/officeDocument/2006/relationships/hyperlink" Target="https://www.uclahealth.org/departments/neurology/about-us/neurology-lab-profiles/bilingualism-delays-onset-alzheimers-symptoms"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canr.msu.edu/news/advantages_of_a_bilingual_brain" TargetMode="External"/><Relationship Id="rId4" Type="http://schemas.openxmlformats.org/officeDocument/2006/relationships/footnotes" Target="footnotes.xml"/><Relationship Id="rId9" Type="http://schemas.openxmlformats.org/officeDocument/2006/relationships/hyperlink" Target="https://en.powys.gov.uk/article/10742/Destination-bilingual-the-benefits-of-choosing-a-Welsh-medium-educa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89</TotalTime>
  <Pages>5</Pages>
  <Words>1841</Words>
  <Characters>10499</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 Morgan</dc:creator>
  <cp:lastModifiedBy>Lauren Morgan</cp:lastModifiedBy>
  <cp:revision>7</cp:revision>
  <dcterms:created xsi:type="dcterms:W3CDTF">2024-04-18T19:47:00Z</dcterms:created>
  <dcterms:modified xsi:type="dcterms:W3CDTF">2024-04-21T10:28:00Z</dcterms:modified>
</cp:coreProperties>
</file>