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68CB4908" w:rsidR="005304A0" w:rsidRDefault="00ED367D">
            <w:pPr>
              <w:rPr>
                <w:rFonts w:ascii="Arial" w:hAnsi="Arial" w:cs="Arial"/>
              </w:rPr>
            </w:pPr>
            <w:r w:rsidRPr="00ED367D">
              <w:rPr>
                <w:rFonts w:ascii="Arial" w:hAnsi="Arial" w:cs="Arial"/>
              </w:rPr>
              <w:t>https://drive.google.com/file/d/1mi8uQn01MeL3UhuE9FkTxArLs1vmrDvB/view?usp=sharing</w:t>
            </w:r>
          </w:p>
          <w:p w14:paraId="5BF7DCC4" w14:textId="52A40DBA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222DA26F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</w:p>
          <w:p w14:paraId="4BBD429B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1. Alvesson, M., Bridgman, T., &amp; Willmott, H. (Eds.). (2009). The Oxford handbook of critical management studies. Oxford Handbooks Online.</w:t>
            </w:r>
          </w:p>
          <w:p w14:paraId="36B11CAF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43A64063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2. Chen, J. C., &amp; Silverthorne, C. (2005). Leadership effectiveness, leadership style and employee readiness. Leadership &amp; Organization Development Journal, 26(4), 280-288.</w:t>
            </w:r>
          </w:p>
          <w:p w14:paraId="5C00F57F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2BD6F9AE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3. Durkheim, E. (2023). The division of labour in society. In Social Theory Re-Wired (pp. 15-34). Routledge.</w:t>
            </w:r>
          </w:p>
          <w:p w14:paraId="71355B4E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26FCAA09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4. Elkington, J. (1994). Towards the sustainable corporation: Win-win-win business strategies for sustainable development. California management review, 36(2), 90-100.</w:t>
            </w:r>
          </w:p>
          <w:p w14:paraId="4613E7EC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04B51B9C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5. Farmer, K., Meisel, S. I., Seltzer, J., &amp; Kane, K. (2013). The mock trial: A dynamic exercise for thinking critically about management theories, topics, and practices. Journal of Management Education, 37(3), 400-430.</w:t>
            </w:r>
          </w:p>
          <w:p w14:paraId="32F0DF1A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5DABC175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 xml:space="preserve">6. Fayol, H. (2016). General and industrial management. </w:t>
            </w:r>
            <w:proofErr w:type="spellStart"/>
            <w:r w:rsidRPr="00795F02">
              <w:rPr>
                <w:rFonts w:ascii="Arial" w:hAnsi="Arial" w:cs="Arial"/>
              </w:rPr>
              <w:t>Ravenio</w:t>
            </w:r>
            <w:proofErr w:type="spellEnd"/>
            <w:r w:rsidRPr="00795F02">
              <w:rPr>
                <w:rFonts w:ascii="Arial" w:hAnsi="Arial" w:cs="Arial"/>
              </w:rPr>
              <w:t xml:space="preserve"> Books.</w:t>
            </w:r>
          </w:p>
          <w:p w14:paraId="21299D9E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54907064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 xml:space="preserve">7. Furman, J. (2005). Wal-Mart: A progressive success story. Washington, DC: </w:t>
            </w:r>
            <w:proofErr w:type="spellStart"/>
            <w:r w:rsidRPr="00795F02">
              <w:rPr>
                <w:rFonts w:ascii="Arial" w:hAnsi="Arial" w:cs="Arial"/>
              </w:rPr>
              <w:t>Center</w:t>
            </w:r>
            <w:proofErr w:type="spellEnd"/>
            <w:r w:rsidRPr="00795F02">
              <w:rPr>
                <w:rFonts w:ascii="Arial" w:hAnsi="Arial" w:cs="Arial"/>
              </w:rPr>
              <w:t xml:space="preserve"> for American Progress. http://www.americanprogress.org/kf/walmart_progressive.pdf.</w:t>
            </w:r>
          </w:p>
          <w:p w14:paraId="44349CCC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31700A3D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8. Jain, A. (2004, January). Using the lens of Max Weber's theory of bureaucracy. In 37th Annual Hawaii International Conference on System Sciences, 2004. Proceedings of the (pp. 127-136). IEEE.</w:t>
            </w:r>
          </w:p>
          <w:p w14:paraId="32458E9E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317D0FAD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 xml:space="preserve">9. </w:t>
            </w:r>
            <w:proofErr w:type="spellStart"/>
            <w:r w:rsidRPr="00795F02">
              <w:rPr>
                <w:rFonts w:ascii="Arial" w:hAnsi="Arial" w:cs="Arial"/>
              </w:rPr>
              <w:t>Pinisoara</w:t>
            </w:r>
            <w:proofErr w:type="spellEnd"/>
            <w:r w:rsidRPr="00795F02">
              <w:rPr>
                <w:rFonts w:ascii="Arial" w:hAnsi="Arial" w:cs="Arial"/>
              </w:rPr>
              <w:t>, I. (2008). Max Weber's Bureaucratic Model. Annals Constantin Brancusi U. Targu Jiu, Letters &amp; Soc. Sci. Series, 171.</w:t>
            </w:r>
          </w:p>
          <w:p w14:paraId="25CF363E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1960AC90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 xml:space="preserve">10. Pryor, M. G., &amp; Taneja, S. (2010). Henri Fayol, </w:t>
            </w:r>
            <w:proofErr w:type="gramStart"/>
            <w:r w:rsidRPr="00795F02">
              <w:rPr>
                <w:rFonts w:ascii="Arial" w:hAnsi="Arial" w:cs="Arial"/>
              </w:rPr>
              <w:t>practitioner</w:t>
            </w:r>
            <w:proofErr w:type="gramEnd"/>
            <w:r w:rsidRPr="00795F02">
              <w:rPr>
                <w:rFonts w:ascii="Arial" w:hAnsi="Arial" w:cs="Arial"/>
              </w:rPr>
              <w:t xml:space="preserve"> and theoretician–revered and reviled. Journal of Management History, 16(4), 489-503.</w:t>
            </w:r>
          </w:p>
          <w:p w14:paraId="2CC8C118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2CA472B6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11. Scherer, A. G. (2008). Critical theory and its contribution to critical management studies.</w:t>
            </w:r>
          </w:p>
          <w:p w14:paraId="3BD18469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6FD1973E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12. Simons, R. (2019). The role of management control systems in creating competitive advantage: new perspectives. In Management Control Theory (pp. 173-194). Routledge.</w:t>
            </w:r>
          </w:p>
          <w:p w14:paraId="56A42354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71EC2674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lastRenderedPageBreak/>
              <w:t xml:space="preserve">13. </w:t>
            </w:r>
            <w:proofErr w:type="spellStart"/>
            <w:r w:rsidRPr="00795F02">
              <w:rPr>
                <w:rFonts w:ascii="Arial" w:hAnsi="Arial" w:cs="Arial"/>
              </w:rPr>
              <w:t>Sitopu</w:t>
            </w:r>
            <w:proofErr w:type="spellEnd"/>
            <w:r w:rsidRPr="00795F02">
              <w:rPr>
                <w:rFonts w:ascii="Arial" w:hAnsi="Arial" w:cs="Arial"/>
              </w:rPr>
              <w:t xml:space="preserve">, Y. B., </w:t>
            </w:r>
            <w:proofErr w:type="spellStart"/>
            <w:r w:rsidRPr="00795F02">
              <w:rPr>
                <w:rFonts w:ascii="Arial" w:hAnsi="Arial" w:cs="Arial"/>
              </w:rPr>
              <w:t>Sitinjak</w:t>
            </w:r>
            <w:proofErr w:type="spellEnd"/>
            <w:r w:rsidRPr="00795F02">
              <w:rPr>
                <w:rFonts w:ascii="Arial" w:hAnsi="Arial" w:cs="Arial"/>
              </w:rPr>
              <w:t xml:space="preserve">, K. A., &amp; </w:t>
            </w:r>
            <w:proofErr w:type="spellStart"/>
            <w:r w:rsidRPr="00795F02">
              <w:rPr>
                <w:rFonts w:ascii="Arial" w:hAnsi="Arial" w:cs="Arial"/>
              </w:rPr>
              <w:t>Marpaung</w:t>
            </w:r>
            <w:proofErr w:type="spellEnd"/>
            <w:r w:rsidRPr="00795F02">
              <w:rPr>
                <w:rFonts w:ascii="Arial" w:hAnsi="Arial" w:cs="Arial"/>
              </w:rPr>
              <w:t>, F. K. (2021). The influence of motivation, work discipline, and compensation on employee performance. Golden Ratio of Human Resource Management, 1(2), 72-83.</w:t>
            </w:r>
          </w:p>
          <w:p w14:paraId="0B8C2149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19E5ABCA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14. Utting, P. (2000). Business responsibility for sustainable development (No. 2). Geneva 2000 Occasional Paper.</w:t>
            </w:r>
          </w:p>
          <w:p w14:paraId="1AFC15B0" w14:textId="77777777" w:rsidR="00795F02" w:rsidRPr="00795F02" w:rsidRDefault="00795F02" w:rsidP="00795F02">
            <w:pPr>
              <w:spacing w:after="0" w:line="240" w:lineRule="auto"/>
              <w:rPr>
                <w:rFonts w:ascii="Arial" w:hAnsi="Arial" w:cs="Arial"/>
              </w:rPr>
            </w:pPr>
          </w:p>
          <w:p w14:paraId="4E07AC03" w14:textId="53D8C858" w:rsidR="005304A0" w:rsidRDefault="00795F02" w:rsidP="00795F02">
            <w:pPr>
              <w:rPr>
                <w:rFonts w:ascii="Arial" w:hAnsi="Arial" w:cs="Arial"/>
              </w:rPr>
            </w:pPr>
            <w:r w:rsidRPr="00795F02">
              <w:rPr>
                <w:rFonts w:ascii="Arial" w:hAnsi="Arial" w:cs="Arial"/>
              </w:rPr>
              <w:t>15. Warren, D. E., Gaspar, J. P., &amp; Laufer, W. S. (2014). Is formal ethics training merely cosmetic? A study of ethics training and ethical organizational culture. Business Ethics Quarterly, 24(1), 85-117.</w:t>
            </w: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B21D56"/>
    <w:multiLevelType w:val="hybridMultilevel"/>
    <w:tmpl w:val="7E4C86F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0208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F04F2"/>
    <w:rsid w:val="001C0030"/>
    <w:rsid w:val="00384652"/>
    <w:rsid w:val="005304A0"/>
    <w:rsid w:val="00795F02"/>
    <w:rsid w:val="00ED36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宋体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uiPriority w:val="34"/>
    <w:qFormat/>
    <w:rsid w:val="00795F0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575</Words>
  <Characters>2158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Chris Green</cp:lastModifiedBy>
  <cp:revision>2</cp:revision>
  <dcterms:created xsi:type="dcterms:W3CDTF">2024-01-19T05:15:00Z</dcterms:created>
  <dcterms:modified xsi:type="dcterms:W3CDTF">2024-01-19T05:15:00Z</dcterms:modified>
</cp:coreProperties>
</file>