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pPr>
        <w:spacing w:before="1800"/>
        <w:jc w:val="center"/>
      </w:pPr>
      <w:r>
        <w:rPr>
          <w:b/>
          <w:color w:val="17365D"/>
          <w:sz w:val="30"/>
        </w:rPr>
        <w:t>WISCONSIN INTERNATIONAL UNIVERSITY COLLEGE, GHANA</w:t>
      </w:r>
    </w:p>
    <w:p>
      <w:pPr>
        <w:jc w:val="center"/>
      </w:pPr>
      <w:r>
        <w:rPr>
          <w:b/>
          <w:sz w:val="28"/>
        </w:rPr>
        <w:t>WMI601: RESEARCH METHODS AND PROFESSIONAL PRACTICE</w:t>
      </w:r>
    </w:p>
    <w:p>
      <w:pPr>
        <w:spacing w:before="900"/>
        <w:jc w:val="center"/>
      </w:pPr>
      <w:r>
        <w:rPr>
          <w:b/>
          <w:color w:val="17365D"/>
          <w:sz w:val="44"/>
        </w:rPr>
        <w:t>TERM PAPER ANSWERS</w:t>
      </w:r>
    </w:p>
    <w:p>
      <w:pPr>
        <w:spacing w:before="300"/>
        <w:jc w:val="center"/>
      </w:pPr>
      <w:r>
        <w:rPr>
          <w:b/>
          <w:sz w:val="32"/>
        </w:rPr>
        <w:t>The Importance of AI-Powered Chatbots on Customer Satisfaction in E-Commerce</w:t>
      </w:r>
    </w:p>
    <w:p>
      <w:pPr>
        <w:spacing w:before="1400"/>
        <w:jc w:val="center"/>
      </w:pPr>
      <w:r>
        <w:t>Student: ______________________________</w:t>
        <w:br/>
        <w:t>Student ID: ____________________________</w:t>
        <w:br/>
        <w:t>Programme: _____________________________</w:t>
        <w:br/>
        <w:t>Date: _________________________________</w:t>
      </w:r>
    </w:p>
    <w:p>
      <w:pPr>
        <w:spacing w:before="1000"/>
        <w:jc w:val="center"/>
      </w:pPr>
      <w:r>
        <w:rPr>
          <w:i/>
          <w:sz w:val="20"/>
        </w:rPr>
        <w:t>Prepared strictly from the supplied MSc project thesis</w:t>
      </w:r>
    </w:p>
    <w:p>
      <w:r>
        <w:br w:type="page"/>
      </w:r>
    </w:p>
    <w:p>
      <w:pPr>
        <w:pStyle w:val="Heading1"/>
      </w:pPr>
      <w:r>
        <w:t>Important Methodological Note</w:t>
      </w:r>
    </w:p>
    <w:p>
      <w:pPr>
        <w:jc w:val="both"/>
      </w:pPr>
      <w:r>
        <w:t>The supplied MSc project is a structured literature review with thematic synthesis. It does not report a completed primary survey, a proprietary retailer dataset, an implemented chatbot, or a trained machine-learning model. Accordingly, the answers below interpret “data” as the review corpus and extracted study evidence. Where the examination question assumes an ML experiment, the response explains the thesis-consistent evidence-synthesis equivalent and, separately, the proposed Ghana-focused empirical extension in Appendices C and D. This avoids inventing methods, results, hardware, software versions, or PRISMA counts that do not exist in the thesis.</w:t>
      </w:r>
    </w:p>
    <w:p>
      <w:pPr>
        <w:jc w:val="both"/>
      </w:pPr>
      <w:r>
        <w:t>Submission warning: Appendix A of the thesis deliberately leaves database dates, record counts and PRISMA totals blank. Those entries must be completed only after the student personally runs and documents the searches. The examination also requires at least 25 peer-reviewed articles, including 15 from 2020–2025. The supplied bibliography should be verified against that threshold before submission; statutes and books do not count as peer-reviewed articles.</w:t>
      </w:r>
    </w:p>
    <w:p>
      <w:pPr>
        <w:pStyle w:val="Heading1"/>
      </w:pPr>
      <w:r>
        <w:t>SECTION A: MSc Project Framing and Problem Articulation</w:t>
      </w:r>
    </w:p>
    <w:p>
      <w:pPr>
        <w:pStyle w:val="Heading2"/>
      </w:pPr>
      <w:r>
        <w:t>Question 1(a): Specific real-world problem</w:t>
      </w:r>
    </w:p>
    <w:p>
      <w:pPr>
        <w:jc w:val="both"/>
      </w:pPr>
      <w:r>
        <w:t>The project addresses the difficulty e-commerce firms face in using AI-powered chatbots to improve customer satisfaction without creating new failures in accuracy, trust, privacy, accessibility and service recovery. The problem is not simply whether a chatbot answers quickly. It is whether the complete conversational service encounter helps a customer accomplish a real goal—such as comparing products, checking delivery, resolving a payment issue, tracking an order or arranging a return—with accurate information, low effort and an acceptable level of interpersonal sensitivity.</w:t>
      </w:r>
    </w:p>
    <w:p>
      <w:pPr>
        <w:jc w:val="both"/>
      </w:pPr>
      <w:r>
        <w:t>This problem is significant because online customers cannot physically inspect products or immediately approach a sales employee. The chatbot therefore becomes part of the retailer’s frontline service. Customers are affected through waiting time, search effort, purchase confidence, privacy exposure, failed transactions and access to redress. Retailers are affected through conversion, repeat purchase, complaint volume, re-contact, brand trust and cost per genuinely resolved contact. If the problem is not addressed, a retailer may report high contact-deflection while concealing repeated contacts, abandonment, inaccurate advice, unresolved complaints and loss of loyalty.</w:t>
      </w:r>
    </w:p>
    <w:p>
      <w:pPr>
        <w:jc w:val="both"/>
      </w:pPr>
      <w:r>
        <w:t>The Ghanaian context strengthens the problem. E-commerce is commonly mobile-first and operates amid variable connectivity, diverse digital-payment methods, delivery uncertainty, differences in digital literacy and multilingual or locally inflected English usage. Ghanaian studies connect site quality, information usefulness and empathy with satisfaction, and repeatedly identify trust, facilitating conditions and payment confidence as adoption factors (Gbolonyo et al., 2022; Amofah &amp; Chai, 2022; Akanferi et al., 2022; Yeboah et al., 2020). A Ghanaian chatbot must therefore be evaluated as part of the whole retail, payment and delivery system. Failure to provide lightweight access, reliable local information, transparent data use and prompt human escalation may exclude vulnerable users and weaken confidence in digital commerce.</w:t>
      </w:r>
    </w:p>
    <w:p>
      <w:pPr>
        <w:pStyle w:val="Heading2"/>
      </w:pPr>
      <w:r>
        <w:t>Question 1(b): Primary and secondary data sources</w:t>
      </w:r>
    </w:p>
    <w:tbl>
      <w:tblPr>
        <w:tblW w:type="auto" w:w="0"/>
        <w:jc w:val="center"/>
        <w:tblLayout w:type="fixed"/>
        <w:tblLook w:firstColumn="1" w:firstRow="1" w:lastColumn="0" w:lastRow="0" w:noHBand="0" w:noVBand="1" w:val="04A0"/>
        <w:tblBorders>
          <w:top w:val="single" w:sz="4" w:color="B7C9DD"/>
          <w:left w:val="single" w:sz="4" w:color="B7C9DD"/>
          <w:bottom w:val="single" w:sz="4" w:color="B7C9DD"/>
          <w:right w:val="single" w:sz="4" w:color="B7C9DD"/>
          <w:insideH w:val="single" w:sz="4" w:color="B7C9DD"/>
          <w:insideV w:val="single" w:sz="4" w:color="B7C9DD"/>
        </w:tblBorders>
      </w:tblPr>
      <w:tblGrid>
        <w:gridCol w:w="2340"/>
        <w:gridCol w:w="2340"/>
        <w:gridCol w:w="2340"/>
        <w:gridCol w:w="2340"/>
      </w:tblGrid>
      <w:tr>
        <w:tc>
          <w:tcPr>
            <w:tcW w:type="dxa" w:w="1728"/>
            <w:shd w:fill="D9EAF7"/>
            <w:vAlign w:val="center"/>
          </w:tcPr>
          <w:p>
            <w:r>
              <w:rPr>
                <w:b/>
                <w:sz w:val="18"/>
              </w:rPr>
              <w:t>Source</w:t>
            </w:r>
          </w:p>
        </w:tc>
        <w:tc>
          <w:tcPr>
            <w:tcW w:type="dxa" w:w="2736"/>
            <w:shd w:fill="D9EAF7"/>
            <w:vAlign w:val="center"/>
          </w:tcPr>
          <w:p>
            <w:r>
              <w:rPr>
                <w:b/>
                <w:sz w:val="18"/>
              </w:rPr>
              <w:t>Role in this project</w:t>
            </w:r>
          </w:p>
        </w:tc>
        <w:tc>
          <w:tcPr>
            <w:tcW w:type="dxa" w:w="2448"/>
            <w:shd w:fill="D9EAF7"/>
            <w:vAlign w:val="center"/>
          </w:tcPr>
          <w:p>
            <w:r>
              <w:rPr>
                <w:b/>
                <w:sz w:val="18"/>
              </w:rPr>
              <w:t>Access/ownership</w:t>
            </w:r>
          </w:p>
        </w:tc>
        <w:tc>
          <w:tcPr>
            <w:tcW w:type="dxa" w:w="2448"/>
            <w:shd w:fill="D9EAF7"/>
            <w:vAlign w:val="center"/>
          </w:tcPr>
          <w:p>
            <w:r>
              <w:rPr>
                <w:b/>
                <w:sz w:val="18"/>
              </w:rPr>
              <w:t>Privacy and approval</w:t>
            </w:r>
          </w:p>
        </w:tc>
      </w:tr>
      <w:tr>
        <w:tc>
          <w:tcPr>
            <w:tcW w:type="dxa" w:w="1728"/>
            <w:vAlign w:val="center"/>
          </w:tcPr>
          <w:p>
            <w:pPr>
              <w:spacing w:after="40" w:line="240" w:lineRule="auto"/>
            </w:pPr>
            <w:r>
              <w:rPr>
                <w:sz w:val="17"/>
              </w:rPr>
              <w:t>Primary source in the completed thesis</w:t>
            </w:r>
          </w:p>
        </w:tc>
        <w:tc>
          <w:tcPr>
            <w:tcW w:type="dxa" w:w="2736"/>
            <w:vAlign w:val="center"/>
          </w:tcPr>
          <w:p>
            <w:pPr>
              <w:spacing w:after="40" w:line="240" w:lineRule="auto"/>
            </w:pPr>
            <w:r>
              <w:rPr>
                <w:sz w:val="17"/>
              </w:rPr>
              <w:t>None. No participants, retailer logs or private customer records were collected.</w:t>
            </w:r>
          </w:p>
        </w:tc>
        <w:tc>
          <w:tcPr>
            <w:tcW w:type="dxa" w:w="2448"/>
            <w:vAlign w:val="center"/>
          </w:tcPr>
          <w:p>
            <w:pPr>
              <w:spacing w:after="40" w:line="240" w:lineRule="auto"/>
            </w:pPr>
            <w:r>
              <w:rPr>
                <w:sz w:val="17"/>
              </w:rPr>
              <w:t>Not applicable. The thesis explicitly states that it is a review.</w:t>
            </w:r>
          </w:p>
        </w:tc>
        <w:tc>
          <w:tcPr>
            <w:tcW w:type="dxa" w:w="2448"/>
            <w:vAlign w:val="center"/>
          </w:tcPr>
          <w:p>
            <w:pPr>
              <w:spacing w:after="40" w:line="240" w:lineRule="auto"/>
            </w:pPr>
            <w:r>
              <w:rPr>
                <w:sz w:val="17"/>
              </w:rPr>
              <w:t>No participant ethics approval was required for the completed review, subject to university confirmation.</w:t>
            </w:r>
          </w:p>
        </w:tc>
      </w:tr>
      <w:tr>
        <w:tc>
          <w:tcPr>
            <w:tcW w:type="dxa" w:w="1728"/>
            <w:vAlign w:val="center"/>
          </w:tcPr>
          <w:p>
            <w:pPr>
              <w:spacing w:after="40" w:line="240" w:lineRule="auto"/>
            </w:pPr>
            <w:r>
              <w:rPr>
                <w:sz w:val="17"/>
              </w:rPr>
              <w:t>Secondary scholarly corpus</w:t>
            </w:r>
          </w:p>
        </w:tc>
        <w:tc>
          <w:tcPr>
            <w:tcW w:type="dxa" w:w="2736"/>
            <w:vAlign w:val="center"/>
          </w:tcPr>
          <w:p>
            <w:pPr>
              <w:spacing w:after="40" w:line="240" w:lineRule="auto"/>
            </w:pPr>
            <w:r>
              <w:rPr>
                <w:sz w:val="17"/>
              </w:rPr>
              <w:t>Peer-reviewed journal articles and high-quality conference papers on chatbots, e-commerce, satisfaction, trust, service quality and continuance.</w:t>
            </w:r>
          </w:p>
        </w:tc>
        <w:tc>
          <w:tcPr>
            <w:tcW w:type="dxa" w:w="2448"/>
            <w:vAlign w:val="center"/>
          </w:tcPr>
          <w:p>
            <w:pPr>
              <w:spacing w:after="40" w:line="240" w:lineRule="auto"/>
            </w:pPr>
            <w:r>
              <w:rPr>
                <w:sz w:val="17"/>
              </w:rPr>
              <w:t>Access depends on Scopus, Web of Science, ABI/INFORM, ScienceDirect, Emerald, SpringerLink and Google Scholar subscriptions. Copyright remains with publishers/authors.</w:t>
            </w:r>
          </w:p>
        </w:tc>
        <w:tc>
          <w:tcPr>
            <w:tcW w:type="dxa" w:w="2448"/>
            <w:vAlign w:val="center"/>
          </w:tcPr>
          <w:p>
            <w:pPr>
              <w:spacing w:after="40" w:line="240" w:lineRule="auto"/>
            </w:pPr>
            <w:r>
              <w:rPr>
                <w:sz w:val="17"/>
              </w:rPr>
              <w:t>Accurate citation, faithful representation and transparent screening are required.</w:t>
            </w:r>
          </w:p>
        </w:tc>
      </w:tr>
      <w:tr>
        <w:tc>
          <w:tcPr>
            <w:tcW w:type="dxa" w:w="1728"/>
            <w:vAlign w:val="center"/>
          </w:tcPr>
          <w:p>
            <w:pPr>
              <w:spacing w:after="40" w:line="240" w:lineRule="auto"/>
            </w:pPr>
            <w:r>
              <w:rPr>
                <w:sz w:val="17"/>
              </w:rPr>
              <w:t>Ghana-context evidence</w:t>
            </w:r>
          </w:p>
        </w:tc>
        <w:tc>
          <w:tcPr>
            <w:tcW w:type="dxa" w:w="2736"/>
            <w:vAlign w:val="center"/>
          </w:tcPr>
          <w:p>
            <w:pPr>
              <w:spacing w:after="40" w:line="240" w:lineRule="auto"/>
            </w:pPr>
            <w:r>
              <w:rPr>
                <w:sz w:val="17"/>
              </w:rPr>
              <w:t>Studies of Ghanaian e-commerce, mobile commerce and mobile-payment adoption.</w:t>
            </w:r>
          </w:p>
        </w:tc>
        <w:tc>
          <w:tcPr>
            <w:tcW w:type="dxa" w:w="2448"/>
            <w:vAlign w:val="center"/>
          </w:tcPr>
          <w:p>
            <w:pPr>
              <w:spacing w:after="40" w:line="240" w:lineRule="auto"/>
            </w:pPr>
            <w:r>
              <w:rPr>
                <w:sz w:val="17"/>
              </w:rPr>
              <w:t>Published studies; no ownership claim by the researcher.</w:t>
            </w:r>
          </w:p>
        </w:tc>
        <w:tc>
          <w:tcPr>
            <w:tcW w:type="dxa" w:w="2448"/>
            <w:vAlign w:val="center"/>
          </w:tcPr>
          <w:p>
            <w:pPr>
              <w:spacing w:after="40" w:line="240" w:lineRule="auto"/>
            </w:pPr>
            <w:r>
              <w:rPr>
                <w:sz w:val="17"/>
              </w:rPr>
              <w:t>Use only aggregated published findings and avoid claiming that these studies directly tested chatbots.</w:t>
            </w:r>
          </w:p>
        </w:tc>
      </w:tr>
      <w:tr>
        <w:tc>
          <w:tcPr>
            <w:tcW w:type="dxa" w:w="1728"/>
            <w:vAlign w:val="center"/>
          </w:tcPr>
          <w:p>
            <w:pPr>
              <w:spacing w:after="40" w:line="240" w:lineRule="auto"/>
            </w:pPr>
            <w:r>
              <w:rPr>
                <w:sz w:val="17"/>
              </w:rPr>
              <w:t>Proposed future primary data</w:t>
            </w:r>
          </w:p>
        </w:tc>
        <w:tc>
          <w:tcPr>
            <w:tcW w:type="dxa" w:w="2736"/>
            <w:vAlign w:val="center"/>
          </w:tcPr>
          <w:p>
            <w:pPr>
              <w:spacing w:after="40" w:line="240" w:lineRule="auto"/>
            </w:pPr>
            <w:r>
              <w:rPr>
                <w:sz w:val="17"/>
              </w:rPr>
              <w:t>Questionnaire responses and interviews from Ghanaian adults who recently used an e-commerce chatbot.</w:t>
            </w:r>
          </w:p>
        </w:tc>
        <w:tc>
          <w:tcPr>
            <w:tcW w:type="dxa" w:w="2448"/>
            <w:vAlign w:val="center"/>
          </w:tcPr>
          <w:p>
            <w:pPr>
              <w:spacing w:after="40" w:line="240" w:lineRule="auto"/>
            </w:pPr>
            <w:r>
              <w:rPr>
                <w:sz w:val="17"/>
              </w:rPr>
              <w:t>Participants own their personal information; the university/researcher acts as custodian under an approved data-management plan. Retailer logs would require a data-sharing agreement.</w:t>
            </w:r>
          </w:p>
        </w:tc>
        <w:tc>
          <w:tcPr>
            <w:tcW w:type="dxa" w:w="2448"/>
            <w:vAlign w:val="center"/>
          </w:tcPr>
          <w:p>
            <w:pPr>
              <w:spacing w:after="40" w:line="240" w:lineRule="auto"/>
            </w:pPr>
            <w:r>
              <w:rPr>
                <w:sz w:val="17"/>
              </w:rPr>
              <w:t>Prior institutional ethics approval, informed consent, minimisation, pseudonymisation, access controls, retention limits, and compliance with Ghana’s Data Protection Act, 2012 (Act 843).</w:t>
            </w:r>
          </w:p>
        </w:tc>
      </w:tr>
    </w:tbl>
    <w:p>
      <w:pPr>
        <w:spacing w:after="20"/>
      </w:pPr>
    </w:p>
    <w:p>
      <w:pPr>
        <w:pStyle w:val="Heading2"/>
      </w:pPr>
      <w:r>
        <w:t>Question 1(c): Character of the data</w:t>
      </w:r>
    </w:p>
    <w:p>
      <w:pPr>
        <w:jc w:val="both"/>
      </w:pPr>
      <w:r>
        <w:t>For the completed project, the dataset is a heterogeneous document corpus rather than a numerical customer table. It contains structured bibliographic fields (author, year, outlet and DOI), semi-structured extraction fields (country, sector, chatbot type, design, sample, constructs and limitations), and unstructured article text. The final evidence matrix contains 16 core studies, while the wider bibliography supplies theory and contextual support. The exact identification and screening volume is not reported because the database searches and deduplication counts remain incomplete.</w:t>
      </w:r>
    </w:p>
    <w:p>
      <w:pPr>
        <w:jc w:val="both"/>
      </w:pPr>
      <w:r>
        <w:t>Quality problems include incomplete indexing, duplicate records across databases, inconsistent terminology, English-language restriction, publication bias, heterogeneous chatbot architectures, different settings and incompatible satisfaction measures. Many studies rely on short experimental encounters or self-reported intentions rather than verified task resolution, repurchase or complaint outcomes. Contextual imbalance is substantial: most direct chatbot evidence is international, whereas Ghanaian sources address related e-commerce and payment constructs rather than chatbot effects themselves. This constrains causal interpretation and transferability to Ghana.</w:t>
      </w:r>
    </w:p>
    <w:p>
      <w:pPr>
        <w:pStyle w:val="Heading2"/>
      </w:pPr>
      <w:r>
        <w:t>Question 1(d): Why conventional methods or out-of-the-box ML are inadequate</w:t>
      </w:r>
    </w:p>
    <w:p>
      <w:pPr>
        <w:jc w:val="both"/>
      </w:pPr>
      <w:r>
        <w:t>A simple regression, pooled average or off-the-shelf ML model would not answer the thesis question because the evidence is not one commensurable dataset. The studies mix experiments, surveys, field studies, qualitative research, systematic reviews and conceptual models; they operationalise satisfaction, trust, adoption, purchase and continuance differently; and they examine different chatbot types and service stages. Combining these observations as if they shared one sampling frame would violate measurement equivalence and conceal context.</w:t>
      </w:r>
    </w:p>
    <w:p>
      <w:pPr>
        <w:jc w:val="both"/>
      </w:pPr>
      <w:r>
        <w:t>The project therefore uses a pragmatic structured review and thematic synthesis. It compares convergent and contradictory mechanisms—responsiveness, information quality, system quality, personalisation, disclosure, social presence and human handover—while weighting evidence according to design quality. Out-of-the-box sentiment analysis or topic modelling would also be insufficient because it could detect word patterns but not determine whether a study’s causal claim is justified, whether a manipulation was valid, or whether a Ghanaian boundary condition applies. Human critical appraisal is required.</w:t>
      </w:r>
    </w:p>
    <w:p>
      <w:r>
        <w:br w:type="page"/>
      </w:r>
    </w:p>
    <w:p>
      <w:pPr>
        <w:pStyle w:val="Heading1"/>
      </w:pPr>
      <w:r>
        <w:t>SECTION B: Systematic Literature Review</w:t>
      </w:r>
    </w:p>
    <w:p>
      <w:pPr>
        <w:pStyle w:val="Heading2"/>
      </w:pPr>
      <w:r>
        <w:t>Question 2: SLR protocol</w:t>
      </w:r>
    </w:p>
    <w:p>
      <w:pPr>
        <w:pStyle w:val="Heading3"/>
      </w:pPr>
      <w:r>
        <w:t>SPIDER review question</w:t>
      </w:r>
    </w:p>
    <w:p>
      <w:pPr>
        <w:jc w:val="both"/>
      </w:pPr>
      <w:r>
        <w:t>Sample: e-commerce or digital-service customers interacting with AI-powered chatbots. Phenomenon of Interest: chatbot-enabled customer service across pre-purchase, purchase and post-purchase encounters. Design: surveys, experiments, field studies, qualitative studies and systematic reviews. Evaluation: satisfaction, service quality, usefulness, trust, adoption, continuance, loyalty, purchase and recovery outcomes. Research type: quantitative, qualitative and mixed-method evidence. Review question: How, under what design and governance conditions, do AI-powered chatbots influence customer satisfaction and related behavioural outcomes in e-commerce?</w:t>
      </w:r>
    </w:p>
    <w:tbl>
      <w:tblPr>
        <w:tblW w:type="auto" w:w="0"/>
        <w:jc w:val="center"/>
        <w:tblLayout w:type="fixed"/>
        <w:tblLook w:firstColumn="1" w:firstRow="1" w:lastColumn="0" w:lastRow="0" w:noHBand="0" w:noVBand="1" w:val="04A0"/>
        <w:tblBorders>
          <w:top w:val="single" w:sz="4" w:color="B7C9DD"/>
          <w:left w:val="single" w:sz="4" w:color="B7C9DD"/>
          <w:bottom w:val="single" w:sz="4" w:color="B7C9DD"/>
          <w:right w:val="single" w:sz="4" w:color="B7C9DD"/>
          <w:insideH w:val="single" w:sz="4" w:color="B7C9DD"/>
          <w:insideV w:val="single" w:sz="4" w:color="B7C9DD"/>
        </w:tblBorders>
      </w:tblPr>
      <w:tblGrid>
        <w:gridCol w:w="3120"/>
        <w:gridCol w:w="3120"/>
        <w:gridCol w:w="3120"/>
      </w:tblGrid>
      <w:tr>
        <w:tc>
          <w:tcPr>
            <w:tcW w:type="dxa" w:w="1584"/>
            <w:shd w:fill="D9EAF7"/>
            <w:vAlign w:val="center"/>
          </w:tcPr>
          <w:p>
            <w:r>
              <w:rPr>
                <w:b/>
                <w:sz w:val="18"/>
              </w:rPr>
              <w:t>Criterion</w:t>
            </w:r>
          </w:p>
        </w:tc>
        <w:tc>
          <w:tcPr>
            <w:tcW w:type="dxa" w:w="3888"/>
            <w:shd w:fill="D9EAF7"/>
            <w:vAlign w:val="center"/>
          </w:tcPr>
          <w:p>
            <w:r>
              <w:rPr>
                <w:b/>
                <w:sz w:val="18"/>
              </w:rPr>
              <w:t>Include</w:t>
            </w:r>
          </w:p>
        </w:tc>
        <w:tc>
          <w:tcPr>
            <w:tcW w:type="dxa" w:w="3888"/>
            <w:shd w:fill="D9EAF7"/>
            <w:vAlign w:val="center"/>
          </w:tcPr>
          <w:p>
            <w:r>
              <w:rPr>
                <w:b/>
                <w:sz w:val="18"/>
              </w:rPr>
              <w:t>Exclude</w:t>
            </w:r>
          </w:p>
        </w:tc>
      </w:tr>
      <w:tr>
        <w:tc>
          <w:tcPr>
            <w:tcW w:type="dxa" w:w="1584"/>
            <w:vAlign w:val="center"/>
          </w:tcPr>
          <w:p>
            <w:pPr>
              <w:spacing w:after="40" w:line="240" w:lineRule="auto"/>
            </w:pPr>
            <w:r>
              <w:rPr>
                <w:sz w:val="17"/>
              </w:rPr>
              <w:t>Years</w:t>
            </w:r>
          </w:p>
        </w:tc>
        <w:tc>
          <w:tcPr>
            <w:tcW w:type="dxa" w:w="3888"/>
            <w:vAlign w:val="center"/>
          </w:tcPr>
          <w:p>
            <w:pPr>
              <w:spacing w:after="40" w:line="240" w:lineRule="auto"/>
            </w:pPr>
            <w:r>
              <w:rPr>
                <w:sz w:val="17"/>
              </w:rPr>
              <w:t>2020–2025 for the assessed SLR set.</w:t>
            </w:r>
          </w:p>
        </w:tc>
        <w:tc>
          <w:tcPr>
            <w:tcW w:type="dxa" w:w="3888"/>
            <w:vAlign w:val="center"/>
          </w:tcPr>
          <w:p>
            <w:pPr>
              <w:spacing w:after="40" w:line="240" w:lineRule="auto"/>
            </w:pPr>
            <w:r>
              <w:rPr>
                <w:sz w:val="17"/>
              </w:rPr>
              <w:t>Outside 2020–2025, except clearly labelled foundational theory not counted in the assessed set.</w:t>
            </w:r>
          </w:p>
        </w:tc>
      </w:tr>
      <w:tr>
        <w:tc>
          <w:tcPr>
            <w:tcW w:type="dxa" w:w="1584"/>
            <w:vAlign w:val="center"/>
          </w:tcPr>
          <w:p>
            <w:pPr>
              <w:spacing w:after="40" w:line="240" w:lineRule="auto"/>
            </w:pPr>
            <w:r>
              <w:rPr>
                <w:sz w:val="17"/>
              </w:rPr>
              <w:t>Publication</w:t>
            </w:r>
          </w:p>
        </w:tc>
        <w:tc>
          <w:tcPr>
            <w:tcW w:type="dxa" w:w="3888"/>
            <w:vAlign w:val="center"/>
          </w:tcPr>
          <w:p>
            <w:pPr>
              <w:spacing w:after="40" w:line="240" w:lineRule="auto"/>
            </w:pPr>
            <w:r>
              <w:rPr>
                <w:sz w:val="17"/>
              </w:rPr>
              <w:t>Peer-reviewed journal articles and high-quality peer-reviewed conference papers.</w:t>
            </w:r>
          </w:p>
        </w:tc>
        <w:tc>
          <w:tcPr>
            <w:tcW w:type="dxa" w:w="3888"/>
            <w:vAlign w:val="center"/>
          </w:tcPr>
          <w:p>
            <w:pPr>
              <w:spacing w:after="40" w:line="240" w:lineRule="auto"/>
            </w:pPr>
            <w:r>
              <w:rPr>
                <w:sz w:val="17"/>
              </w:rPr>
              <w:t>Blogs, vendor claims, anonymous pages, theses and non-peer-reviewed commentary.</w:t>
            </w:r>
          </w:p>
        </w:tc>
      </w:tr>
      <w:tr>
        <w:tc>
          <w:tcPr>
            <w:tcW w:type="dxa" w:w="1584"/>
            <w:vAlign w:val="center"/>
          </w:tcPr>
          <w:p>
            <w:pPr>
              <w:spacing w:after="40" w:line="240" w:lineRule="auto"/>
            </w:pPr>
            <w:r>
              <w:rPr>
                <w:sz w:val="17"/>
              </w:rPr>
              <w:t>Topic</w:t>
            </w:r>
          </w:p>
        </w:tc>
        <w:tc>
          <w:tcPr>
            <w:tcW w:type="dxa" w:w="3888"/>
            <w:vAlign w:val="center"/>
          </w:tcPr>
          <w:p>
            <w:pPr>
              <w:spacing w:after="40" w:line="240" w:lineRule="auto"/>
            </w:pPr>
            <w:r>
              <w:rPr>
                <w:sz w:val="17"/>
              </w:rPr>
              <w:t>Chatbots/conversational agents in customer service, online retail or digital-service settings.</w:t>
            </w:r>
          </w:p>
        </w:tc>
        <w:tc>
          <w:tcPr>
            <w:tcW w:type="dxa" w:w="3888"/>
            <w:vAlign w:val="center"/>
          </w:tcPr>
          <w:p>
            <w:pPr>
              <w:spacing w:after="40" w:line="240" w:lineRule="auto"/>
            </w:pPr>
            <w:r>
              <w:rPr>
                <w:sz w:val="17"/>
              </w:rPr>
              <w:t>Purely technical papers without customer/service outcomes.</w:t>
            </w:r>
          </w:p>
        </w:tc>
      </w:tr>
      <w:tr>
        <w:tc>
          <w:tcPr>
            <w:tcW w:type="dxa" w:w="1584"/>
            <w:vAlign w:val="center"/>
          </w:tcPr>
          <w:p>
            <w:pPr>
              <w:spacing w:after="40" w:line="240" w:lineRule="auto"/>
            </w:pPr>
            <w:r>
              <w:rPr>
                <w:sz w:val="17"/>
              </w:rPr>
              <w:t>Outcome</w:t>
            </w:r>
          </w:p>
        </w:tc>
        <w:tc>
          <w:tcPr>
            <w:tcW w:type="dxa" w:w="3888"/>
            <w:vAlign w:val="center"/>
          </w:tcPr>
          <w:p>
            <w:pPr>
              <w:spacing w:after="40" w:line="240" w:lineRule="auto"/>
            </w:pPr>
            <w:r>
              <w:rPr>
                <w:sz w:val="17"/>
              </w:rPr>
              <w:t>Satisfaction, experience, service quality, trust, use, continuance, loyalty or purchase.</w:t>
            </w:r>
          </w:p>
        </w:tc>
        <w:tc>
          <w:tcPr>
            <w:tcW w:type="dxa" w:w="3888"/>
            <w:vAlign w:val="center"/>
          </w:tcPr>
          <w:p>
            <w:pPr>
              <w:spacing w:after="40" w:line="240" w:lineRule="auto"/>
            </w:pPr>
            <w:r>
              <w:rPr>
                <w:sz w:val="17"/>
              </w:rPr>
              <w:t>No relevant customer or service outcome.</w:t>
            </w:r>
          </w:p>
        </w:tc>
      </w:tr>
      <w:tr>
        <w:tc>
          <w:tcPr>
            <w:tcW w:type="dxa" w:w="1584"/>
            <w:vAlign w:val="center"/>
          </w:tcPr>
          <w:p>
            <w:pPr>
              <w:spacing w:after="40" w:line="240" w:lineRule="auto"/>
            </w:pPr>
            <w:r>
              <w:rPr>
                <w:sz w:val="17"/>
              </w:rPr>
              <w:t>Evidence quality</w:t>
            </w:r>
          </w:p>
        </w:tc>
        <w:tc>
          <w:tcPr>
            <w:tcW w:type="dxa" w:w="3888"/>
            <w:vAlign w:val="center"/>
          </w:tcPr>
          <w:p>
            <w:pPr>
              <w:spacing w:after="40" w:line="240" w:lineRule="auto"/>
            </w:pPr>
            <w:r>
              <w:rPr>
                <w:sz w:val="17"/>
              </w:rPr>
              <w:t>Methods, sample/context and analysis reported sufficiently for appraisal; English full text available.</w:t>
            </w:r>
          </w:p>
        </w:tc>
        <w:tc>
          <w:tcPr>
            <w:tcW w:type="dxa" w:w="3888"/>
            <w:vAlign w:val="center"/>
          </w:tcPr>
          <w:p>
            <w:pPr>
              <w:spacing w:after="40" w:line="240" w:lineRule="auto"/>
            </w:pPr>
            <w:r>
              <w:rPr>
                <w:sz w:val="17"/>
              </w:rPr>
              <w:t>Untraceable methods, abstracts only, duplicates or unavailable reliable translation.</w:t>
            </w:r>
          </w:p>
        </w:tc>
      </w:tr>
    </w:tbl>
    <w:p>
      <w:pPr>
        <w:spacing w:after="20"/>
      </w:pPr>
    </w:p>
    <w:p>
      <w:pPr>
        <w:jc w:val="both"/>
      </w:pPr>
      <w:r>
        <w:t>Databases specified by the thesis are Scopus, Web of Science, ABI/INFORM, ScienceDirect, Emerald Insight, SpringerLink and Google Scholar. A common Boolean string is: (chatbot* OR “conversational agent*” OR “virtual assistant*” OR “conversational AI”) AND (“e-commerce” OR “online retail” OR “digital commerce” OR “online shopping”) AND (“customer satisfaction” OR “customer experience” OR “service quality” OR trust OR continuance OR loyalty). Database syntax should be adapted without changing the concept blocks. For example, Scopus can use TITLE-ABS-KEY(...); Web of Science can use TS=(...); ABI/INFORM can search NOFT(...). The student must record each exact executed string, limits, date and count.</w:t>
      </w:r>
    </w:p>
    <w:p>
      <w:pPr>
        <w:pStyle w:val="Heading2"/>
      </w:pPr>
      <w:r>
        <w:t>Comparison of research approaches</w:t>
      </w:r>
    </w:p>
    <w:tbl>
      <w:tblPr>
        <w:tblW w:type="auto" w:w="0"/>
        <w:jc w:val="center"/>
        <w:tblLayout w:type="fixed"/>
        <w:tblLook w:firstColumn="1" w:firstRow="1" w:lastColumn="0" w:lastRow="0" w:noHBand="0" w:noVBand="1" w:val="04A0"/>
        <w:tblBorders>
          <w:top w:val="single" w:sz="4" w:color="B7C9DD"/>
          <w:left w:val="single" w:sz="4" w:color="B7C9DD"/>
          <w:bottom w:val="single" w:sz="4" w:color="B7C9DD"/>
          <w:right w:val="single" w:sz="4" w:color="B7C9DD"/>
          <w:insideH w:val="single" w:sz="4" w:color="B7C9DD"/>
          <w:insideV w:val="single" w:sz="4" w:color="B7C9DD"/>
        </w:tblBorders>
      </w:tblPr>
      <w:tblGrid>
        <w:gridCol w:w="2340"/>
        <w:gridCol w:w="2340"/>
        <w:gridCol w:w="2340"/>
        <w:gridCol w:w="2340"/>
      </w:tblGrid>
      <w:tr>
        <w:tc>
          <w:tcPr>
            <w:tcW w:type="dxa" w:w="1440"/>
            <w:shd w:fill="D9EAF7"/>
            <w:vAlign w:val="center"/>
          </w:tcPr>
          <w:p>
            <w:r>
              <w:rPr>
                <w:b/>
                <w:sz w:val="18"/>
              </w:rPr>
              <w:t>Approach</w:t>
            </w:r>
          </w:p>
        </w:tc>
        <w:tc>
          <w:tcPr>
            <w:tcW w:type="dxa" w:w="2736"/>
            <w:shd w:fill="D9EAF7"/>
            <w:vAlign w:val="center"/>
          </w:tcPr>
          <w:p>
            <w:r>
              <w:rPr>
                <w:b/>
                <w:sz w:val="18"/>
              </w:rPr>
              <w:t>Application to this topic</w:t>
            </w:r>
          </w:p>
        </w:tc>
        <w:tc>
          <w:tcPr>
            <w:tcW w:type="dxa" w:w="2592"/>
            <w:shd w:fill="D9EAF7"/>
            <w:vAlign w:val="center"/>
          </w:tcPr>
          <w:p>
            <w:r>
              <w:rPr>
                <w:b/>
                <w:sz w:val="18"/>
              </w:rPr>
              <w:t>Strengths</w:t>
            </w:r>
          </w:p>
        </w:tc>
        <w:tc>
          <w:tcPr>
            <w:tcW w:type="dxa" w:w="2592"/>
            <w:shd w:fill="D9EAF7"/>
            <w:vAlign w:val="center"/>
          </w:tcPr>
          <w:p>
            <w:r>
              <w:rPr>
                <w:b/>
                <w:sz w:val="18"/>
              </w:rPr>
              <w:t>Trade-offs</w:t>
            </w:r>
          </w:p>
        </w:tc>
      </w:tr>
      <w:tr>
        <w:tc>
          <w:tcPr>
            <w:tcW w:type="dxa" w:w="1440"/>
            <w:vAlign w:val="center"/>
          </w:tcPr>
          <w:p>
            <w:pPr>
              <w:spacing w:after="40" w:line="240" w:lineRule="auto"/>
            </w:pPr>
            <w:r>
              <w:rPr>
                <w:sz w:val="17"/>
              </w:rPr>
              <w:t>Quantitative</w:t>
            </w:r>
          </w:p>
        </w:tc>
        <w:tc>
          <w:tcPr>
            <w:tcW w:type="dxa" w:w="2736"/>
            <w:vAlign w:val="center"/>
          </w:tcPr>
          <w:p>
            <w:pPr>
              <w:spacing w:after="40" w:line="240" w:lineRule="auto"/>
            </w:pPr>
            <w:r>
              <w:rPr>
                <w:sz w:val="17"/>
              </w:rPr>
              <w:t>Surveys, SEM/regression, controlled experiments and field purchase tests.</w:t>
            </w:r>
          </w:p>
        </w:tc>
        <w:tc>
          <w:tcPr>
            <w:tcW w:type="dxa" w:w="2592"/>
            <w:vAlign w:val="center"/>
          </w:tcPr>
          <w:p>
            <w:pPr>
              <w:spacing w:after="40" w:line="240" w:lineRule="auto"/>
            </w:pPr>
            <w:r>
              <w:rPr>
                <w:sz w:val="17"/>
              </w:rPr>
              <w:t>Estimates associations or treatment effects; tests mediators such as usefulness, trust and satisfaction.</w:t>
            </w:r>
          </w:p>
        </w:tc>
        <w:tc>
          <w:tcPr>
            <w:tcW w:type="dxa" w:w="2592"/>
            <w:vAlign w:val="center"/>
          </w:tcPr>
          <w:p>
            <w:pPr>
              <w:spacing w:after="40" w:line="240" w:lineRule="auto"/>
            </w:pPr>
            <w:r>
              <w:rPr>
                <w:sz w:val="17"/>
              </w:rPr>
              <w:t>Self-report and common-method bias; short exposures; narrow samples; constructs may not be equivalent across countries.</w:t>
            </w:r>
          </w:p>
        </w:tc>
      </w:tr>
      <w:tr>
        <w:tc>
          <w:tcPr>
            <w:tcW w:type="dxa" w:w="1440"/>
            <w:vAlign w:val="center"/>
          </w:tcPr>
          <w:p>
            <w:pPr>
              <w:spacing w:after="40" w:line="240" w:lineRule="auto"/>
            </w:pPr>
            <w:r>
              <w:rPr>
                <w:sz w:val="17"/>
              </w:rPr>
              <w:t>Qualitative</w:t>
            </w:r>
          </w:p>
        </w:tc>
        <w:tc>
          <w:tcPr>
            <w:tcW w:type="dxa" w:w="2736"/>
            <w:vAlign w:val="center"/>
          </w:tcPr>
          <w:p>
            <w:pPr>
              <w:spacing w:after="40" w:line="240" w:lineRule="auto"/>
            </w:pPr>
            <w:r>
              <w:rPr>
                <w:sz w:val="17"/>
              </w:rPr>
              <w:t>Interviews, open-ended feedback and failure-conversation analysis.</w:t>
            </w:r>
          </w:p>
        </w:tc>
        <w:tc>
          <w:tcPr>
            <w:tcW w:type="dxa" w:w="2592"/>
            <w:vAlign w:val="center"/>
          </w:tcPr>
          <w:p>
            <w:pPr>
              <w:spacing w:after="40" w:line="240" w:lineRule="auto"/>
            </w:pPr>
            <w:r>
              <w:rPr>
                <w:sz w:val="17"/>
              </w:rPr>
              <w:t>Explains why customers interpret tone, privacy, failure and handover as they do; identifies unanticipated Ghana-specific issues.</w:t>
            </w:r>
          </w:p>
        </w:tc>
        <w:tc>
          <w:tcPr>
            <w:tcW w:type="dxa" w:w="2592"/>
            <w:vAlign w:val="center"/>
          </w:tcPr>
          <w:p>
            <w:pPr>
              <w:spacing w:after="40" w:line="240" w:lineRule="auto"/>
            </w:pPr>
            <w:r>
              <w:rPr>
                <w:sz w:val="17"/>
              </w:rPr>
              <w:t>Small purposive samples limit prevalence estimates; coding requires reflexivity and an audit trail.</w:t>
            </w:r>
          </w:p>
        </w:tc>
      </w:tr>
      <w:tr>
        <w:tc>
          <w:tcPr>
            <w:tcW w:type="dxa" w:w="1440"/>
            <w:vAlign w:val="center"/>
          </w:tcPr>
          <w:p>
            <w:pPr>
              <w:spacing w:after="40" w:line="240" w:lineRule="auto"/>
            </w:pPr>
            <w:r>
              <w:rPr>
                <w:sz w:val="17"/>
              </w:rPr>
              <w:t>Mixed methods</w:t>
            </w:r>
          </w:p>
        </w:tc>
        <w:tc>
          <w:tcPr>
            <w:tcW w:type="dxa" w:w="2736"/>
            <w:vAlign w:val="center"/>
          </w:tcPr>
          <w:p>
            <w:pPr>
              <w:spacing w:after="40" w:line="240" w:lineRule="auto"/>
            </w:pPr>
            <w:r>
              <w:rPr>
                <w:sz w:val="17"/>
              </w:rPr>
              <w:t>Survey or field metrics combined with interviews/log review.</w:t>
            </w:r>
          </w:p>
        </w:tc>
        <w:tc>
          <w:tcPr>
            <w:tcW w:type="dxa" w:w="2592"/>
            <w:vAlign w:val="center"/>
          </w:tcPr>
          <w:p>
            <w:pPr>
              <w:spacing w:after="40" w:line="240" w:lineRule="auto"/>
            </w:pPr>
            <w:r>
              <w:rPr>
                <w:sz w:val="17"/>
              </w:rPr>
              <w:t>Connects measurable satisfaction and resolution outcomes with mechanisms and failure cases.</w:t>
            </w:r>
          </w:p>
        </w:tc>
        <w:tc>
          <w:tcPr>
            <w:tcW w:type="dxa" w:w="2592"/>
            <w:vAlign w:val="center"/>
          </w:tcPr>
          <w:p>
            <w:pPr>
              <w:spacing w:after="40" w:line="240" w:lineRule="auto"/>
            </w:pPr>
            <w:r>
              <w:rPr>
                <w:sz w:val="17"/>
              </w:rPr>
              <w:t>More time, ethics, data integration and analytic expertise; disagreement between strands must be explained.</w:t>
            </w:r>
          </w:p>
        </w:tc>
      </w:tr>
    </w:tbl>
    <w:p>
      <w:pPr>
        <w:spacing w:after="20"/>
      </w:pPr>
    </w:p>
    <w:p>
      <w:pPr>
        <w:jc w:val="both"/>
      </w:pPr>
      <w:r>
        <w:t>For this project, methodological pluralism is preferable. Quantitative evidence indicates whether speed, usefulness, trust or design cues relate to satisfaction; qualitative evidence reveals why a fast interaction may still feel unsafe or unresolved; mixed methods can connect post-chat ratings with verified resolution, re-contact and customer accounts. The completed thesis synthesises these designs rather than pretending one design answers every aspect.</w:t>
      </w:r>
    </w:p>
    <w:p>
      <w:pPr>
        <w:pStyle w:val="Heading2"/>
      </w:pPr>
      <w:r>
        <w:t>Critical synthesis of closely aligned studies</w:t>
      </w:r>
    </w:p>
    <w:tbl>
      <w:tblPr>
        <w:tblW w:type="auto" w:w="0"/>
        <w:jc w:val="center"/>
        <w:tblLayout w:type="fixed"/>
        <w:tblLook w:firstColumn="1" w:firstRow="1" w:lastColumn="0" w:lastRow="0" w:noHBand="0" w:noVBand="1" w:val="04A0"/>
        <w:tblBorders>
          <w:top w:val="single" w:sz="4" w:color="B7C9DD"/>
          <w:left w:val="single" w:sz="4" w:color="B7C9DD"/>
          <w:bottom w:val="single" w:sz="4" w:color="B7C9DD"/>
          <w:right w:val="single" w:sz="4" w:color="B7C9DD"/>
          <w:insideH w:val="single" w:sz="4" w:color="B7C9DD"/>
          <w:insideV w:val="single" w:sz="4" w:color="B7C9DD"/>
        </w:tblBorders>
      </w:tblPr>
      <w:tblGrid>
        <w:gridCol w:w="1560"/>
        <w:gridCol w:w="1560"/>
        <w:gridCol w:w="1560"/>
        <w:gridCol w:w="1560"/>
        <w:gridCol w:w="1560"/>
        <w:gridCol w:w="1560"/>
      </w:tblGrid>
      <w:tr>
        <w:tc>
          <w:tcPr>
            <w:tcW w:type="dxa" w:w="1440"/>
            <w:shd w:fill="D9EAF7"/>
            <w:vAlign w:val="center"/>
          </w:tcPr>
          <w:p>
            <w:r>
              <w:rPr>
                <w:b/>
                <w:sz w:val="18"/>
              </w:rPr>
              <w:t>Author &amp; year</w:t>
            </w:r>
          </w:p>
        </w:tc>
        <w:tc>
          <w:tcPr>
            <w:tcW w:type="dxa" w:w="1440"/>
            <w:shd w:fill="D9EAF7"/>
            <w:vAlign w:val="center"/>
          </w:tcPr>
          <w:p>
            <w:r>
              <w:rPr>
                <w:b/>
                <w:sz w:val="18"/>
              </w:rPr>
              <w:t>Design</w:t>
            </w:r>
          </w:p>
        </w:tc>
        <w:tc>
          <w:tcPr>
            <w:tcW w:type="dxa" w:w="1656"/>
            <w:shd w:fill="D9EAF7"/>
            <w:vAlign w:val="center"/>
          </w:tcPr>
          <w:p>
            <w:r>
              <w:rPr>
                <w:b/>
                <w:sz w:val="18"/>
              </w:rPr>
              <w:t>Dataset</w:t>
            </w:r>
          </w:p>
        </w:tc>
        <w:tc>
          <w:tcPr>
            <w:tcW w:type="dxa" w:w="1872"/>
            <w:shd w:fill="D9EAF7"/>
            <w:vAlign w:val="center"/>
          </w:tcPr>
          <w:p>
            <w:r>
              <w:rPr>
                <w:b/>
                <w:sz w:val="18"/>
              </w:rPr>
              <w:t>Methodology</w:t>
            </w:r>
          </w:p>
        </w:tc>
        <w:tc>
          <w:tcPr>
            <w:tcW w:type="dxa" w:w="1944"/>
            <w:shd w:fill="D9EAF7"/>
            <w:vAlign w:val="center"/>
          </w:tcPr>
          <w:p>
            <w:r>
              <w:rPr>
                <w:b/>
                <w:sz w:val="18"/>
              </w:rPr>
              <w:t>Findings</w:t>
            </w:r>
          </w:p>
        </w:tc>
        <w:tc>
          <w:tcPr>
            <w:tcW w:type="dxa" w:w="1944"/>
            <w:shd w:fill="D9EAF7"/>
            <w:vAlign w:val="center"/>
          </w:tcPr>
          <w:p>
            <w:r>
              <w:rPr>
                <w:b/>
                <w:sz w:val="18"/>
              </w:rPr>
              <w:t>Limitations</w:t>
            </w:r>
          </w:p>
        </w:tc>
      </w:tr>
      <w:tr>
        <w:tc>
          <w:tcPr>
            <w:tcW w:type="dxa" w:w="1440"/>
            <w:vAlign w:val="center"/>
          </w:tcPr>
          <w:p>
            <w:pPr>
              <w:spacing w:after="40" w:line="240" w:lineRule="auto"/>
            </w:pPr>
            <w:r>
              <w:rPr>
                <w:sz w:val="17"/>
              </w:rPr>
              <w:t>Ashfaq et al. (2020)</w:t>
            </w:r>
          </w:p>
        </w:tc>
        <w:tc>
          <w:tcPr>
            <w:tcW w:type="dxa" w:w="1440"/>
            <w:vAlign w:val="center"/>
          </w:tcPr>
          <w:p>
            <w:pPr>
              <w:spacing w:after="40" w:line="240" w:lineRule="auto"/>
            </w:pPr>
            <w:r>
              <w:rPr>
                <w:sz w:val="17"/>
              </w:rPr>
              <w:t>Quantitative survey/model</w:t>
            </w:r>
          </w:p>
        </w:tc>
        <w:tc>
          <w:tcPr>
            <w:tcW w:type="dxa" w:w="1656"/>
            <w:vAlign w:val="center"/>
          </w:tcPr>
          <w:p>
            <w:pPr>
              <w:spacing w:after="40" w:line="240" w:lineRule="auto"/>
            </w:pPr>
            <w:r>
              <w:rPr>
                <w:sz w:val="17"/>
              </w:rPr>
              <w:t>Users of AI-powered service agents; sample details must be checked in the paper.</w:t>
            </w:r>
          </w:p>
        </w:tc>
        <w:tc>
          <w:tcPr>
            <w:tcW w:type="dxa" w:w="1872"/>
            <w:vAlign w:val="center"/>
          </w:tcPr>
          <w:p>
            <w:pPr>
              <w:spacing w:after="40" w:line="240" w:lineRule="auto"/>
            </w:pPr>
            <w:r>
              <w:rPr>
                <w:sz w:val="17"/>
              </w:rPr>
              <w:t>Latent-variable model of satisfaction and continuance.</w:t>
            </w:r>
          </w:p>
        </w:tc>
        <w:tc>
          <w:tcPr>
            <w:tcW w:type="dxa" w:w="1944"/>
            <w:vAlign w:val="center"/>
          </w:tcPr>
          <w:p>
            <w:pPr>
              <w:spacing w:after="40" w:line="240" w:lineRule="auto"/>
            </w:pPr>
            <w:r>
              <w:rPr>
                <w:sz w:val="17"/>
              </w:rPr>
              <w:t>Satisfaction is central to continued use; usefulness and service experience matter.</w:t>
            </w:r>
          </w:p>
        </w:tc>
        <w:tc>
          <w:tcPr>
            <w:tcW w:type="dxa" w:w="1944"/>
            <w:vAlign w:val="center"/>
          </w:tcPr>
          <w:p>
            <w:pPr>
              <w:spacing w:after="40" w:line="240" w:lineRule="auto"/>
            </w:pPr>
            <w:r>
              <w:rPr>
                <w:sz w:val="17"/>
              </w:rPr>
              <w:t>Cross-sectional self-report limits causal and behavioural claims.</w:t>
            </w:r>
          </w:p>
        </w:tc>
      </w:tr>
      <w:tr>
        <w:tc>
          <w:tcPr>
            <w:tcW w:type="dxa" w:w="1440"/>
            <w:vAlign w:val="center"/>
          </w:tcPr>
          <w:p>
            <w:pPr>
              <w:spacing w:after="40" w:line="240" w:lineRule="auto"/>
            </w:pPr>
            <w:r>
              <w:rPr>
                <w:sz w:val="17"/>
              </w:rPr>
              <w:t>Følstad &amp; Brandtzæg (2020)</w:t>
            </w:r>
          </w:p>
        </w:tc>
        <w:tc>
          <w:tcPr>
            <w:tcW w:type="dxa" w:w="1440"/>
            <w:vAlign w:val="center"/>
          </w:tcPr>
          <w:p>
            <w:pPr>
              <w:spacing w:after="40" w:line="240" w:lineRule="auto"/>
            </w:pPr>
            <w:r>
              <w:rPr>
                <w:sz w:val="17"/>
              </w:rPr>
              <w:t>Questionnaire study</w:t>
            </w:r>
          </w:p>
        </w:tc>
        <w:tc>
          <w:tcPr>
            <w:tcW w:type="dxa" w:w="1656"/>
            <w:vAlign w:val="center"/>
          </w:tcPr>
          <w:p>
            <w:pPr>
              <w:spacing w:after="40" w:line="240" w:lineRule="auto"/>
            </w:pPr>
            <w:r>
              <w:rPr>
                <w:sz w:val="17"/>
              </w:rPr>
              <w:t>Chatbot users; exact sampling frame must be verified.</w:t>
            </w:r>
          </w:p>
        </w:tc>
        <w:tc>
          <w:tcPr>
            <w:tcW w:type="dxa" w:w="1872"/>
            <w:vAlign w:val="center"/>
          </w:tcPr>
          <w:p>
            <w:pPr>
              <w:spacing w:after="40" w:line="240" w:lineRule="auto"/>
            </w:pPr>
            <w:r>
              <w:rPr>
                <w:sz w:val="17"/>
              </w:rPr>
              <w:t>Questionnaire analysis of user experience.</w:t>
            </w:r>
          </w:p>
        </w:tc>
        <w:tc>
          <w:tcPr>
            <w:tcW w:type="dxa" w:w="1944"/>
            <w:vAlign w:val="center"/>
          </w:tcPr>
          <w:p>
            <w:pPr>
              <w:spacing w:after="40" w:line="240" w:lineRule="auto"/>
            </w:pPr>
            <w:r>
              <w:rPr>
                <w:sz w:val="17"/>
              </w:rPr>
              <w:t>Usefulness, efficiency and interaction quality recur in positive experiences.</w:t>
            </w:r>
          </w:p>
        </w:tc>
        <w:tc>
          <w:tcPr>
            <w:tcW w:type="dxa" w:w="1944"/>
            <w:vAlign w:val="center"/>
          </w:tcPr>
          <w:p>
            <w:pPr>
              <w:spacing w:after="40" w:line="240" w:lineRule="auto"/>
            </w:pPr>
            <w:r>
              <w:rPr>
                <w:sz w:val="17"/>
              </w:rPr>
              <w:t>Recall and self-selection; not restricted to Ghanaian e-commerce.</w:t>
            </w:r>
          </w:p>
        </w:tc>
      </w:tr>
      <w:tr>
        <w:tc>
          <w:tcPr>
            <w:tcW w:type="dxa" w:w="1440"/>
            <w:vAlign w:val="center"/>
          </w:tcPr>
          <w:p>
            <w:pPr>
              <w:spacing w:after="40" w:line="240" w:lineRule="auto"/>
            </w:pPr>
            <w:r>
              <w:rPr>
                <w:sz w:val="17"/>
              </w:rPr>
              <w:t>Sheehan et al. (2020)</w:t>
            </w:r>
          </w:p>
        </w:tc>
        <w:tc>
          <w:tcPr>
            <w:tcW w:type="dxa" w:w="1440"/>
            <w:vAlign w:val="center"/>
          </w:tcPr>
          <w:p>
            <w:pPr>
              <w:spacing w:after="40" w:line="240" w:lineRule="auto"/>
            </w:pPr>
            <w:r>
              <w:rPr>
                <w:sz w:val="17"/>
              </w:rPr>
              <w:t>Survey/experiment</w:t>
            </w:r>
          </w:p>
        </w:tc>
        <w:tc>
          <w:tcPr>
            <w:tcW w:type="dxa" w:w="1656"/>
            <w:vAlign w:val="center"/>
          </w:tcPr>
          <w:p>
            <w:pPr>
              <w:spacing w:after="40" w:line="240" w:lineRule="auto"/>
            </w:pPr>
            <w:r>
              <w:rPr>
                <w:sz w:val="17"/>
              </w:rPr>
              <w:t>Customer-service chatbot users/participants.</w:t>
            </w:r>
          </w:p>
        </w:tc>
        <w:tc>
          <w:tcPr>
            <w:tcW w:type="dxa" w:w="1872"/>
            <w:vAlign w:val="center"/>
          </w:tcPr>
          <w:p>
            <w:pPr>
              <w:spacing w:after="40" w:line="240" w:lineRule="auto"/>
            </w:pPr>
            <w:r>
              <w:rPr>
                <w:sz w:val="17"/>
              </w:rPr>
              <w:t>Tests anthropomorphism and psychological evaluations of adoption.</w:t>
            </w:r>
          </w:p>
        </w:tc>
        <w:tc>
          <w:tcPr>
            <w:tcW w:type="dxa" w:w="1944"/>
            <w:vAlign w:val="center"/>
          </w:tcPr>
          <w:p>
            <w:pPr>
              <w:spacing w:after="40" w:line="240" w:lineRule="auto"/>
            </w:pPr>
            <w:r>
              <w:rPr>
                <w:sz w:val="17"/>
              </w:rPr>
              <w:t>Human-like cues can influence adoption through user perceptions.</w:t>
            </w:r>
          </w:p>
        </w:tc>
        <w:tc>
          <w:tcPr>
            <w:tcW w:type="dxa" w:w="1944"/>
            <w:vAlign w:val="center"/>
          </w:tcPr>
          <w:p>
            <w:pPr>
              <w:spacing w:after="40" w:line="240" w:lineRule="auto"/>
            </w:pPr>
            <w:r>
              <w:rPr>
                <w:sz w:val="17"/>
              </w:rPr>
              <w:t>Short exposure may not represent consequential service failures.</w:t>
            </w:r>
          </w:p>
        </w:tc>
      </w:tr>
      <w:tr>
        <w:tc>
          <w:tcPr>
            <w:tcW w:type="dxa" w:w="1440"/>
            <w:vAlign w:val="center"/>
          </w:tcPr>
          <w:p>
            <w:pPr>
              <w:spacing w:after="40" w:line="240" w:lineRule="auto"/>
            </w:pPr>
            <w:r>
              <w:rPr>
                <w:sz w:val="17"/>
              </w:rPr>
              <w:t>Adam et al. (2021)</w:t>
            </w:r>
          </w:p>
        </w:tc>
        <w:tc>
          <w:tcPr>
            <w:tcW w:type="dxa" w:w="1440"/>
            <w:vAlign w:val="center"/>
          </w:tcPr>
          <w:p>
            <w:pPr>
              <w:spacing w:after="40" w:line="240" w:lineRule="auto"/>
            </w:pPr>
            <w:r>
              <w:rPr>
                <w:sz w:val="17"/>
              </w:rPr>
              <w:t>Experiments</w:t>
            </w:r>
          </w:p>
        </w:tc>
        <w:tc>
          <w:tcPr>
            <w:tcW w:type="dxa" w:w="1656"/>
            <w:vAlign w:val="center"/>
          </w:tcPr>
          <w:p>
            <w:pPr>
              <w:spacing w:after="40" w:line="240" w:lineRule="auto"/>
            </w:pPr>
            <w:r>
              <w:rPr>
                <w:sz w:val="17"/>
              </w:rPr>
              <w:t>Participants responding to AI customer-service requests.</w:t>
            </w:r>
          </w:p>
        </w:tc>
        <w:tc>
          <w:tcPr>
            <w:tcW w:type="dxa" w:w="1872"/>
            <w:vAlign w:val="center"/>
          </w:tcPr>
          <w:p>
            <w:pPr>
              <w:spacing w:after="40" w:line="240" w:lineRule="auto"/>
            </w:pPr>
            <w:r>
              <w:rPr>
                <w:sz w:val="17"/>
              </w:rPr>
              <w:t>Manipulation of chatbot design and measurement of compliance.</w:t>
            </w:r>
          </w:p>
        </w:tc>
        <w:tc>
          <w:tcPr>
            <w:tcW w:type="dxa" w:w="1944"/>
            <w:vAlign w:val="center"/>
          </w:tcPr>
          <w:p>
            <w:pPr>
              <w:spacing w:after="40" w:line="240" w:lineRule="auto"/>
            </w:pPr>
            <w:r>
              <w:rPr>
                <w:sz w:val="17"/>
              </w:rPr>
              <w:t>Design choices influence customer response.</w:t>
            </w:r>
          </w:p>
        </w:tc>
        <w:tc>
          <w:tcPr>
            <w:tcW w:type="dxa" w:w="1944"/>
            <w:vAlign w:val="center"/>
          </w:tcPr>
          <w:p>
            <w:pPr>
              <w:spacing w:after="40" w:line="240" w:lineRule="auto"/>
            </w:pPr>
            <w:r>
              <w:rPr>
                <w:sz w:val="17"/>
              </w:rPr>
              <w:t>Compliance is not identical to satisfaction or verified resolution.</w:t>
            </w:r>
          </w:p>
        </w:tc>
      </w:tr>
      <w:tr>
        <w:tc>
          <w:tcPr>
            <w:tcW w:type="dxa" w:w="1440"/>
            <w:vAlign w:val="center"/>
          </w:tcPr>
          <w:p>
            <w:pPr>
              <w:spacing w:after="40" w:line="240" w:lineRule="auto"/>
            </w:pPr>
            <w:r>
              <w:rPr>
                <w:sz w:val="17"/>
              </w:rPr>
              <w:t>Shumanov &amp; Johnson (2021)</w:t>
            </w:r>
          </w:p>
        </w:tc>
        <w:tc>
          <w:tcPr>
            <w:tcW w:type="dxa" w:w="1440"/>
            <w:vAlign w:val="center"/>
          </w:tcPr>
          <w:p>
            <w:pPr>
              <w:spacing w:after="40" w:line="240" w:lineRule="auto"/>
            </w:pPr>
            <w:r>
              <w:rPr>
                <w:sz w:val="17"/>
              </w:rPr>
              <w:t>Experiments</w:t>
            </w:r>
          </w:p>
        </w:tc>
        <w:tc>
          <w:tcPr>
            <w:tcW w:type="dxa" w:w="1656"/>
            <w:vAlign w:val="center"/>
          </w:tcPr>
          <w:p>
            <w:pPr>
              <w:spacing w:after="40" w:line="240" w:lineRule="auto"/>
            </w:pPr>
            <w:r>
              <w:rPr>
                <w:sz w:val="17"/>
              </w:rPr>
              <w:t>Consumers exposed to personalised chatbot interactions.</w:t>
            </w:r>
          </w:p>
        </w:tc>
        <w:tc>
          <w:tcPr>
            <w:tcW w:type="dxa" w:w="1872"/>
            <w:vAlign w:val="center"/>
          </w:tcPr>
          <w:p>
            <w:pPr>
              <w:spacing w:after="40" w:line="240" w:lineRule="auto"/>
            </w:pPr>
            <w:r>
              <w:rPr>
                <w:sz w:val="17"/>
              </w:rPr>
              <w:t>Tests personalisation fit and user characteristics.</w:t>
            </w:r>
          </w:p>
        </w:tc>
        <w:tc>
          <w:tcPr>
            <w:tcW w:type="dxa" w:w="1944"/>
            <w:vAlign w:val="center"/>
          </w:tcPr>
          <w:p>
            <w:pPr>
              <w:spacing w:after="40" w:line="240" w:lineRule="auto"/>
            </w:pPr>
            <w:r>
              <w:rPr>
                <w:sz w:val="17"/>
              </w:rPr>
              <w:t>Personalisation works conditionally; fit affects response.</w:t>
            </w:r>
          </w:p>
        </w:tc>
        <w:tc>
          <w:tcPr>
            <w:tcW w:type="dxa" w:w="1944"/>
            <w:vAlign w:val="center"/>
          </w:tcPr>
          <w:p>
            <w:pPr>
              <w:spacing w:after="40" w:line="240" w:lineRule="auto"/>
            </w:pPr>
            <w:r>
              <w:rPr>
                <w:sz w:val="17"/>
              </w:rPr>
              <w:t>Privacy concerns and long-term behaviour receive limited observation.</w:t>
            </w:r>
          </w:p>
        </w:tc>
      </w:tr>
      <w:tr>
        <w:tc>
          <w:tcPr>
            <w:tcW w:type="dxa" w:w="1440"/>
            <w:vAlign w:val="center"/>
          </w:tcPr>
          <w:p>
            <w:pPr>
              <w:spacing w:after="40" w:line="240" w:lineRule="auto"/>
            </w:pPr>
            <w:r>
              <w:rPr>
                <w:sz w:val="17"/>
              </w:rPr>
              <w:t>Mozafari et al. (2022)</w:t>
            </w:r>
          </w:p>
        </w:tc>
        <w:tc>
          <w:tcPr>
            <w:tcW w:type="dxa" w:w="1440"/>
            <w:vAlign w:val="center"/>
          </w:tcPr>
          <w:p>
            <w:pPr>
              <w:spacing w:after="40" w:line="240" w:lineRule="auto"/>
            </w:pPr>
            <w:r>
              <w:rPr>
                <w:sz w:val="17"/>
              </w:rPr>
              <w:t>Experimental service-frontline studies</w:t>
            </w:r>
          </w:p>
        </w:tc>
        <w:tc>
          <w:tcPr>
            <w:tcW w:type="dxa" w:w="1656"/>
            <w:vAlign w:val="center"/>
          </w:tcPr>
          <w:p>
            <w:pPr>
              <w:spacing w:after="40" w:line="240" w:lineRule="auto"/>
            </w:pPr>
            <w:r>
              <w:rPr>
                <w:sz w:val="17"/>
              </w:rPr>
              <w:t>Customers/participants across frontline settings.</w:t>
            </w:r>
          </w:p>
        </w:tc>
        <w:tc>
          <w:tcPr>
            <w:tcW w:type="dxa" w:w="1872"/>
            <w:vAlign w:val="center"/>
          </w:tcPr>
          <w:p>
            <w:pPr>
              <w:spacing w:after="40" w:line="240" w:lineRule="auto"/>
            </w:pPr>
            <w:r>
              <w:rPr>
                <w:sz w:val="17"/>
              </w:rPr>
              <w:t>Manipulates chatbot disclosure and service context.</w:t>
            </w:r>
          </w:p>
        </w:tc>
        <w:tc>
          <w:tcPr>
            <w:tcW w:type="dxa" w:w="1944"/>
            <w:vAlign w:val="center"/>
          </w:tcPr>
          <w:p>
            <w:pPr>
              <w:spacing w:after="40" w:line="240" w:lineRule="auto"/>
            </w:pPr>
            <w:r>
              <w:rPr>
                <w:sz w:val="17"/>
              </w:rPr>
              <w:t>Disclosure effects depend on context and recovery conditions.</w:t>
            </w:r>
          </w:p>
        </w:tc>
        <w:tc>
          <w:tcPr>
            <w:tcW w:type="dxa" w:w="1944"/>
            <w:vAlign w:val="center"/>
          </w:tcPr>
          <w:p>
            <w:pPr>
              <w:spacing w:after="40" w:line="240" w:lineRule="auto"/>
            </w:pPr>
            <w:r>
              <w:rPr>
                <w:sz w:val="17"/>
              </w:rPr>
              <w:t>Experimental scenarios may not capture repeated retail relationships.</w:t>
            </w:r>
          </w:p>
        </w:tc>
      </w:tr>
      <w:tr>
        <w:tc>
          <w:tcPr>
            <w:tcW w:type="dxa" w:w="1440"/>
            <w:vAlign w:val="center"/>
          </w:tcPr>
          <w:p>
            <w:pPr>
              <w:spacing w:after="40" w:line="240" w:lineRule="auto"/>
            </w:pPr>
            <w:r>
              <w:rPr>
                <w:sz w:val="17"/>
              </w:rPr>
              <w:t>Gbolonyo et al. (2022)</w:t>
            </w:r>
          </w:p>
        </w:tc>
        <w:tc>
          <w:tcPr>
            <w:tcW w:type="dxa" w:w="1440"/>
            <w:vAlign w:val="center"/>
          </w:tcPr>
          <w:p>
            <w:pPr>
              <w:spacing w:after="40" w:line="240" w:lineRule="auto"/>
            </w:pPr>
            <w:r>
              <w:rPr>
                <w:sz w:val="17"/>
              </w:rPr>
              <w:t>Ghanaian consumer survey</w:t>
            </w:r>
          </w:p>
        </w:tc>
        <w:tc>
          <w:tcPr>
            <w:tcW w:type="dxa" w:w="1656"/>
            <w:vAlign w:val="center"/>
          </w:tcPr>
          <w:p>
            <w:pPr>
              <w:spacing w:after="40" w:line="240" w:lineRule="auto"/>
            </w:pPr>
            <w:r>
              <w:rPr>
                <w:sz w:val="17"/>
              </w:rPr>
              <w:t>382 Ghanaian online consumers.</w:t>
            </w:r>
          </w:p>
        </w:tc>
        <w:tc>
          <w:tcPr>
            <w:tcW w:type="dxa" w:w="1872"/>
            <w:vAlign w:val="center"/>
          </w:tcPr>
          <w:p>
            <w:pPr>
              <w:spacing w:after="40" w:line="240" w:lineRule="auto"/>
            </w:pPr>
            <w:r>
              <w:rPr>
                <w:sz w:val="17"/>
              </w:rPr>
              <w:t>Survey modelling of site quality, satisfaction and shopping intention.</w:t>
            </w:r>
          </w:p>
        </w:tc>
        <w:tc>
          <w:tcPr>
            <w:tcW w:type="dxa" w:w="1944"/>
            <w:vAlign w:val="center"/>
          </w:tcPr>
          <w:p>
            <w:pPr>
              <w:spacing w:after="40" w:line="240" w:lineRule="auto"/>
            </w:pPr>
            <w:r>
              <w:rPr>
                <w:sz w:val="17"/>
              </w:rPr>
              <w:t>Design, information usefulness and empathy predict satisfaction.</w:t>
            </w:r>
          </w:p>
        </w:tc>
        <w:tc>
          <w:tcPr>
            <w:tcW w:type="dxa" w:w="1944"/>
            <w:vAlign w:val="center"/>
          </w:tcPr>
          <w:p>
            <w:pPr>
              <w:spacing w:after="40" w:line="240" w:lineRule="auto"/>
            </w:pPr>
            <w:r>
              <w:rPr>
                <w:sz w:val="17"/>
              </w:rPr>
              <w:t>Does not directly test chatbots; cross-sectional data.</w:t>
            </w:r>
          </w:p>
        </w:tc>
      </w:tr>
    </w:tbl>
    <w:p>
      <w:pPr>
        <w:spacing w:after="20"/>
      </w:pPr>
    </w:p>
    <w:p>
      <w:pPr>
        <w:pStyle w:val="Heading3"/>
      </w:pPr>
      <w:r>
        <w:t>Narrative synthesis (under 400 words)</w:t>
      </w:r>
    </w:p>
    <w:p>
      <w:pPr>
        <w:jc w:val="both"/>
      </w:pPr>
      <w:r>
        <w:t>Across the seven studies, satisfaction emerges as a conditional evaluation rather than an automatic benefit of automation. Ashfaq et al. (2020) connect satisfaction to continued use, while Følstad and Brandtzæg (2020) show that usefulness, efficiency and interaction quality are recurring features of positive chatbot experience. Together, these surveys support the thesis’s functional pathway, but their cross-sectional and self-reported data cannot establish that a chatbot caused later purchase or loyalty.</w:t>
      </w:r>
    </w:p>
    <w:p>
      <w:pPr>
        <w:jc w:val="both"/>
      </w:pPr>
      <w:r>
        <w:t>The experimental evidence isolates design mechanisms. Sheehan et al. (2020) and Adam et al. (2021) indicate that anthropomorphic and interaction cues influence psychological evaluations and compliance. Shumanov and Johnson (2021) demonstrate that personalisation is not universally beneficial; its effect depends on fit with the user. Mozafari et al. (2022) similarly show that disclosure and frontline context alter customer responses. These experiments improve internal validity but normally observe bounded encounters, not repeated service relationships or downstream resolution.</w:t>
      </w:r>
    </w:p>
    <w:p>
      <w:pPr>
        <w:jc w:val="both"/>
      </w:pPr>
      <w:r>
        <w:t>Gbolonyo et al. (2022) contributes crucial Ghanaian context: design, information usefulness and empathy predict satisfaction among 382 online consumers. However, because the study did not test a chatbot, it supports local boundary conditions rather than a direct chatbot effect. The synthesis therefore justifies a Ghana-focused mixed-method field study that measures both customer perceptions and verified outcomes. It also supports the thesis’s conclusion that speed must be paired with accuracy, transparent personalisation, trust safeguards and accessible human recovery.</w:t>
      </w:r>
    </w:p>
    <w:p>
      <w:pPr>
        <w:pStyle w:val="Heading2"/>
      </w:pPr>
      <w:r>
        <w:t>Methodological gaps and project response</w:t>
      </w:r>
    </w:p>
    <w:p>
      <w:pPr>
        <w:pStyle w:val="ListBullet"/>
      </w:pPr>
      <w:r>
        <w:t>Geographic gap: direct chatbot evidence is largely international, while Gbolonyo et al. (2022) is Ghanaian but not chatbot-specific. The project integrates Ghanaian trust, payment, site-quality and facilitating-condition evidence and proposes local validation.</w:t>
      </w:r>
    </w:p>
    <w:p>
      <w:pPr>
        <w:pStyle w:val="ListBullet"/>
      </w:pPr>
      <w:r>
        <w:t>Outcome gap: Ashfaq et al. (2020) and Følstad and Brandtzæg (2020) rely heavily on reported perceptions. The project’s measurement framework adds task completion, first-contact resolution, re-contact, escalation, complaint, conversion and retention.</w:t>
      </w:r>
    </w:p>
    <w:p>
      <w:pPr>
        <w:pStyle w:val="ListBullet"/>
      </w:pPr>
      <w:r>
        <w:t>Encounter-duration gap: experimental studies such as Adam et al. (2021) and Shumanov and Johnson (2021) isolate mechanisms in short encounters. The project recommends longitudinal field comparison and qualitative failure review.</w:t>
      </w:r>
    </w:p>
    <w:p>
      <w:r>
        <w:br w:type="page"/>
      </w:r>
    </w:p>
    <w:p>
      <w:pPr>
        <w:pStyle w:val="Heading1"/>
      </w:pPr>
      <w:r>
        <w:t>SECTION C: Data Collection, Preprocessing and Experimental Design</w:t>
      </w:r>
    </w:p>
    <w:p>
      <w:pPr>
        <w:pStyle w:val="Heading2"/>
      </w:pPr>
      <w:r>
        <w:t>Question 3(a): Data-acquisition challenges and mitigation</w:t>
      </w:r>
    </w:p>
    <w:tbl>
      <w:tblPr>
        <w:tblW w:type="auto" w:w="0"/>
        <w:jc w:val="center"/>
        <w:tblLayout w:type="fixed"/>
        <w:tblLook w:firstColumn="1" w:firstRow="1" w:lastColumn="0" w:lastRow="0" w:noHBand="0" w:noVBand="1" w:val="04A0"/>
        <w:tblBorders>
          <w:top w:val="single" w:sz="4" w:color="B7C9DD"/>
          <w:left w:val="single" w:sz="4" w:color="B7C9DD"/>
          <w:bottom w:val="single" w:sz="4" w:color="B7C9DD"/>
          <w:right w:val="single" w:sz="4" w:color="B7C9DD"/>
          <w:insideH w:val="single" w:sz="4" w:color="B7C9DD"/>
          <w:insideV w:val="single" w:sz="4" w:color="B7C9DD"/>
        </w:tblBorders>
      </w:tblPr>
      <w:tblGrid>
        <w:gridCol w:w="3120"/>
        <w:gridCol w:w="3120"/>
        <w:gridCol w:w="3120"/>
      </w:tblGrid>
      <w:tr>
        <w:tc>
          <w:tcPr>
            <w:tcW w:type="dxa" w:w="1872"/>
            <w:shd w:fill="D9EAF7"/>
            <w:vAlign w:val="center"/>
          </w:tcPr>
          <w:p>
            <w:r>
              <w:rPr>
                <w:b/>
                <w:sz w:val="18"/>
              </w:rPr>
              <w:t>Challenge</w:t>
            </w:r>
          </w:p>
        </w:tc>
        <w:tc>
          <w:tcPr>
            <w:tcW w:type="dxa" w:w="3168"/>
            <w:shd w:fill="D9EAF7"/>
            <w:vAlign w:val="center"/>
          </w:tcPr>
          <w:p>
            <w:r>
              <w:rPr>
                <w:b/>
                <w:sz w:val="18"/>
              </w:rPr>
              <w:t>Why it is project-specific</w:t>
            </w:r>
          </w:p>
        </w:tc>
        <w:tc>
          <w:tcPr>
            <w:tcW w:type="dxa" w:w="4320"/>
            <w:shd w:fill="D9EAF7"/>
            <w:vAlign w:val="center"/>
          </w:tcPr>
          <w:p>
            <w:r>
              <w:rPr>
                <w:b/>
                <w:sz w:val="18"/>
              </w:rPr>
              <w:t>Mitigation and justification</w:t>
            </w:r>
          </w:p>
        </w:tc>
      </w:tr>
      <w:tr>
        <w:tc>
          <w:tcPr>
            <w:tcW w:type="dxa" w:w="1872"/>
            <w:vAlign w:val="center"/>
          </w:tcPr>
          <w:p>
            <w:pPr>
              <w:spacing w:after="40" w:line="240" w:lineRule="auto"/>
            </w:pPr>
            <w:r>
              <w:rPr>
                <w:sz w:val="17"/>
              </w:rPr>
              <w:t>Database coverage and access</w:t>
            </w:r>
          </w:p>
        </w:tc>
        <w:tc>
          <w:tcPr>
            <w:tcW w:type="dxa" w:w="3168"/>
            <w:vAlign w:val="center"/>
          </w:tcPr>
          <w:p>
            <w:pPr>
              <w:spacing w:after="40" w:line="240" w:lineRule="auto"/>
            </w:pPr>
            <w:r>
              <w:rPr>
                <w:sz w:val="17"/>
              </w:rPr>
              <w:t>The topic spans information systems, marketing, service management and HCI; no single database indexes all relevant work. Subscription barriers may block full texts.</w:t>
            </w:r>
          </w:p>
        </w:tc>
        <w:tc>
          <w:tcPr>
            <w:tcW w:type="dxa" w:w="4320"/>
            <w:vAlign w:val="center"/>
          </w:tcPr>
          <w:p>
            <w:pPr>
              <w:spacing w:after="40" w:line="240" w:lineRule="auto"/>
            </w:pPr>
            <w:r>
              <w:rPr>
                <w:sz w:val="17"/>
              </w:rPr>
              <w:t>Search at least Scopus, Web of Science and ABI/INFORM plus citation chaining; log database, date, string and result count. Multi-database coverage reduces disciplinary omission.</w:t>
            </w:r>
          </w:p>
        </w:tc>
      </w:tr>
      <w:tr>
        <w:tc>
          <w:tcPr>
            <w:tcW w:type="dxa" w:w="1872"/>
            <w:vAlign w:val="center"/>
          </w:tcPr>
          <w:p>
            <w:pPr>
              <w:spacing w:after="40" w:line="240" w:lineRule="auto"/>
            </w:pPr>
            <w:r>
              <w:rPr>
                <w:sz w:val="17"/>
              </w:rPr>
              <w:t>Terminology and architecture drift</w:t>
            </w:r>
          </w:p>
        </w:tc>
        <w:tc>
          <w:tcPr>
            <w:tcW w:type="dxa" w:w="3168"/>
            <w:vAlign w:val="center"/>
          </w:tcPr>
          <w:p>
            <w:pPr>
              <w:spacing w:after="40" w:line="240" w:lineRule="auto"/>
            </w:pPr>
            <w:r>
              <w:rPr>
                <w:sz w:val="17"/>
              </w:rPr>
              <w:t>“Chatbot,” “virtual assistant,” “conversational agent” and “generative AI” are used inconsistently, and technology changes rapidly.</w:t>
            </w:r>
          </w:p>
        </w:tc>
        <w:tc>
          <w:tcPr>
            <w:tcW w:type="dxa" w:w="4320"/>
            <w:vAlign w:val="center"/>
          </w:tcPr>
          <w:p>
            <w:pPr>
              <w:spacing w:after="40" w:line="240" w:lineRule="auto"/>
            </w:pPr>
            <w:r>
              <w:rPr>
                <w:sz w:val="17"/>
              </w:rPr>
              <w:t>Use three Boolean concept blocks, pilot synonyms, retain architecture/context during extraction and conduct an updated search immediately before submission.</w:t>
            </w:r>
          </w:p>
        </w:tc>
      </w:tr>
      <w:tr>
        <w:tc>
          <w:tcPr>
            <w:tcW w:type="dxa" w:w="1872"/>
            <w:vAlign w:val="center"/>
          </w:tcPr>
          <w:p>
            <w:pPr>
              <w:spacing w:after="40" w:line="240" w:lineRule="auto"/>
            </w:pPr>
            <w:r>
              <w:rPr>
                <w:sz w:val="17"/>
              </w:rPr>
              <w:t>Heterogeneous outcomes and incomplete reporting</w:t>
            </w:r>
          </w:p>
        </w:tc>
        <w:tc>
          <w:tcPr>
            <w:tcW w:type="dxa" w:w="3168"/>
            <w:vAlign w:val="center"/>
          </w:tcPr>
          <w:p>
            <w:pPr>
              <w:spacing w:after="40" w:line="240" w:lineRule="auto"/>
            </w:pPr>
            <w:r>
              <w:rPr>
                <w:sz w:val="17"/>
              </w:rPr>
              <w:t>Studies measure satisfaction, adoption, trust, compliance or purchase with different scales; samples and exact system details may be unclear.</w:t>
            </w:r>
          </w:p>
        </w:tc>
        <w:tc>
          <w:tcPr>
            <w:tcW w:type="dxa" w:w="4320"/>
            <w:vAlign w:val="center"/>
          </w:tcPr>
          <w:p>
            <w:pPr>
              <w:spacing w:after="40" w:line="240" w:lineRule="auto"/>
            </w:pPr>
            <w:r>
              <w:rPr>
                <w:sz w:val="17"/>
              </w:rPr>
              <w:t>Use a standard extraction form and design-specific quality appraisal; do not pool incompatible outcomes; contact/check full papers and label missing information.</w:t>
            </w:r>
          </w:p>
        </w:tc>
      </w:tr>
      <w:tr>
        <w:tc>
          <w:tcPr>
            <w:tcW w:type="dxa" w:w="1872"/>
            <w:vAlign w:val="center"/>
          </w:tcPr>
          <w:p>
            <w:pPr>
              <w:spacing w:after="40" w:line="240" w:lineRule="auto"/>
            </w:pPr>
            <w:r>
              <w:rPr>
                <w:sz w:val="17"/>
              </w:rPr>
              <w:t>Ghana evidence scarcity</w:t>
            </w:r>
          </w:p>
        </w:tc>
        <w:tc>
          <w:tcPr>
            <w:tcW w:type="dxa" w:w="3168"/>
            <w:vAlign w:val="center"/>
          </w:tcPr>
          <w:p>
            <w:pPr>
              <w:spacing w:after="40" w:line="240" w:lineRule="auto"/>
            </w:pPr>
            <w:r>
              <w:rPr>
                <w:sz w:val="17"/>
              </w:rPr>
              <w:t>Ghanaian studies concern e-commerce or payments but rarely direct chatbot use.</w:t>
            </w:r>
          </w:p>
        </w:tc>
        <w:tc>
          <w:tcPr>
            <w:tcW w:type="dxa" w:w="4320"/>
            <w:vAlign w:val="center"/>
          </w:tcPr>
          <w:p>
            <w:pPr>
              <w:spacing w:after="40" w:line="240" w:lineRule="auto"/>
            </w:pPr>
            <w:r>
              <w:rPr>
                <w:sz w:val="17"/>
              </w:rPr>
              <w:t>Treat Ghana studies as contextual boundary evidence, not direct effects; propose a local survey-interview study and retailer field validation.</w:t>
            </w:r>
          </w:p>
        </w:tc>
      </w:tr>
    </w:tbl>
    <w:p>
      <w:pPr>
        <w:spacing w:after="20"/>
      </w:pPr>
    </w:p>
    <w:p>
      <w:pPr>
        <w:pStyle w:val="Heading2"/>
      </w:pPr>
      <w:r>
        <w:t>Question 3(b): Ethics and governance</w:t>
      </w:r>
    </w:p>
    <w:p>
      <w:pPr>
        <w:jc w:val="both"/>
      </w:pPr>
      <w:r>
        <w:t>The completed review uses public scholarly material and no private customer data, so participant consent is not involved. Ethical duties are accurate citation, non-fabrication of search counts, faithful representation, copyright-respecting quotation and a reproducible decision trail. For the proposed Ghana study, approval should be obtained from the university ethics committee before recruitment. Risks include collecting names, order details or conversation text; re-identification from rare complaints; perceived surveillance; consent that is not meaningful on a small mobile screen; and disclosure of payment or health-related information. Controls include adult eligibility, plain-language consent, data minimisation, pseudonymous IDs, separation of consent records, encryption, role-based access, retention/deletion dates, secure transfer, participant withdrawal procedures and a retailer data-sharing agreement. Processing must be aligned with Act 843 and service processes with Act 772.</w:t>
      </w:r>
    </w:p>
    <w:p>
      <w:pPr>
        <w:pStyle w:val="Heading2"/>
      </w:pPr>
      <w:r>
        <w:t>Question 3(c): Representativeness and bias</w:t>
      </w:r>
    </w:p>
    <w:p>
      <w:pPr>
        <w:jc w:val="both"/>
      </w:pPr>
      <w:r>
        <w:t>The review corpus is biased toward English-language, published, international and relatively short studies. Negative vendor results may remain unpublished. Samples may overrepresent younger, digitally confident users, while Ghana-specific variations in language, connectivity, disability, device quality and rural access are underrepresented. Temporal bias is also important because pre-generative chatbot evidence may not transfer directly to current systems.</w:t>
      </w:r>
    </w:p>
    <w:p>
      <w:pPr>
        <w:jc w:val="both"/>
      </w:pPr>
      <w:r>
        <w:t>Mitigation in the review includes reporting study country, sector, chatbot type, design and sample; separating direct chatbot evidence from Ghanaian contextual evidence; retaining contradictory findings; and avoiding universal causal claims. In the proposed primary study, stratified quota sampling should cover age, gender, region, urban/rural residence, device type, online-shopping frequency and digital literacy. Recruitment should not occur only through one retailer or social-media channel. English and carefully translated Ghanaian-language testing, low-bandwidth/mobile testing and purposive inclusion of persons with disabilities should accompany subgroup reporting.</w:t>
      </w:r>
    </w:p>
    <w:p>
      <w:pPr>
        <w:pStyle w:val="Heading2"/>
      </w:pPr>
      <w:r>
        <w:t>Question 3(d): Fundamental limitations and mitigation</w:t>
      </w:r>
    </w:p>
    <w:tbl>
      <w:tblPr>
        <w:tblW w:type="auto" w:w="0"/>
        <w:jc w:val="center"/>
        <w:tblLayout w:type="fixed"/>
        <w:tblLook w:firstColumn="1" w:firstRow="1" w:lastColumn="0" w:lastRow="0" w:noHBand="0" w:noVBand="1" w:val="04A0"/>
        <w:tblBorders>
          <w:top w:val="single" w:sz="4" w:color="B7C9DD"/>
          <w:left w:val="single" w:sz="4" w:color="B7C9DD"/>
          <w:bottom w:val="single" w:sz="4" w:color="B7C9DD"/>
          <w:right w:val="single" w:sz="4" w:color="B7C9DD"/>
          <w:insideH w:val="single" w:sz="4" w:color="B7C9DD"/>
          <w:insideV w:val="single" w:sz="4" w:color="B7C9DD"/>
        </w:tblBorders>
      </w:tblPr>
      <w:tblGrid>
        <w:gridCol w:w="3120"/>
        <w:gridCol w:w="3120"/>
        <w:gridCol w:w="3120"/>
      </w:tblGrid>
      <w:tr>
        <w:tc>
          <w:tcPr>
            <w:tcW w:type="dxa" w:w="2088"/>
            <w:shd w:fill="D9EAF7"/>
            <w:vAlign w:val="center"/>
          </w:tcPr>
          <w:p>
            <w:r>
              <w:rPr>
                <w:b/>
                <w:sz w:val="18"/>
              </w:rPr>
              <w:t>Limitation</w:t>
            </w:r>
          </w:p>
        </w:tc>
        <w:tc>
          <w:tcPr>
            <w:tcW w:type="dxa" w:w="3096"/>
            <w:shd w:fill="D9EAF7"/>
            <w:vAlign w:val="center"/>
          </w:tcPr>
          <w:p>
            <w:r>
              <w:rPr>
                <w:b/>
                <w:sz w:val="18"/>
              </w:rPr>
              <w:t>Consequence</w:t>
            </w:r>
          </w:p>
        </w:tc>
        <w:tc>
          <w:tcPr>
            <w:tcW w:type="dxa" w:w="4176"/>
            <w:shd w:fill="D9EAF7"/>
            <w:vAlign w:val="center"/>
          </w:tcPr>
          <w:p>
            <w:r>
              <w:rPr>
                <w:b/>
                <w:sz w:val="18"/>
              </w:rPr>
              <w:t>Mitigation supported by reviewed evidence</w:t>
            </w:r>
          </w:p>
        </w:tc>
      </w:tr>
      <w:tr>
        <w:tc>
          <w:tcPr>
            <w:tcW w:type="dxa" w:w="2088"/>
            <w:vAlign w:val="center"/>
          </w:tcPr>
          <w:p>
            <w:pPr>
              <w:spacing w:after="40" w:line="240" w:lineRule="auto"/>
            </w:pPr>
            <w:r>
              <w:rPr>
                <w:sz w:val="17"/>
              </w:rPr>
              <w:t>Self-reported, cross-sectional outcomes</w:t>
            </w:r>
          </w:p>
        </w:tc>
        <w:tc>
          <w:tcPr>
            <w:tcW w:type="dxa" w:w="3096"/>
            <w:vAlign w:val="center"/>
          </w:tcPr>
          <w:p>
            <w:pPr>
              <w:spacing w:after="40" w:line="240" w:lineRule="auto"/>
            </w:pPr>
            <w:r>
              <w:rPr>
                <w:sz w:val="17"/>
              </w:rPr>
              <w:t>Common-method bias and inability to show that satisfaction causes retention.</w:t>
            </w:r>
          </w:p>
        </w:tc>
        <w:tc>
          <w:tcPr>
            <w:tcW w:type="dxa" w:w="4176"/>
            <w:vAlign w:val="center"/>
          </w:tcPr>
          <w:p>
            <w:pPr>
              <w:spacing w:after="40" w:line="240" w:lineRule="auto"/>
            </w:pPr>
            <w:r>
              <w:rPr>
                <w:sz w:val="17"/>
              </w:rPr>
              <w:t>Pair survey scales with verified completion, re-contact and repeat-purchase records and, where feasible, use longitudinal measurement. Ashfaq et al. (2020) validates satisfaction/continuance constructs but also motivates behavioural confirmation.</w:t>
            </w:r>
          </w:p>
        </w:tc>
      </w:tr>
      <w:tr>
        <w:tc>
          <w:tcPr>
            <w:tcW w:type="dxa" w:w="2088"/>
            <w:vAlign w:val="center"/>
          </w:tcPr>
          <w:p>
            <w:pPr>
              <w:spacing w:after="40" w:line="240" w:lineRule="auto"/>
            </w:pPr>
            <w:r>
              <w:rPr>
                <w:sz w:val="17"/>
              </w:rPr>
              <w:t>Sparse direct Ghanaian chatbot evidence</w:t>
            </w:r>
          </w:p>
        </w:tc>
        <w:tc>
          <w:tcPr>
            <w:tcW w:type="dxa" w:w="3096"/>
            <w:vAlign w:val="center"/>
          </w:tcPr>
          <w:p>
            <w:pPr>
              <w:spacing w:after="40" w:line="240" w:lineRule="auto"/>
            </w:pPr>
            <w:r>
              <w:rPr>
                <w:sz w:val="17"/>
              </w:rPr>
              <w:t>International findings may fail under local language, payment, delivery and connectivity conditions.</w:t>
            </w:r>
          </w:p>
        </w:tc>
        <w:tc>
          <w:tcPr>
            <w:tcW w:type="dxa" w:w="4176"/>
            <w:vAlign w:val="center"/>
          </w:tcPr>
          <w:p>
            <w:pPr>
              <w:spacing w:after="40" w:line="240" w:lineRule="auto"/>
            </w:pPr>
            <w:r>
              <w:rPr>
                <w:sz w:val="17"/>
              </w:rPr>
              <w:t>Run a Ghana-focused survey plus interviews and a limited retailer pilot. Gbolonyo et al. (2022) supports testing information usefulness, design and empathy locally; Yeboah et al. (2020) supports qualitative investigation of trust.</w:t>
            </w:r>
          </w:p>
        </w:tc>
      </w:tr>
      <w:tr>
        <w:tc>
          <w:tcPr>
            <w:tcW w:type="dxa" w:w="2088"/>
            <w:vAlign w:val="center"/>
          </w:tcPr>
          <w:p>
            <w:pPr>
              <w:spacing w:after="40" w:line="240" w:lineRule="auto"/>
            </w:pPr>
            <w:r>
              <w:rPr>
                <w:sz w:val="17"/>
              </w:rPr>
              <w:t>Heterogeneous chatbot types and measures</w:t>
            </w:r>
          </w:p>
        </w:tc>
        <w:tc>
          <w:tcPr>
            <w:tcW w:type="dxa" w:w="3096"/>
            <w:vAlign w:val="center"/>
          </w:tcPr>
          <w:p>
            <w:pPr>
              <w:spacing w:after="40" w:line="240" w:lineRule="auto"/>
            </w:pPr>
            <w:r>
              <w:rPr>
                <w:sz w:val="17"/>
              </w:rPr>
              <w:t>A pooled “chatbot effect” would mix rule-based, retrieval and generative systems.</w:t>
            </w:r>
          </w:p>
        </w:tc>
        <w:tc>
          <w:tcPr>
            <w:tcW w:type="dxa" w:w="4176"/>
            <w:vAlign w:val="center"/>
          </w:tcPr>
          <w:p>
            <w:pPr>
              <w:spacing w:after="40" w:line="240" w:lineRule="auto"/>
            </w:pPr>
            <w:r>
              <w:rPr>
                <w:sz w:val="17"/>
              </w:rPr>
              <w:t>Stratify synthesis and future analysis by architecture, journey stage and task risk; use a core measurement set covering effectiveness, experience, trust/safety and recovery.</w:t>
            </w:r>
          </w:p>
        </w:tc>
      </w:tr>
    </w:tbl>
    <w:p>
      <w:pPr>
        <w:spacing w:after="20"/>
      </w:pPr>
    </w:p>
    <w:p>
      <w:pPr>
        <w:pStyle w:val="Heading2"/>
      </w:pPr>
      <w:r>
        <w:t>Detailed thesis-consistent research workflow</w:t>
      </w:r>
    </w:p>
    <w:p>
      <w:pPr>
        <w:jc w:val="both"/>
      </w:pPr>
      <w:r>
        <w:t>Identification and cleaning: Export records from each database with DOI, title, authors, year, abstract and source. Preserve raw exports as read-only files. Standardise Unicode, whitespace, journal names and DOI casing. Deduplicate first by DOI, then by normalised title and author-year, with manual review of uncertain pairs. Missing DOI is not an exclusion if bibliographic identity can be verified. Remove clearly ineligible years only after documenting the query and limits.</w:t>
      </w:r>
    </w:p>
    <w:p>
      <w:pPr>
        <w:jc w:val="both"/>
      </w:pPr>
      <w:r>
        <w:t>Screening and encoding: Two passes are used: title/abstract screening followed by full-text eligibility assessment. Record one controlled exclusion reason per full text. Encode categorical fields for country, sector, chatbot architecture, journey stage, design and outcome; retain verbatim evidence excerpts with page numbers and separate reviewer interpretation. Missing sample or method details are coded “not reported,” never inferred.</w:t>
      </w:r>
    </w:p>
    <w:p>
      <w:pPr>
        <w:jc w:val="both"/>
      </w:pPr>
      <w:r>
        <w:t>Feature construction and synthesis: The analytic features are methodological and conceptual rather than predictive ML features. Codes cover speed, availability, accuracy, ease of use, personalisation, trust, privacy, disclosure, empathy, failure, recovery and handover. Codes are grouped into descriptive themes and then analytical themes. Dimensionality is controlled through a codebook with definitions, inclusion/exclusion rules and examples, preventing synonymous labels from fragmenting the evidence.</w:t>
      </w:r>
    </w:p>
    <w:p>
      <w:pPr>
        <w:jc w:val="both"/>
      </w:pPr>
      <w:r>
        <w:t>Method selection: Thematic synthesis is appropriate because designs and outcomes are too heterogeneous for a defensible meta-analysis. Quantitative associations and experiments are compared with qualitative explanations; design-specific quality appraisal determines evidentiary weight. Rival interpretations are retained. No classifier is trained because prediction is not the research objective.</w:t>
      </w:r>
    </w:p>
    <w:p>
      <w:pPr>
        <w:jc w:val="both"/>
      </w:pPr>
      <w:r>
        <w:t>Validation: A second reviewer or supervisor should independently screen and code a sample. Agreement can be reported using percentage agreement and Cohen’s kappa for categorical decisions, followed by consensus resolution. Sensitivity analysis should repeat conclusions after excluding low-quality studies and after restricting to 2020–2025 direct chatbot studies. Traceability is maintained from each theme to extraction rows and source pages. These procedures are the review equivalent of train/validation/test separation: protocol piloting refines rules, independent coding tests their application, and sensitivity checks test robustness without mislabelling the thesis as ML.</w:t>
      </w:r>
    </w:p>
    <w:p>
      <w:r>
        <w:br w:type="page"/>
      </w:r>
    </w:p>
    <w:p>
      <w:pPr>
        <w:pStyle w:val="Heading1"/>
      </w:pPr>
      <w:r>
        <w:t>SECTION D: Literature-Driven Methodological Review</w:t>
      </w:r>
    </w:p>
    <w:p>
      <w:pPr>
        <w:pStyle w:val="Heading2"/>
      </w:pPr>
      <w:r>
        <w:t>Question 4: Methodological grouping of 12 directly relevant studies</w:t>
      </w:r>
    </w:p>
    <w:tbl>
      <w:tblPr>
        <w:tblW w:type="auto" w:w="0"/>
        <w:jc w:val="center"/>
        <w:tblLayout w:type="fixed"/>
        <w:tblLook w:firstColumn="1" w:firstRow="1" w:lastColumn="0" w:lastRow="0" w:noHBand="0" w:noVBand="1" w:val="04A0"/>
        <w:tblBorders>
          <w:top w:val="single" w:sz="4" w:color="B7C9DD"/>
          <w:left w:val="single" w:sz="4" w:color="B7C9DD"/>
          <w:bottom w:val="single" w:sz="4" w:color="B7C9DD"/>
          <w:right w:val="single" w:sz="4" w:color="B7C9DD"/>
          <w:insideH w:val="single" w:sz="4" w:color="B7C9DD"/>
          <w:insideV w:val="single" w:sz="4" w:color="B7C9DD"/>
        </w:tblBorders>
      </w:tblPr>
      <w:tblGrid>
        <w:gridCol w:w="2340"/>
        <w:gridCol w:w="2340"/>
        <w:gridCol w:w="2340"/>
        <w:gridCol w:w="2340"/>
      </w:tblGrid>
      <w:tr>
        <w:tc>
          <w:tcPr>
            <w:tcW w:type="dxa" w:w="1800"/>
            <w:shd w:fill="D9EAF7"/>
            <w:vAlign w:val="center"/>
          </w:tcPr>
          <w:p>
            <w:r>
              <w:rPr>
                <w:b/>
                <w:sz w:val="18"/>
              </w:rPr>
              <w:t>Group</w:t>
            </w:r>
          </w:p>
        </w:tc>
        <w:tc>
          <w:tcPr>
            <w:tcW w:type="dxa" w:w="2880"/>
            <w:shd w:fill="D9EAF7"/>
            <w:vAlign w:val="center"/>
          </w:tcPr>
          <w:p>
            <w:r>
              <w:rPr>
                <w:b/>
                <w:sz w:val="18"/>
              </w:rPr>
              <w:t>Studies (2020–2025)</w:t>
            </w:r>
          </w:p>
        </w:tc>
        <w:tc>
          <w:tcPr>
            <w:tcW w:type="dxa" w:w="3240"/>
            <w:shd w:fill="D9EAF7"/>
            <w:vAlign w:val="center"/>
          </w:tcPr>
          <w:p>
            <w:r>
              <w:rPr>
                <w:b/>
                <w:sz w:val="18"/>
              </w:rPr>
              <w:t>Dominant methods and problems</w:t>
            </w:r>
          </w:p>
        </w:tc>
        <w:tc>
          <w:tcPr>
            <w:tcW w:type="dxa" w:w="1656"/>
            <w:shd w:fill="D9EAF7"/>
            <w:vAlign w:val="center"/>
          </w:tcPr>
          <w:p>
            <w:r>
              <w:rPr>
                <w:b/>
                <w:sz w:val="18"/>
              </w:rPr>
              <w:t>Typical evaluation</w:t>
            </w:r>
          </w:p>
        </w:tc>
      </w:tr>
      <w:tr>
        <w:tc>
          <w:tcPr>
            <w:tcW w:type="dxa" w:w="1800"/>
            <w:vAlign w:val="center"/>
          </w:tcPr>
          <w:p>
            <w:pPr>
              <w:spacing w:after="40" w:line="240" w:lineRule="auto"/>
            </w:pPr>
            <w:r>
              <w:rPr>
                <w:sz w:val="17"/>
              </w:rPr>
              <w:t>Survey and structural modelling</w:t>
            </w:r>
          </w:p>
        </w:tc>
        <w:tc>
          <w:tcPr>
            <w:tcW w:type="dxa" w:w="2880"/>
            <w:vAlign w:val="center"/>
          </w:tcPr>
          <w:p>
            <w:pPr>
              <w:spacing w:after="40" w:line="240" w:lineRule="auto"/>
            </w:pPr>
            <w:r>
              <w:rPr>
                <w:sz w:val="17"/>
              </w:rPr>
              <w:t>Ashfaq et al. (2020); Følstad &amp; Brandtzæg (2020); Sheehan et al. (2020)</w:t>
            </w:r>
          </w:p>
        </w:tc>
        <w:tc>
          <w:tcPr>
            <w:tcW w:type="dxa" w:w="3240"/>
            <w:vAlign w:val="center"/>
          </w:tcPr>
          <w:p>
            <w:pPr>
              <w:spacing w:after="40" w:line="240" w:lineRule="auto"/>
            </w:pPr>
            <w:r>
              <w:rPr>
                <w:sz w:val="17"/>
              </w:rPr>
              <w:t>Questionnaires/latent constructs addressing satisfaction, experience, anthropomorphism, adoption and continuance.</w:t>
            </w:r>
          </w:p>
        </w:tc>
        <w:tc>
          <w:tcPr>
            <w:tcW w:type="dxa" w:w="1656"/>
            <w:vAlign w:val="center"/>
          </w:tcPr>
          <w:p>
            <w:pPr>
              <w:spacing w:after="40" w:line="240" w:lineRule="auto"/>
            </w:pPr>
            <w:r>
              <w:rPr>
                <w:sz w:val="17"/>
              </w:rPr>
              <w:t>Scale reliability/validity, path coefficients, explained variance, fit statistics.</w:t>
            </w:r>
          </w:p>
        </w:tc>
      </w:tr>
      <w:tr>
        <w:tc>
          <w:tcPr>
            <w:tcW w:type="dxa" w:w="1800"/>
            <w:vAlign w:val="center"/>
          </w:tcPr>
          <w:p>
            <w:pPr>
              <w:spacing w:after="40" w:line="240" w:lineRule="auto"/>
            </w:pPr>
            <w:r>
              <w:rPr>
                <w:sz w:val="17"/>
              </w:rPr>
              <w:t>Controlled/field experiments</w:t>
            </w:r>
          </w:p>
        </w:tc>
        <w:tc>
          <w:tcPr>
            <w:tcW w:type="dxa" w:w="2880"/>
            <w:vAlign w:val="center"/>
          </w:tcPr>
          <w:p>
            <w:pPr>
              <w:spacing w:after="40" w:line="240" w:lineRule="auto"/>
            </w:pPr>
            <w:r>
              <w:rPr>
                <w:sz w:val="17"/>
              </w:rPr>
              <w:t>Adam et al. (2021); Shumanov &amp; Johnson (2021); Mozafari et al. (2022)</w:t>
            </w:r>
          </w:p>
        </w:tc>
        <w:tc>
          <w:tcPr>
            <w:tcW w:type="dxa" w:w="3240"/>
            <w:vAlign w:val="center"/>
          </w:tcPr>
          <w:p>
            <w:pPr>
              <w:spacing w:after="40" w:line="240" w:lineRule="auto"/>
            </w:pPr>
            <w:r>
              <w:rPr>
                <w:sz w:val="17"/>
              </w:rPr>
              <w:t>Manipulate design, personalisation or disclosure to estimate effects on response, trust or service evaluation.</w:t>
            </w:r>
          </w:p>
        </w:tc>
        <w:tc>
          <w:tcPr>
            <w:tcW w:type="dxa" w:w="1656"/>
            <w:vAlign w:val="center"/>
          </w:tcPr>
          <w:p>
            <w:pPr>
              <w:spacing w:after="40" w:line="240" w:lineRule="auto"/>
            </w:pPr>
            <w:r>
              <w:rPr>
                <w:sz w:val="17"/>
              </w:rPr>
              <w:t>Mean differences, regression effects, mediation/moderation, behavioural response.</w:t>
            </w:r>
          </w:p>
        </w:tc>
      </w:tr>
      <w:tr>
        <w:tc>
          <w:tcPr>
            <w:tcW w:type="dxa" w:w="1800"/>
            <w:vAlign w:val="center"/>
          </w:tcPr>
          <w:p>
            <w:pPr>
              <w:spacing w:after="40" w:line="240" w:lineRule="auto"/>
            </w:pPr>
            <w:r>
              <w:rPr>
                <w:sz w:val="17"/>
              </w:rPr>
              <w:t>Review/conceptual AI-HCI evidence</w:t>
            </w:r>
          </w:p>
        </w:tc>
        <w:tc>
          <w:tcPr>
            <w:tcW w:type="dxa" w:w="2880"/>
            <w:vAlign w:val="center"/>
          </w:tcPr>
          <w:p>
            <w:pPr>
              <w:spacing w:after="40" w:line="240" w:lineRule="auto"/>
            </w:pPr>
            <w:r>
              <w:rPr>
                <w:sz w:val="17"/>
              </w:rPr>
              <w:t>Rapp et al. (2021); Dwivedi et al. (2021); Shin (2021)</w:t>
            </w:r>
          </w:p>
        </w:tc>
        <w:tc>
          <w:tcPr>
            <w:tcW w:type="dxa" w:w="3240"/>
            <w:vAlign w:val="center"/>
          </w:tcPr>
          <w:p>
            <w:pPr>
              <w:spacing w:after="40" w:line="240" w:lineRule="auto"/>
            </w:pPr>
            <w:r>
              <w:rPr>
                <w:sz w:val="17"/>
              </w:rPr>
              <w:t>Synthesis or conceptual/empirical analysis of HCI determinants, governance, explainability, trust and acceptance.</w:t>
            </w:r>
          </w:p>
        </w:tc>
        <w:tc>
          <w:tcPr>
            <w:tcW w:type="dxa" w:w="1656"/>
            <w:vAlign w:val="center"/>
          </w:tcPr>
          <w:p>
            <w:pPr>
              <w:spacing w:after="40" w:line="240" w:lineRule="auto"/>
            </w:pPr>
            <w:r>
              <w:rPr>
                <w:sz w:val="17"/>
              </w:rPr>
              <w:t>Review quality/thematic coverage or validated perception/acceptance constructs.</w:t>
            </w:r>
          </w:p>
        </w:tc>
      </w:tr>
      <w:tr>
        <w:tc>
          <w:tcPr>
            <w:tcW w:type="dxa" w:w="1800"/>
            <w:vAlign w:val="center"/>
          </w:tcPr>
          <w:p>
            <w:pPr>
              <w:spacing w:after="40" w:line="240" w:lineRule="auto"/>
            </w:pPr>
            <w:r>
              <w:rPr>
                <w:sz w:val="17"/>
              </w:rPr>
              <w:t>Ghana-context empirical evidence</w:t>
            </w:r>
          </w:p>
        </w:tc>
        <w:tc>
          <w:tcPr>
            <w:tcW w:type="dxa" w:w="2880"/>
            <w:vAlign w:val="center"/>
          </w:tcPr>
          <w:p>
            <w:pPr>
              <w:spacing w:after="40" w:line="240" w:lineRule="auto"/>
            </w:pPr>
            <w:r>
              <w:rPr>
                <w:sz w:val="17"/>
              </w:rPr>
              <w:t>Gbolonyo et al. (2022); Amofah &amp; Chai (2022); Akanferi et al. (2022); Yeboah et al. (2020)</w:t>
            </w:r>
          </w:p>
        </w:tc>
        <w:tc>
          <w:tcPr>
            <w:tcW w:type="dxa" w:w="3240"/>
            <w:vAlign w:val="center"/>
          </w:tcPr>
          <w:p>
            <w:pPr>
              <w:spacing w:after="40" w:line="240" w:lineRule="auto"/>
            </w:pPr>
            <w:r>
              <w:rPr>
                <w:sz w:val="17"/>
              </w:rPr>
              <w:t>Survey models and qualitative inquiry into online satisfaction, trust, e-commerce/mobile-payment adoption and facilitating conditions.</w:t>
            </w:r>
          </w:p>
        </w:tc>
        <w:tc>
          <w:tcPr>
            <w:tcW w:type="dxa" w:w="1656"/>
            <w:vAlign w:val="center"/>
          </w:tcPr>
          <w:p>
            <w:pPr>
              <w:spacing w:after="40" w:line="240" w:lineRule="auto"/>
            </w:pPr>
            <w:r>
              <w:rPr>
                <w:sz w:val="17"/>
              </w:rPr>
              <w:t>Path significance, model fit/explained variance, or qualitative credibility/themes.</w:t>
            </w:r>
          </w:p>
        </w:tc>
      </w:tr>
    </w:tbl>
    <w:p>
      <w:pPr>
        <w:spacing w:after="20"/>
      </w:pPr>
    </w:p>
    <w:p>
      <w:pPr>
        <w:jc w:val="both"/>
      </w:pPr>
      <w:r>
        <w:t>The Ghana-context group is directly relevant to the project’s local problem but must not be misrepresented as direct chatbot testing. It supplies boundary conditions for a future Ghanaian chatbot study. The first three groups provide direct or near-direct evidence about conversational agents and AI-mediated service.</w:t>
      </w:r>
    </w:p>
    <w:p>
      <w:pPr>
        <w:pStyle w:val="Heading2"/>
      </w:pPr>
      <w:r>
        <w:t>PRISMA-style screening table</w:t>
      </w:r>
    </w:p>
    <w:tbl>
      <w:tblPr>
        <w:tblW w:type="auto" w:w="0"/>
        <w:jc w:val="center"/>
        <w:tblLayout w:type="fixed"/>
        <w:tblLook w:firstColumn="1" w:firstRow="1" w:lastColumn="0" w:lastRow="0" w:noHBand="0" w:noVBand="1" w:val="04A0"/>
        <w:tblBorders>
          <w:top w:val="single" w:sz="4" w:color="B7C9DD"/>
          <w:left w:val="single" w:sz="4" w:color="B7C9DD"/>
          <w:bottom w:val="single" w:sz="4" w:color="B7C9DD"/>
          <w:right w:val="single" w:sz="4" w:color="B7C9DD"/>
          <w:insideH w:val="single" w:sz="4" w:color="B7C9DD"/>
          <w:insideV w:val="single" w:sz="4" w:color="B7C9DD"/>
        </w:tblBorders>
      </w:tblPr>
      <w:tblGrid>
        <w:gridCol w:w="3120"/>
        <w:gridCol w:w="3120"/>
        <w:gridCol w:w="3120"/>
      </w:tblGrid>
      <w:tr>
        <w:tc>
          <w:tcPr>
            <w:tcW w:type="dxa" w:w="2016"/>
            <w:shd w:fill="D9EAF7"/>
            <w:vAlign w:val="center"/>
          </w:tcPr>
          <w:p>
            <w:r>
              <w:rPr>
                <w:b/>
                <w:sz w:val="18"/>
              </w:rPr>
              <w:t>Stage</w:t>
            </w:r>
          </w:p>
        </w:tc>
        <w:tc>
          <w:tcPr>
            <w:tcW w:type="dxa" w:w="3456"/>
            <w:shd w:fill="D9EAF7"/>
            <w:vAlign w:val="center"/>
          </w:tcPr>
          <w:p>
            <w:r>
              <w:rPr>
                <w:b/>
                <w:sz w:val="18"/>
              </w:rPr>
              <w:t>Required record</w:t>
            </w:r>
          </w:p>
        </w:tc>
        <w:tc>
          <w:tcPr>
            <w:tcW w:type="dxa" w:w="4104"/>
            <w:shd w:fill="D9EAF7"/>
            <w:vAlign w:val="center"/>
          </w:tcPr>
          <w:p>
            <w:r>
              <w:rPr>
                <w:b/>
                <w:sz w:val="18"/>
              </w:rPr>
              <w:t>Status in supplied thesis</w:t>
            </w:r>
          </w:p>
        </w:tc>
      </w:tr>
      <w:tr>
        <w:tc>
          <w:tcPr>
            <w:tcW w:type="dxa" w:w="2016"/>
            <w:vAlign w:val="center"/>
          </w:tcPr>
          <w:p>
            <w:pPr>
              <w:spacing w:after="40" w:line="240" w:lineRule="auto"/>
            </w:pPr>
            <w:r>
              <w:rPr>
                <w:sz w:val="17"/>
              </w:rPr>
              <w:t>Identification</w:t>
            </w:r>
          </w:p>
        </w:tc>
        <w:tc>
          <w:tcPr>
            <w:tcW w:type="dxa" w:w="3456"/>
            <w:vAlign w:val="center"/>
          </w:tcPr>
          <w:p>
            <w:pPr>
              <w:spacing w:after="40" w:line="240" w:lineRule="auto"/>
            </w:pPr>
            <w:r>
              <w:rPr>
                <w:sz w:val="17"/>
              </w:rPr>
              <w:t>Records from each database and citation chaining.</w:t>
            </w:r>
          </w:p>
        </w:tc>
        <w:tc>
          <w:tcPr>
            <w:tcW w:type="dxa" w:w="4104"/>
            <w:vAlign w:val="center"/>
          </w:tcPr>
          <w:p>
            <w:pPr>
              <w:spacing w:after="40" w:line="240" w:lineRule="auto"/>
            </w:pPr>
            <w:r>
              <w:rPr>
                <w:sz w:val="17"/>
              </w:rPr>
              <w:t>Not reported; searches must be personally executed and dated.</w:t>
            </w:r>
          </w:p>
        </w:tc>
      </w:tr>
      <w:tr>
        <w:tc>
          <w:tcPr>
            <w:tcW w:type="dxa" w:w="2016"/>
            <w:vAlign w:val="center"/>
          </w:tcPr>
          <w:p>
            <w:pPr>
              <w:spacing w:after="40" w:line="240" w:lineRule="auto"/>
            </w:pPr>
            <w:r>
              <w:rPr>
                <w:sz w:val="17"/>
              </w:rPr>
              <w:t>Deduplication</w:t>
            </w:r>
          </w:p>
        </w:tc>
        <w:tc>
          <w:tcPr>
            <w:tcW w:type="dxa" w:w="3456"/>
            <w:vAlign w:val="center"/>
          </w:tcPr>
          <w:p>
            <w:pPr>
              <w:spacing w:after="40" w:line="240" w:lineRule="auto"/>
            </w:pPr>
            <w:r>
              <w:rPr>
                <w:sz w:val="17"/>
              </w:rPr>
              <w:t>Total duplicates removed and method used.</w:t>
            </w:r>
          </w:p>
        </w:tc>
        <w:tc>
          <w:tcPr>
            <w:tcW w:type="dxa" w:w="4104"/>
            <w:vAlign w:val="center"/>
          </w:tcPr>
          <w:p>
            <w:pPr>
              <w:spacing w:after="40" w:line="240" w:lineRule="auto"/>
            </w:pPr>
            <w:r>
              <w:rPr>
                <w:sz w:val="17"/>
              </w:rPr>
              <w:t>Not reported.</w:t>
            </w:r>
          </w:p>
        </w:tc>
      </w:tr>
      <w:tr>
        <w:tc>
          <w:tcPr>
            <w:tcW w:type="dxa" w:w="2016"/>
            <w:vAlign w:val="center"/>
          </w:tcPr>
          <w:p>
            <w:pPr>
              <w:spacing w:after="40" w:line="240" w:lineRule="auto"/>
            </w:pPr>
            <w:r>
              <w:rPr>
                <w:sz w:val="17"/>
              </w:rPr>
              <w:t>Title/abstract screening</w:t>
            </w:r>
          </w:p>
        </w:tc>
        <w:tc>
          <w:tcPr>
            <w:tcW w:type="dxa" w:w="3456"/>
            <w:vAlign w:val="center"/>
          </w:tcPr>
          <w:p>
            <w:pPr>
              <w:spacing w:after="40" w:line="240" w:lineRule="auto"/>
            </w:pPr>
            <w:r>
              <w:rPr>
                <w:sz w:val="17"/>
              </w:rPr>
              <w:t>Number screened and excluded.</w:t>
            </w:r>
          </w:p>
        </w:tc>
        <w:tc>
          <w:tcPr>
            <w:tcW w:type="dxa" w:w="4104"/>
            <w:vAlign w:val="center"/>
          </w:tcPr>
          <w:p>
            <w:pPr>
              <w:spacing w:after="40" w:line="240" w:lineRule="auto"/>
            </w:pPr>
            <w:r>
              <w:rPr>
                <w:sz w:val="17"/>
              </w:rPr>
              <w:t>Not reported.</w:t>
            </w:r>
          </w:p>
        </w:tc>
      </w:tr>
      <w:tr>
        <w:tc>
          <w:tcPr>
            <w:tcW w:type="dxa" w:w="2016"/>
            <w:vAlign w:val="center"/>
          </w:tcPr>
          <w:p>
            <w:pPr>
              <w:spacing w:after="40" w:line="240" w:lineRule="auto"/>
            </w:pPr>
            <w:r>
              <w:rPr>
                <w:sz w:val="17"/>
              </w:rPr>
              <w:t>Full-text assessment</w:t>
            </w:r>
          </w:p>
        </w:tc>
        <w:tc>
          <w:tcPr>
            <w:tcW w:type="dxa" w:w="3456"/>
            <w:vAlign w:val="center"/>
          </w:tcPr>
          <w:p>
            <w:pPr>
              <w:spacing w:after="40" w:line="240" w:lineRule="auto"/>
            </w:pPr>
            <w:r>
              <w:rPr>
                <w:sz w:val="17"/>
              </w:rPr>
              <w:t>Number assessed; exclusions with reasons.</w:t>
            </w:r>
          </w:p>
        </w:tc>
        <w:tc>
          <w:tcPr>
            <w:tcW w:type="dxa" w:w="4104"/>
            <w:vAlign w:val="center"/>
          </w:tcPr>
          <w:p>
            <w:pPr>
              <w:spacing w:after="40" w:line="240" w:lineRule="auto"/>
            </w:pPr>
            <w:r>
              <w:rPr>
                <w:sz w:val="17"/>
              </w:rPr>
              <w:t>Not reported.</w:t>
            </w:r>
          </w:p>
        </w:tc>
      </w:tr>
      <w:tr>
        <w:tc>
          <w:tcPr>
            <w:tcW w:type="dxa" w:w="2016"/>
            <w:vAlign w:val="center"/>
          </w:tcPr>
          <w:p>
            <w:pPr>
              <w:spacing w:after="40" w:line="240" w:lineRule="auto"/>
            </w:pPr>
            <w:r>
              <w:rPr>
                <w:sz w:val="17"/>
              </w:rPr>
              <w:t>Included synthesis</w:t>
            </w:r>
          </w:p>
        </w:tc>
        <w:tc>
          <w:tcPr>
            <w:tcW w:type="dxa" w:w="3456"/>
            <w:vAlign w:val="center"/>
          </w:tcPr>
          <w:p>
            <w:pPr>
              <w:spacing w:after="40" w:line="240" w:lineRule="auto"/>
            </w:pPr>
            <w:r>
              <w:rPr>
                <w:sz w:val="17"/>
              </w:rPr>
              <w:t>Final eligible 2020–2025 papers.</w:t>
            </w:r>
          </w:p>
        </w:tc>
        <w:tc>
          <w:tcPr>
            <w:tcW w:type="dxa" w:w="4104"/>
            <w:vAlign w:val="center"/>
          </w:tcPr>
          <w:p>
            <w:pPr>
              <w:spacing w:after="40" w:line="240" w:lineRule="auto"/>
            </w:pPr>
            <w:r>
              <w:rPr>
                <w:sz w:val="17"/>
              </w:rPr>
              <w:t>A 12+ study analytical set is presented above, but eligibility and full-text verification must be completed against the executed search.</w:t>
            </w:r>
          </w:p>
        </w:tc>
      </w:tr>
    </w:tbl>
    <w:p>
      <w:pPr>
        <w:spacing w:after="20"/>
      </w:pPr>
    </w:p>
    <w:p>
      <w:pPr>
        <w:jc w:val="both"/>
      </w:pPr>
      <w:r>
        <w:t>It would be academically improper to insert estimated PRISMA numbers. Before submission, replace every “Not reported” entry with the documented output of the actual searches and retain export files and a deduplication log.</w:t>
      </w:r>
    </w:p>
    <w:p>
      <w:pPr>
        <w:pStyle w:val="Heading2"/>
      </w:pPr>
      <w:r>
        <w:t>Evaluation metrics across studies and project choice</w:t>
      </w:r>
    </w:p>
    <w:p>
      <w:pPr>
        <w:jc w:val="both"/>
      </w:pPr>
      <w:r>
        <w:t>Survey and SEM studies commonly use construct reliability, convergent/discriminant validity, standardised path coefficients, p-values, confidence intervals, R² and model-fit indicators. Experiments use group means, effect sizes, regression coefficients, mediation or moderation estimates and behavioural measures. Qualitative work uses credibility, dependability, confirmability and evidentiary saturation rather than accuracy or F1. Systematic reviews use screening agreement, transparent flow counts and quality appraisal.</w:t>
      </w:r>
    </w:p>
    <w:p>
      <w:pPr>
        <w:jc w:val="both"/>
      </w:pPr>
      <w:r>
        <w:t>Accuracy, F1 and AUC-ROC are appropriate only if a future technical component classifies intents, detects failures or predicts satisfaction. Accuracy alone would be misleading under class imbalance—for example, if most chats are routine and successful. Macro-F1 would give equal attention to rare failure classes; precision would limit false alarms; recall would measure how many harmful or unresolved conversations are detected; AUC-PR is preferable when failures are rare. BLEU is unsuitable as the primary measure of customer-service quality because surface overlap does not prove factual correctness or resolution. For the present review, the justified metrics are screening agreement/kappa, study counts by design/context, quality-appraisal results and traceable thematic convergence. For a Ghanaian field extension, primary outcomes should be CSAT plus verified task completion/first-contact resolution, with re-contact, escalation success, trust, customer effort and subgroup gaps reported.</w:t>
      </w:r>
    </w:p>
    <w:p>
      <w:pPr>
        <w:pStyle w:val="Heading2"/>
      </w:pPr>
      <w:r>
        <w:t>Three methodological gaps and novel contribution</w:t>
      </w:r>
    </w:p>
    <w:p>
      <w:pPr>
        <w:pStyle w:val="Heading3"/>
      </w:pPr>
      <w:r>
        <w:t>Gap 1: Limited local and subgroup validity</w:t>
      </w:r>
    </w:p>
    <w:p>
      <w:pPr>
        <w:jc w:val="both"/>
      </w:pPr>
      <w:r>
        <w:t>Direct chatbot studies such as Ashfaq et al. (2020) and Følstad and Brandtzæg (2020) do not establish performance under Ghanaian language, payment, delivery and connectivity conditions. Ghanaian work by Gbolonyo et al. (2022) and Akanferi et al. (2022) identifies local satisfaction, trust and facilitating-condition mechanisms but does not test chatbots. The project closes part of this gap by integrating these evidence streams and specifying a Ghana-focused survey, interviews, mobile/low-bandwidth tests and subgroup evaluation across region, device, language and digital literacy. Its novelty is contextual validation rather than an unsupported claim of universal effect.</w:t>
      </w:r>
    </w:p>
    <w:p>
      <w:pPr>
        <w:pStyle w:val="Heading3"/>
      </w:pPr>
      <w:r>
        <w:t>Gap 2: Overreliance on immediate perceptions</w:t>
      </w:r>
    </w:p>
    <w:p>
      <w:pPr>
        <w:jc w:val="both"/>
      </w:pPr>
      <w:r>
        <w:t>Ashfaq et al. (2020) models satisfaction and continuance, while Sheehan et al. (2020) examines adoption-related psychological responses; both illustrate the literature’s emphasis on self-reported constructs. Adam et al. (2021) adds behavioural compliance, but compliance is not verified service resolution. The project contributes a balanced framework linking CSAT and usefulness to task completion, answer accuracy, first-contact resolution, re-contact, escalation, complaints, conversion and retention. This prevents a fast but unresolved interaction from being counted as success and supports longitudinal retailer evaluation.</w:t>
      </w:r>
    </w:p>
    <w:p>
      <w:pPr>
        <w:pStyle w:val="Heading3"/>
      </w:pPr>
      <w:r>
        <w:t>Gap 3: Weak integration of governance and recovery</w:t>
      </w:r>
    </w:p>
    <w:p>
      <w:pPr>
        <w:jc w:val="both"/>
      </w:pPr>
      <w:r>
        <w:t>Shumanov and Johnson (2021) shows that personalisation effects depend on user fit, while Mozafari et al. (2022) shows that disclosure effects depend on frontline context. Shin (2021) further links explainability with trust and acceptance. Yet these mechanisms are often studied separately from privacy controls and human handover. The project’s novel contribution is an integrated capability-to-governance pathway: every attractive feature has a corresponding control—personalisation with data restraint, anthropomorphism with disclosure, generative flexibility with grounding, and automation with context-preserving escalation. Recovery is treated as a quality mechanism, not merely automation failure.</w:t>
      </w:r>
    </w:p>
    <w:p>
      <w:r>
        <w:br w:type="page"/>
      </w:r>
    </w:p>
    <w:p>
      <w:pPr>
        <w:pStyle w:val="Heading1"/>
      </w:pPr>
      <w:r>
        <w:t>SECTION E: Validity, Reliability, Ethics and Reproducibility</w:t>
      </w:r>
    </w:p>
    <w:p>
      <w:pPr>
        <w:pStyle w:val="Heading2"/>
      </w:pPr>
      <w:r>
        <w:t>Question 5(a): Threats to validity and mitigation</w:t>
      </w:r>
    </w:p>
    <w:tbl>
      <w:tblPr>
        <w:tblW w:type="auto" w:w="0"/>
        <w:jc w:val="center"/>
        <w:tblLayout w:type="fixed"/>
        <w:tblLook w:firstColumn="1" w:firstRow="1" w:lastColumn="0" w:lastRow="0" w:noHBand="0" w:noVBand="1" w:val="04A0"/>
        <w:tblBorders>
          <w:top w:val="single" w:sz="4" w:color="B7C9DD"/>
          <w:left w:val="single" w:sz="4" w:color="B7C9DD"/>
          <w:bottom w:val="single" w:sz="4" w:color="B7C9DD"/>
          <w:right w:val="single" w:sz="4" w:color="B7C9DD"/>
          <w:insideH w:val="single" w:sz="4" w:color="B7C9DD"/>
          <w:insideV w:val="single" w:sz="4" w:color="B7C9DD"/>
        </w:tblBorders>
      </w:tblPr>
      <w:tblGrid>
        <w:gridCol w:w="2340"/>
        <w:gridCol w:w="2340"/>
        <w:gridCol w:w="2340"/>
        <w:gridCol w:w="2340"/>
      </w:tblGrid>
      <w:tr>
        <w:tc>
          <w:tcPr>
            <w:tcW w:type="dxa" w:w="1440"/>
            <w:shd w:fill="D9EAF7"/>
            <w:vAlign w:val="center"/>
          </w:tcPr>
          <w:p>
            <w:r>
              <w:rPr>
                <w:b/>
                <w:sz w:val="18"/>
              </w:rPr>
              <w:t>Validity</w:t>
            </w:r>
          </w:p>
        </w:tc>
        <w:tc>
          <w:tcPr>
            <w:tcW w:type="dxa" w:w="2592"/>
            <w:shd w:fill="D9EAF7"/>
            <w:vAlign w:val="center"/>
          </w:tcPr>
          <w:p>
            <w:r>
              <w:rPr>
                <w:b/>
                <w:sz w:val="18"/>
              </w:rPr>
              <w:t>Threat</w:t>
            </w:r>
          </w:p>
        </w:tc>
        <w:tc>
          <w:tcPr>
            <w:tcW w:type="dxa" w:w="2880"/>
            <w:shd w:fill="D9EAF7"/>
            <w:vAlign w:val="center"/>
          </w:tcPr>
          <w:p>
            <w:r>
              <w:rPr>
                <w:b/>
                <w:sz w:val="18"/>
              </w:rPr>
              <w:t>Effect</w:t>
            </w:r>
          </w:p>
        </w:tc>
        <w:tc>
          <w:tcPr>
            <w:tcW w:type="dxa" w:w="2880"/>
            <w:shd w:fill="D9EAF7"/>
            <w:vAlign w:val="center"/>
          </w:tcPr>
          <w:p>
            <w:r>
              <w:rPr>
                <w:b/>
                <w:sz w:val="18"/>
              </w:rPr>
              <w:t>Feasible mitigation</w:t>
            </w:r>
          </w:p>
        </w:tc>
      </w:tr>
      <w:tr>
        <w:tc>
          <w:tcPr>
            <w:tcW w:type="dxa" w:w="1440"/>
            <w:vAlign w:val="center"/>
          </w:tcPr>
          <w:p>
            <w:pPr>
              <w:spacing w:after="40" w:line="240" w:lineRule="auto"/>
            </w:pPr>
            <w:r>
              <w:rPr>
                <w:sz w:val="17"/>
              </w:rPr>
              <w:t>Internal/construct</w:t>
            </w:r>
          </w:p>
        </w:tc>
        <w:tc>
          <w:tcPr>
            <w:tcW w:type="dxa" w:w="2592"/>
            <w:vAlign w:val="center"/>
          </w:tcPr>
          <w:p>
            <w:pPr>
              <w:spacing w:after="40" w:line="240" w:lineRule="auto"/>
            </w:pPr>
            <w:r>
              <w:rPr>
                <w:sz w:val="17"/>
              </w:rPr>
              <w:t>Inconsistent definitions and measures of satisfaction, adoption, trust and continuance.</w:t>
            </w:r>
          </w:p>
        </w:tc>
        <w:tc>
          <w:tcPr>
            <w:tcW w:type="dxa" w:w="2880"/>
            <w:vAlign w:val="center"/>
          </w:tcPr>
          <w:p>
            <w:pPr>
              <w:spacing w:after="40" w:line="240" w:lineRule="auto"/>
            </w:pPr>
            <w:r>
              <w:rPr>
                <w:sz w:val="17"/>
              </w:rPr>
              <w:t>Apparent convergence may reflect non-equivalent constructs.</w:t>
            </w:r>
          </w:p>
        </w:tc>
        <w:tc>
          <w:tcPr>
            <w:tcW w:type="dxa" w:w="2880"/>
            <w:vAlign w:val="center"/>
          </w:tcPr>
          <w:p>
            <w:pPr>
              <w:spacing w:after="40" w:line="240" w:lineRule="auto"/>
            </w:pPr>
            <w:r>
              <w:rPr>
                <w:sz w:val="17"/>
              </w:rPr>
              <w:t>Use explicit construct definitions, extract instruments/outcomes, separate perception from behaviour and avoid pooling incompatible effects.</w:t>
            </w:r>
          </w:p>
        </w:tc>
      </w:tr>
      <w:tr>
        <w:tc>
          <w:tcPr>
            <w:tcW w:type="dxa" w:w="1440"/>
            <w:vAlign w:val="center"/>
          </w:tcPr>
          <w:p>
            <w:pPr>
              <w:spacing w:after="40" w:line="240" w:lineRule="auto"/>
            </w:pPr>
            <w:r>
              <w:rPr>
                <w:sz w:val="17"/>
              </w:rPr>
              <w:t>Internal/conclusion</w:t>
            </w:r>
          </w:p>
        </w:tc>
        <w:tc>
          <w:tcPr>
            <w:tcW w:type="dxa" w:w="2592"/>
            <w:vAlign w:val="center"/>
          </w:tcPr>
          <w:p>
            <w:pPr>
              <w:spacing w:after="40" w:line="240" w:lineRule="auto"/>
            </w:pPr>
            <w:r>
              <w:rPr>
                <w:sz w:val="17"/>
              </w:rPr>
              <w:t>Selective citation and reviewer confirmation bias.</w:t>
            </w:r>
          </w:p>
        </w:tc>
        <w:tc>
          <w:tcPr>
            <w:tcW w:type="dxa" w:w="2880"/>
            <w:vAlign w:val="center"/>
          </w:tcPr>
          <w:p>
            <w:pPr>
              <w:spacing w:after="40" w:line="240" w:lineRule="auto"/>
            </w:pPr>
            <w:r>
              <w:rPr>
                <w:sz w:val="17"/>
              </w:rPr>
              <w:t>Evidence supporting chatbot benefits may be overweighted.</w:t>
            </w:r>
          </w:p>
        </w:tc>
        <w:tc>
          <w:tcPr>
            <w:tcW w:type="dxa" w:w="2880"/>
            <w:vAlign w:val="center"/>
          </w:tcPr>
          <w:p>
            <w:pPr>
              <w:spacing w:after="40" w:line="240" w:lineRule="auto"/>
            </w:pPr>
            <w:r>
              <w:rPr>
                <w:sz w:val="17"/>
              </w:rPr>
              <w:t>Predefine criteria/search strings, retain exclusion reasons and contradictory findings, and obtain independent screening/coding of a sample.</w:t>
            </w:r>
          </w:p>
        </w:tc>
      </w:tr>
      <w:tr>
        <w:tc>
          <w:tcPr>
            <w:tcW w:type="dxa" w:w="1440"/>
            <w:vAlign w:val="center"/>
          </w:tcPr>
          <w:p>
            <w:pPr>
              <w:spacing w:after="40" w:line="240" w:lineRule="auto"/>
            </w:pPr>
            <w:r>
              <w:rPr>
                <w:sz w:val="17"/>
              </w:rPr>
              <w:t>External/population</w:t>
            </w:r>
          </w:p>
        </w:tc>
        <w:tc>
          <w:tcPr>
            <w:tcW w:type="dxa" w:w="2592"/>
            <w:vAlign w:val="center"/>
          </w:tcPr>
          <w:p>
            <w:pPr>
              <w:spacing w:after="40" w:line="240" w:lineRule="auto"/>
            </w:pPr>
            <w:r>
              <w:rPr>
                <w:sz w:val="17"/>
              </w:rPr>
              <w:t>International, young and digitally confident samples.</w:t>
            </w:r>
          </w:p>
        </w:tc>
        <w:tc>
          <w:tcPr>
            <w:tcW w:type="dxa" w:w="2880"/>
            <w:vAlign w:val="center"/>
          </w:tcPr>
          <w:p>
            <w:pPr>
              <w:spacing w:after="40" w:line="240" w:lineRule="auto"/>
            </w:pPr>
            <w:r>
              <w:rPr>
                <w:sz w:val="17"/>
              </w:rPr>
              <w:t>Findings may not transfer to Ghanaian, older, rural or low-literacy users.</w:t>
            </w:r>
          </w:p>
        </w:tc>
        <w:tc>
          <w:tcPr>
            <w:tcW w:type="dxa" w:w="2880"/>
            <w:vAlign w:val="center"/>
          </w:tcPr>
          <w:p>
            <w:pPr>
              <w:spacing w:after="40" w:line="240" w:lineRule="auto"/>
            </w:pPr>
            <w:r>
              <w:rPr>
                <w:sz w:val="17"/>
              </w:rPr>
              <w:t>Describe contexts, restrict claims, integrate Ghana evidence and conduct stratified local validation.</w:t>
            </w:r>
          </w:p>
        </w:tc>
      </w:tr>
      <w:tr>
        <w:tc>
          <w:tcPr>
            <w:tcW w:type="dxa" w:w="1440"/>
            <w:vAlign w:val="center"/>
          </w:tcPr>
          <w:p>
            <w:pPr>
              <w:spacing w:after="40" w:line="240" w:lineRule="auto"/>
            </w:pPr>
            <w:r>
              <w:rPr>
                <w:sz w:val="17"/>
              </w:rPr>
              <w:t>External/ecological/temporal</w:t>
            </w:r>
          </w:p>
        </w:tc>
        <w:tc>
          <w:tcPr>
            <w:tcW w:type="dxa" w:w="2592"/>
            <w:vAlign w:val="center"/>
          </w:tcPr>
          <w:p>
            <w:pPr>
              <w:spacing w:after="40" w:line="240" w:lineRule="auto"/>
            </w:pPr>
            <w:r>
              <w:rPr>
                <w:sz w:val="17"/>
              </w:rPr>
              <w:t>Short scripted encounters and rapidly changing chatbot architectures.</w:t>
            </w:r>
          </w:p>
        </w:tc>
        <w:tc>
          <w:tcPr>
            <w:tcW w:type="dxa" w:w="2880"/>
            <w:vAlign w:val="center"/>
          </w:tcPr>
          <w:p>
            <w:pPr>
              <w:spacing w:after="40" w:line="240" w:lineRule="auto"/>
            </w:pPr>
            <w:r>
              <w:rPr>
                <w:sz w:val="17"/>
              </w:rPr>
              <w:t>Results may not predict live retail failures or current generative systems.</w:t>
            </w:r>
          </w:p>
        </w:tc>
        <w:tc>
          <w:tcPr>
            <w:tcW w:type="dxa" w:w="2880"/>
            <w:vAlign w:val="center"/>
          </w:tcPr>
          <w:p>
            <w:pPr>
              <w:spacing w:after="40" w:line="240" w:lineRule="auto"/>
            </w:pPr>
            <w:r>
              <w:rPr>
                <w:sz w:val="17"/>
              </w:rPr>
              <w:t>Prioritise field/longitudinal evidence, stratify by architecture and journey stage, and update the search before submission.</w:t>
            </w:r>
          </w:p>
        </w:tc>
      </w:tr>
    </w:tbl>
    <w:p>
      <w:pPr>
        <w:spacing w:after="20"/>
      </w:pPr>
    </w:p>
    <w:p>
      <w:pPr>
        <w:jc w:val="both"/>
      </w:pPr>
      <w:r>
        <w:t>This classification follows the logic of recognised experimental validity frameworks such as Cook and Campbell: internal/construct threats concern whether the inferred relationship and measures are credible; external threats concern transfer across populations, settings and time. The mitigations are feasible because they require protocol discipline, transparent extraction and limited independent checking rather than a large new experiment.</w:t>
      </w:r>
    </w:p>
    <w:p>
      <w:pPr>
        <w:pStyle w:val="Heading2"/>
      </w:pPr>
      <w:r>
        <w:t>Question 5(b): Robustness and generalisability</w:t>
      </w:r>
    </w:p>
    <w:p>
      <w:pPr>
        <w:jc w:val="both"/>
      </w:pPr>
      <w:r>
        <w:t>The project’s conclusions are robust only at the level supported by convergent heterogeneous evidence: chatbots can improve satisfaction when they reduce effort and provide accurate, useful, trustworthy service with effective recovery. The review does not justify one universal effect size. Robustness should be tested through sensitivity analyses excluding lower-quality studies, restricting to 2020–2025, separating survey from experimental evidence and checking whether each theme survives removal of any single influential study.</w:t>
      </w:r>
    </w:p>
    <w:p>
      <w:pPr>
        <w:jc w:val="both"/>
      </w:pPr>
      <w:r>
        <w:t>For future Ghanaian deployment, unseen-data performance should be evaluated on temporally held-out conversations and by language, region, age, device, disability and digital-literacy subgroup. Edge cases include code-switching, misspellings, weak connectivity, rare returns, disputed payments, emotionally charged complaints and stale inventory. A likely failure is a confident but incorrect return/refund answer that delays a customer’s remedy. Detection should combine grounded-answer checks, uncertainty thresholds, contradiction tests against approved policy, sampled human audit, complaint/re-contact monitoring and automatic escalation with transcript context. Mitigation is to constrain high-risk actions, refresh knowledge, state uncertainty and provide a direct human route.</w:t>
      </w:r>
    </w:p>
    <w:p>
      <w:pPr>
        <w:pStyle w:val="Heading2"/>
      </w:pPr>
      <w:r>
        <w:t>Question 5(c): Reproducibility challenges</w:t>
      </w:r>
    </w:p>
    <w:tbl>
      <w:tblPr>
        <w:tblW w:type="auto" w:w="0"/>
        <w:jc w:val="center"/>
        <w:tblLayout w:type="fixed"/>
        <w:tblLook w:firstColumn="1" w:firstRow="1" w:lastColumn="0" w:lastRow="0" w:noHBand="0" w:noVBand="1" w:val="04A0"/>
        <w:tblBorders>
          <w:top w:val="single" w:sz="4" w:color="B7C9DD"/>
          <w:left w:val="single" w:sz="4" w:color="B7C9DD"/>
          <w:bottom w:val="single" w:sz="4" w:color="B7C9DD"/>
          <w:right w:val="single" w:sz="4" w:color="B7C9DD"/>
          <w:insideH w:val="single" w:sz="4" w:color="B7C9DD"/>
          <w:insideV w:val="single" w:sz="4" w:color="B7C9DD"/>
        </w:tblBorders>
      </w:tblPr>
      <w:tblGrid>
        <w:gridCol w:w="4680"/>
        <w:gridCol w:w="4680"/>
      </w:tblGrid>
      <w:tr>
        <w:tc>
          <w:tcPr>
            <w:tcW w:type="dxa" w:w="2592"/>
            <w:shd w:fill="D9EAF7"/>
            <w:vAlign w:val="center"/>
          </w:tcPr>
          <w:p>
            <w:r>
              <w:rPr>
                <w:b/>
                <w:sz w:val="18"/>
              </w:rPr>
              <w:t>Challenge</w:t>
            </w:r>
          </w:p>
        </w:tc>
        <w:tc>
          <w:tcPr>
            <w:tcW w:type="dxa" w:w="6768"/>
            <w:shd w:fill="D9EAF7"/>
            <w:vAlign w:val="center"/>
          </w:tcPr>
          <w:p>
            <w:r>
              <w:rPr>
                <w:b/>
                <w:sz w:val="18"/>
              </w:rPr>
              <w:t>Reproducibility practice</w:t>
            </w:r>
          </w:p>
        </w:tc>
      </w:tr>
      <w:tr>
        <w:tc>
          <w:tcPr>
            <w:tcW w:type="dxa" w:w="2592"/>
            <w:vAlign w:val="center"/>
          </w:tcPr>
          <w:p>
            <w:pPr>
              <w:spacing w:after="40" w:line="240" w:lineRule="auto"/>
            </w:pPr>
            <w:r>
              <w:rPr>
                <w:sz w:val="17"/>
              </w:rPr>
              <w:t>Database results change with indexing and search date.</w:t>
            </w:r>
          </w:p>
        </w:tc>
        <w:tc>
          <w:tcPr>
            <w:tcW w:type="dxa" w:w="6768"/>
            <w:vAlign w:val="center"/>
          </w:tcPr>
          <w:p>
            <w:pPr>
              <w:spacing w:after="40" w:line="240" w:lineRule="auto"/>
            </w:pPr>
            <w:r>
              <w:rPr>
                <w:sz w:val="17"/>
              </w:rPr>
              <w:t>Record database, platform, exact string, limits, date/time, result count and exported RIS/BibTeX/CSV files; archive a read-only search log.</w:t>
            </w:r>
          </w:p>
        </w:tc>
      </w:tr>
      <w:tr>
        <w:tc>
          <w:tcPr>
            <w:tcW w:type="dxa" w:w="2592"/>
            <w:vAlign w:val="center"/>
          </w:tcPr>
          <w:p>
            <w:pPr>
              <w:spacing w:after="40" w:line="240" w:lineRule="auto"/>
            </w:pPr>
            <w:r>
              <w:rPr>
                <w:sz w:val="17"/>
              </w:rPr>
              <w:t>Deduplication and eligibility involve judgement.</w:t>
            </w:r>
          </w:p>
        </w:tc>
        <w:tc>
          <w:tcPr>
            <w:tcW w:type="dxa" w:w="6768"/>
            <w:vAlign w:val="center"/>
          </w:tcPr>
          <w:p>
            <w:pPr>
              <w:spacing w:after="40" w:line="240" w:lineRule="auto"/>
            </w:pPr>
            <w:r>
              <w:rPr>
                <w:sz w:val="17"/>
              </w:rPr>
              <w:t>Version the protocol, codebook and screening sheet; retain stable study IDs, exclusion reasons and duplicate links; independently check a sample and report agreement.</w:t>
            </w:r>
          </w:p>
        </w:tc>
      </w:tr>
      <w:tr>
        <w:tc>
          <w:tcPr>
            <w:tcW w:type="dxa" w:w="2592"/>
            <w:vAlign w:val="center"/>
          </w:tcPr>
          <w:p>
            <w:pPr>
              <w:spacing w:after="40" w:line="240" w:lineRule="auto"/>
            </w:pPr>
            <w:r>
              <w:rPr>
                <w:sz w:val="17"/>
              </w:rPr>
              <w:t>Thematic coding can drift or reflect confirmation bias.</w:t>
            </w:r>
          </w:p>
        </w:tc>
        <w:tc>
          <w:tcPr>
            <w:tcW w:type="dxa" w:w="6768"/>
            <w:vAlign w:val="center"/>
          </w:tcPr>
          <w:p>
            <w:pPr>
              <w:spacing w:after="40" w:line="240" w:lineRule="auto"/>
            </w:pPr>
            <w:r>
              <w:rPr>
                <w:sz w:val="17"/>
              </w:rPr>
              <w:t>Publish code definitions, examples, source-page quotations, decision memos and a theme-to-study matrix; tag every analytic change in version control.</w:t>
            </w:r>
          </w:p>
        </w:tc>
      </w:tr>
      <w:tr>
        <w:tc>
          <w:tcPr>
            <w:tcW w:type="dxa" w:w="2592"/>
            <w:vAlign w:val="center"/>
          </w:tcPr>
          <w:p>
            <w:pPr>
              <w:spacing w:after="40" w:line="240" w:lineRule="auto"/>
            </w:pPr>
            <w:r>
              <w:rPr>
                <w:sz w:val="17"/>
              </w:rPr>
              <w:t>Publisher access may prevent replication.</w:t>
            </w:r>
          </w:p>
        </w:tc>
        <w:tc>
          <w:tcPr>
            <w:tcW w:type="dxa" w:w="6768"/>
            <w:vAlign w:val="center"/>
          </w:tcPr>
          <w:p>
            <w:pPr>
              <w:spacing w:after="40" w:line="240" w:lineRule="auto"/>
            </w:pPr>
            <w:r>
              <w:rPr>
                <w:sz w:val="17"/>
              </w:rPr>
              <w:t>Share bibliographic metadata, DOI list, extraction fields and permitted excerpts—not copyrighted full texts—and document inaccessible records.</w:t>
            </w:r>
          </w:p>
        </w:tc>
      </w:tr>
    </w:tbl>
    <w:p>
      <w:pPr>
        <w:spacing w:after="20"/>
      </w:pPr>
    </w:p>
    <w:p>
      <w:pPr>
        <w:jc w:val="both"/>
      </w:pPr>
      <w:r>
        <w:t>The project should follow the transparency principles embodied in PRISMA 2020 for identification, screening and inclusion, supplemented by a versioned protocol and extraction package. If a later predictive ML module is implemented, the ML Reproducibility Checklist should additionally cover code, data splits, seeds, dependencies, hardware, hyperparameters and evaluation scripts.</w:t>
      </w:r>
    </w:p>
    <w:p>
      <w:pPr>
        <w:pStyle w:val="Heading2"/>
      </w:pPr>
      <w:r>
        <w:t>Question 5(d): Formal Reproducibility Statement (137 words)</w:t>
      </w:r>
    </w:p>
    <w:p>
      <w:pPr>
        <w:jc w:val="both"/>
      </w:pPr>
      <w:r>
        <w:t>This study is a structured literature review and thematic synthesis; it does not train a machine-learning model. Reproducibility materials will include the protocol, exact database-specific search strings, search dates, raw bibliographic exports where licensing permits, deduplication log, screening decisions with exclusion reasons, quality-appraisal form, extraction sheet, codebook and theme-to-study matrix. Copyrighted article files will not be redistributed; DOIs and full citations will identify the sources. Screening and synthesis can be replicated on any standard computer using the operating system and spreadsheet/reference-management software versions recorded in the final audit trail. No random seed is required because no stochastic analysis is performed. To reproduce the primary result, a third party should rerun each recorded search, deduplicate using DOI and normalised title, apply the eligibility criteria, complete full-text appraisal, code the included studies using the published codebook, and compare the resulting themes concerning efficiency, information quality, trust, personalisation and human recovery.</w:t>
      </w:r>
    </w:p>
    <w:p>
      <w:pPr>
        <w:pStyle w:val="Heading1"/>
      </w:pPr>
      <w:r>
        <w:t>References Used in the Answers</w:t>
      </w:r>
    </w:p>
    <w:p>
      <w:pPr>
        <w:spacing w:after="100"/>
        <w:ind w:left="432" w:hanging="432"/>
      </w:pPr>
      <w:r>
        <w:t>Adam, M., Wessel, M., &amp; Benlian, A. (2021). AI-based chatbots in customer service and their effects on user compliance. Electronic Markets, 31, 427–445. https://doi.org/10.1007/s12525-020-00414-7</w:t>
      </w:r>
    </w:p>
    <w:p>
      <w:pPr>
        <w:spacing w:after="100"/>
        <w:ind w:left="432" w:hanging="432"/>
      </w:pPr>
      <w:r>
        <w:t>Akanferi, A. A., Asampana, I., Matey, A. H., &amp; Tanye, H. A. (2022). Adoption of mobile commerce and mobile payments in Ghana. Interdisciplinary Journal of Information, Knowledge, and Management, 17, 287–313. https://doi.org/10.28945/4981</w:t>
      </w:r>
    </w:p>
    <w:p>
      <w:pPr>
        <w:spacing w:after="100"/>
        <w:ind w:left="432" w:hanging="432"/>
      </w:pPr>
      <w:r>
        <w:t>Amofah, D. O., &amp; Chai, J. (2022). Sustaining consumer e-commerce adoption in Sub-Saharan Africa. Sustainability, 14(14), 8466. https://doi.org/10.3390/su14148466</w:t>
      </w:r>
    </w:p>
    <w:p>
      <w:pPr>
        <w:spacing w:after="100"/>
        <w:ind w:left="432" w:hanging="432"/>
      </w:pPr>
      <w:r>
        <w:t>Ashfaq, M., Yun, J., Yu, S., &amp; Loureiro, S. M. C. (2020). I, Chatbot: Modeling the determinants of users’ satisfaction and continuance intention of AI-powered service agents. Telematics and Informatics, 54, 101473. https://doi.org/10.1016/j.tele.2020.101473</w:t>
      </w:r>
    </w:p>
    <w:p>
      <w:pPr>
        <w:spacing w:after="100"/>
        <w:ind w:left="432" w:hanging="432"/>
      </w:pPr>
      <w:r>
        <w:t>Dwivedi, Y. K., Hughes, L., Ismagilova, E., et al. (2021). Artificial intelligence: Multidisciplinary perspectives on emerging challenges, opportunities and agenda. International Journal of Information Management, 57, 101994.</w:t>
      </w:r>
    </w:p>
    <w:p>
      <w:pPr>
        <w:spacing w:after="100"/>
        <w:ind w:left="432" w:hanging="432"/>
      </w:pPr>
      <w:r>
        <w:t>Følstad, A., &amp; Brandtzæg, P. B. (2020). Users’ experiences with chatbots: Findings from a questionnaire study. Quality and User Experience, 5, 3. https://doi.org/10.1007/s41233-020-00033-2</w:t>
      </w:r>
    </w:p>
    <w:p>
      <w:pPr>
        <w:spacing w:after="100"/>
        <w:ind w:left="432" w:hanging="432"/>
      </w:pPr>
      <w:r>
        <w:t>Gbolonyo, P. K., Darkwa, B. F., Antwi, S., &amp; Adjei, E. O. (2022). To shop online or not: The role of site quality on customer satisfaction. Open Access Library Journal, 9, 1–27. https://doi.org/10.4236/oalib.1109234</w:t>
      </w:r>
    </w:p>
    <w:p>
      <w:pPr>
        <w:spacing w:after="100"/>
        <w:ind w:left="432" w:hanging="432"/>
      </w:pPr>
      <w:r>
        <w:t>Mozafari, N., Weiger, W. H., &amp; Hammerschmidt, M. (2022). Trust me, I’m a bot: Repercussions of chatbot disclosure in different service frontline settings. Journal of Service Management, 33(2), 221–245.</w:t>
      </w:r>
    </w:p>
    <w:p>
      <w:pPr>
        <w:spacing w:after="100"/>
        <w:ind w:left="432" w:hanging="432"/>
      </w:pPr>
      <w:r>
        <w:t>Rapp, A., Curti, L., &amp; Boldi, A. (2021). The human side of human-chatbot interaction: A systematic literature review. International Journal of Human-Computer Studies, 151, 102630.</w:t>
      </w:r>
    </w:p>
    <w:p>
      <w:pPr>
        <w:spacing w:after="100"/>
        <w:ind w:left="432" w:hanging="432"/>
      </w:pPr>
      <w:r>
        <w:t>Republic of Ghana. (2008). Electronic Transactions Act, 2008 (Act 772).</w:t>
      </w:r>
    </w:p>
    <w:p>
      <w:pPr>
        <w:spacing w:after="100"/>
        <w:ind w:left="432" w:hanging="432"/>
      </w:pPr>
      <w:r>
        <w:t>Republic of Ghana. (2012). Data Protection Act, 2012 (Act 843).</w:t>
      </w:r>
    </w:p>
    <w:p>
      <w:pPr>
        <w:spacing w:after="100"/>
        <w:ind w:left="432" w:hanging="432"/>
      </w:pPr>
      <w:r>
        <w:t>Sheehan, B., Jin, H. S., &amp; Gottlieb, U. (2020). Customer service chatbots: Anthropomorphism and adoption. Journal of Business Research, 115, 14–24.</w:t>
      </w:r>
    </w:p>
    <w:p>
      <w:pPr>
        <w:spacing w:after="100"/>
        <w:ind w:left="432" w:hanging="432"/>
      </w:pPr>
      <w:r>
        <w:t>Shin, D. (2021). The effects of explainability and causability on perception, trust, and acceptance. International Journal of Human-Computer Studies, 146, 102551.</w:t>
      </w:r>
    </w:p>
    <w:p>
      <w:pPr>
        <w:spacing w:after="100"/>
        <w:ind w:left="432" w:hanging="432"/>
      </w:pPr>
      <w:r>
        <w:t>Shumanov, M., &amp; Johnson, L. (2021). Making conversations with chatbots more personalized. Computers in Human Behavior, 117, 106627.</w:t>
      </w:r>
    </w:p>
    <w:p>
      <w:pPr>
        <w:spacing w:after="100"/>
        <w:ind w:left="432" w:hanging="432"/>
      </w:pPr>
      <w:r>
        <w:t>Yeboah, E., Boateng, R., Owusu, A., Afful-Dadzie, E., &amp; Ofori-Amanfo, J. (2020). Assessing the role of trust in merchant adoption of mobile payments in Ghana. In Responsible Design, Implementation and Use of ICT (pp. 204–215). Springer.</w:t>
      </w:r>
    </w:p>
    <w:sectPr w:rsidR="00FC693F" w:rsidRPr="0006063C" w:rsidSect="00034616">
      <w:footerReference w:type="default" r:id="rId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w:pPr>
      <w:pStyle w:val="Footer"/>
      <w:jc w:val="right"/>
    </w:pPr>
    <w:r>
      <w:t xml:space="preserve">WMI601 | AI-Powered Chatbots and Customer Satisfaction   </w:t>
    </w:r>
    <w:fldSimple w:instr="PAGE"/>
  </w:p>
</w:ft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pPr>
      <w:spacing w:line="276" w:lineRule="auto" w:after="120"/>
    </w:pPr>
    <w:rPr>
      <w:rFonts w:ascii="Times New Roman" w:hAnsi="Times New Roman"/>
      <w:sz w:val="22"/>
    </w:rPr>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200" w:after="100"/>
      <w:outlineLvl w:val="0"/>
    </w:pPr>
    <w:rPr>
      <w:rFonts w:asciiTheme="majorHAnsi" w:eastAsiaTheme="majorEastAsia" w:hAnsiTheme="majorHAnsi" w:cstheme="majorBidi" w:ascii="Times New Roman" w:hAnsi="Times New Roman"/>
      <w:b/>
      <w:bCs/>
      <w:color w:val="17365D"/>
      <w:sz w:val="32"/>
      <w:szCs w:val="28"/>
    </w:rPr>
  </w:style>
  <w:style w:type="paragraph" w:styleId="Heading2">
    <w:name w:val="heading 2"/>
    <w:basedOn w:val="Normal"/>
    <w:next w:val="Normal"/>
    <w:link w:val="Heading2Char"/>
    <w:uiPriority w:val="9"/>
    <w:unhideWhenUsed/>
    <w:qFormat/>
    <w:rsid w:val="00FC693F"/>
    <w:pPr>
      <w:keepNext/>
      <w:keepLines/>
      <w:spacing w:before="200" w:after="100"/>
      <w:outlineLvl w:val="1"/>
    </w:pPr>
    <w:rPr>
      <w:rFonts w:asciiTheme="majorHAnsi" w:eastAsiaTheme="majorEastAsia" w:hAnsiTheme="majorHAnsi" w:cstheme="majorBidi" w:ascii="Times New Roman" w:hAnsi="Times New Roman"/>
      <w:b/>
      <w:bCs/>
      <w:color w:val="1F4E79"/>
      <w:sz w:val="26"/>
      <w:szCs w:val="26"/>
    </w:rPr>
  </w:style>
  <w:style w:type="paragraph" w:styleId="Heading3">
    <w:name w:val="heading 3"/>
    <w:basedOn w:val="Normal"/>
    <w:next w:val="Normal"/>
    <w:link w:val="Heading3Char"/>
    <w:uiPriority w:val="9"/>
    <w:unhideWhenUsed/>
    <w:qFormat/>
    <w:rsid w:val="00FC693F"/>
    <w:pPr>
      <w:keepNext/>
      <w:keepLines/>
      <w:spacing w:before="200" w:after="100"/>
      <w:outlineLvl w:val="2"/>
    </w:pPr>
    <w:rPr>
      <w:rFonts w:asciiTheme="majorHAnsi" w:eastAsiaTheme="majorEastAsia" w:hAnsiTheme="majorHAnsi" w:cstheme="majorBidi" w:ascii="Times New Roman" w:hAnsi="Times New Roman"/>
      <w:b/>
      <w:bCs/>
      <w:color w:val="1F4E79"/>
      <w:sz w:val="22"/>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keepNext/>
      <w:pBdr>
        <w:bottom w:val="single" w:sz="8" w:space="4" w:color="4F81BD" w:themeColor="accent1"/>
      </w:pBdr>
      <w:spacing w:after="100" w:line="240" w:lineRule="auto" w:before="200"/>
      <w:contextualSpacing/>
    </w:pPr>
    <w:rPr>
      <w:rFonts w:asciiTheme="majorHAnsi" w:eastAsiaTheme="majorEastAsia" w:hAnsiTheme="majorHAnsi" w:cstheme="majorBidi" w:ascii="Times New Roman" w:hAnsi="Times New Roman"/>
      <w:b/>
      <w:color w:val="17365D"/>
      <w:spacing w:val="5"/>
      <w:kern w:val="28"/>
      <w:sz w:val="44"/>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WMI601 Thesis-Grounded Answers: AI-Powered Chatbots and Customer Satisfaction</dc:title>
  <dc:subject>Research Methods and Professional Practice Term Paper</dc:subject>
  <dc:creator>Student</dc:creator>
  <cp:keywords/>
  <dc:description>generated by python-docx</dc:description>
  <cp:lastModifiedBy/>
  <cp:revision>1</cp:revision>
  <dcterms:created xsi:type="dcterms:W3CDTF">2013-12-23T23:15:00Z</dcterms:created>
  <dcterms:modified xsi:type="dcterms:W3CDTF">2013-12-23T23:15:00Z</dcterms:modified>
  <cp:category/>
</cp:coreProperties>
</file>