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tbl>
      <w:tblPr>
        <w:tblpPr w:leftFromText="180" w:rightFromText="180" w:vertAnchor="text" w:horzAnchor="margin" w:tblpXSpec="center" w:tblpY="366"/>
        <w:tblW w:w="103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17"/>
      </w:tblGrid>
      <w:tr w:rsidR="00CA1841" w:rsidRPr="005D3F07" w14:paraId="4D920F3F" w14:textId="77777777" w:rsidTr="00CA1841">
        <w:trPr>
          <w:trHeight w:val="5272"/>
        </w:trPr>
        <w:tc>
          <w:tcPr>
            <w:tcW w:w="10317" w:type="dxa"/>
          </w:tcPr>
          <w:p w14:paraId="1BFE88C2" w14:textId="77777777" w:rsidR="00CA1841" w:rsidRPr="00CA1841" w:rsidRDefault="00CA1841" w:rsidP="00CA1841">
            <w:pPr>
              <w:ind w:right="-957"/>
              <w:rPr>
                <w:rFonts w:ascii="Times New Roman" w:hAnsi="Times New Roman" w:cs="Times New Roman"/>
                <w:b/>
                <w:sz w:val="44"/>
                <w:szCs w:val="22"/>
              </w:rPr>
            </w:pPr>
            <w:r w:rsidRPr="00CA1841">
              <w:rPr>
                <w:rFonts w:ascii="Times New Roman" w:hAnsi="Times New Roman" w:cs="Times New Roman"/>
                <w:b/>
                <w:sz w:val="44"/>
                <w:szCs w:val="22"/>
              </w:rPr>
              <w:t xml:space="preserve">Learner’s name: Jonathan White </w:t>
            </w:r>
          </w:p>
          <w:p w14:paraId="0ED13D9E" w14:textId="77777777" w:rsidR="00CA1841" w:rsidRPr="00CA1841" w:rsidRDefault="00CA1841" w:rsidP="00CA1841">
            <w:pPr>
              <w:ind w:right="-957"/>
              <w:rPr>
                <w:rFonts w:ascii="Times New Roman" w:hAnsi="Times New Roman" w:cs="Times New Roman"/>
                <w:b/>
                <w:sz w:val="44"/>
                <w:szCs w:val="22"/>
              </w:rPr>
            </w:pPr>
          </w:p>
          <w:p w14:paraId="0C358049" w14:textId="77777777" w:rsidR="00CA1841" w:rsidRPr="00CA1841" w:rsidRDefault="00CA1841" w:rsidP="00CA1841">
            <w:pPr>
              <w:ind w:right="-957"/>
              <w:rPr>
                <w:rFonts w:ascii="Times New Roman" w:hAnsi="Times New Roman" w:cs="Times New Roman"/>
                <w:b/>
                <w:sz w:val="44"/>
                <w:szCs w:val="22"/>
              </w:rPr>
            </w:pPr>
            <w:r w:rsidRPr="00CA1841">
              <w:rPr>
                <w:rFonts w:ascii="Times New Roman" w:hAnsi="Times New Roman" w:cs="Times New Roman"/>
                <w:b/>
                <w:sz w:val="44"/>
                <w:szCs w:val="22"/>
              </w:rPr>
              <w:t>Email address: Jonathan.white@ceredigion.gov.uk</w:t>
            </w:r>
          </w:p>
          <w:p w14:paraId="7B873899" w14:textId="77777777" w:rsidR="00CA1841" w:rsidRPr="00CA1841" w:rsidRDefault="00CA1841" w:rsidP="00CA1841">
            <w:pPr>
              <w:ind w:right="-957"/>
              <w:rPr>
                <w:rFonts w:ascii="Times New Roman" w:hAnsi="Times New Roman" w:cs="Times New Roman"/>
                <w:b/>
                <w:sz w:val="44"/>
                <w:szCs w:val="22"/>
              </w:rPr>
            </w:pPr>
          </w:p>
          <w:p w14:paraId="0D933BBF" w14:textId="77777777" w:rsidR="00CA1841" w:rsidRPr="00CA1841" w:rsidRDefault="00CA1841" w:rsidP="00CA1841">
            <w:pPr>
              <w:ind w:right="-957"/>
              <w:rPr>
                <w:rFonts w:ascii="Times New Roman" w:hAnsi="Times New Roman" w:cs="Times New Roman"/>
                <w:b/>
                <w:sz w:val="44"/>
                <w:szCs w:val="22"/>
              </w:rPr>
            </w:pPr>
            <w:r w:rsidRPr="00CA1841">
              <w:rPr>
                <w:rFonts w:ascii="Times New Roman" w:hAnsi="Times New Roman" w:cs="Times New Roman"/>
                <w:b/>
                <w:sz w:val="44"/>
                <w:szCs w:val="22"/>
              </w:rPr>
              <w:t>Learner’s University Registration Number: 11</w:t>
            </w:r>
            <w:r>
              <w:rPr>
                <w:rFonts w:ascii="Times New Roman" w:hAnsi="Times New Roman" w:cs="Times New Roman"/>
                <w:b/>
                <w:sz w:val="44"/>
                <w:szCs w:val="22"/>
              </w:rPr>
              <w:t>04145</w:t>
            </w:r>
          </w:p>
          <w:p w14:paraId="6467D318" w14:textId="77777777" w:rsidR="00CA1841" w:rsidRPr="00CA1841" w:rsidRDefault="00CA1841" w:rsidP="00CA1841">
            <w:pPr>
              <w:ind w:right="-957"/>
              <w:rPr>
                <w:rFonts w:ascii="Times New Roman" w:hAnsi="Times New Roman" w:cs="Times New Roman"/>
                <w:b/>
                <w:sz w:val="44"/>
                <w:szCs w:val="22"/>
              </w:rPr>
            </w:pPr>
          </w:p>
          <w:p w14:paraId="7E1A2F35" w14:textId="77777777" w:rsidR="00CA1841" w:rsidRPr="005D3F07" w:rsidRDefault="00CA1841" w:rsidP="00CA1841">
            <w:pPr>
              <w:ind w:right="-957"/>
              <w:rPr>
                <w:rFonts w:ascii="Times New Roman" w:hAnsi="Times New Roman" w:cs="Times New Roman"/>
                <w:b/>
                <w:sz w:val="48"/>
              </w:rPr>
            </w:pPr>
            <w:r w:rsidRPr="00CA1841">
              <w:rPr>
                <w:rFonts w:ascii="Times New Roman" w:hAnsi="Times New Roman" w:cs="Times New Roman"/>
                <w:b/>
                <w:sz w:val="44"/>
                <w:szCs w:val="22"/>
              </w:rPr>
              <w:t>Cohort: 21 onwards</w:t>
            </w:r>
          </w:p>
        </w:tc>
      </w:tr>
    </w:tbl>
    <w:p w14:paraId="71271AFE" w14:textId="77777777" w:rsidR="00943FDB" w:rsidRPr="00F927A1" w:rsidRDefault="00943FDB" w:rsidP="00943FDB">
      <w:pPr>
        <w:ind w:right="-957"/>
        <w:rPr>
          <w:rFonts w:ascii="Times New Roman" w:hAnsi="Times New Roman" w:cs="Times New Roman"/>
          <w:b/>
          <w:sz w:val="48"/>
        </w:rPr>
      </w:pPr>
    </w:p>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63F9BAD3" w14:textId="7E811966" w:rsidR="00943FDB" w:rsidRDefault="00943FDB" w:rsidP="00943FDB">
      <w:pPr>
        <w:ind w:right="-957"/>
        <w:rPr>
          <w:rFonts w:ascii="Times New Roman" w:hAnsi="Times New Roman" w:cs="Times New Roman"/>
        </w:rPr>
      </w:pPr>
    </w:p>
    <w:p w14:paraId="73D3FC11" w14:textId="77777777" w:rsidR="00CA1841" w:rsidRDefault="00CA1841"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7E4450C0" w14:textId="267A0978"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0FFAF22F" w14:textId="3ABA1A82" w:rsidR="00BD4196" w:rsidRDefault="00BD4196" w:rsidP="002D6B34">
            <w:pPr>
              <w:jc w:val="both"/>
              <w:rPr>
                <w:rFonts w:ascii="Aptos" w:hAnsi="Aptos"/>
              </w:rPr>
            </w:pPr>
            <w:r>
              <w:rPr>
                <w:rFonts w:ascii="Aptos" w:hAnsi="Aptos"/>
              </w:rPr>
              <w:t xml:space="preserve">This developmental review uses Driscoll’s (1994, cited in Greene, 2024) reflective model to examine my professional development since qualifying. The model’s three questions provide a concise structure that moves from describing experience to analysing its significance and identifying learning. I will apply the model to each of the learning outcomes identified in turn. </w:t>
            </w:r>
          </w:p>
          <w:p w14:paraId="2A78F06A" w14:textId="77777777" w:rsidR="00BD4196" w:rsidRDefault="00BD4196" w:rsidP="002D6B34">
            <w:pPr>
              <w:jc w:val="both"/>
              <w:rPr>
                <w:rFonts w:ascii="Aptos" w:hAnsi="Aptos"/>
              </w:rPr>
            </w:pPr>
          </w:p>
          <w:p w14:paraId="6AD62128" w14:textId="5E491B53" w:rsidR="00BD4196" w:rsidRDefault="00BD4196" w:rsidP="002D6B34">
            <w:pPr>
              <w:jc w:val="both"/>
              <w:rPr>
                <w:rFonts w:ascii="Aptos" w:hAnsi="Aptos"/>
              </w:rPr>
            </w:pPr>
            <w:r>
              <w:rPr>
                <w:rFonts w:ascii="Aptos" w:hAnsi="Aptos"/>
              </w:rPr>
              <w:t>In relation to applying analysis in assessment, I have become aware since qualifying that my approach has sometimes been influenced by anxiety about making the wrong decision, resulting in a more defensive and risk</w:t>
            </w:r>
            <w:r w:rsidR="00C37B5A">
              <w:rPr>
                <w:rFonts w:ascii="Aptos" w:hAnsi="Aptos"/>
              </w:rPr>
              <w:t xml:space="preserve"> </w:t>
            </w:r>
            <w:r>
              <w:rPr>
                <w:rFonts w:ascii="Aptos" w:hAnsi="Aptos"/>
              </w:rPr>
              <w:t xml:space="preserve">focused style of practice. </w:t>
            </w:r>
            <w:r w:rsidR="00CA1841">
              <w:rPr>
                <w:rFonts w:ascii="Aptos" w:hAnsi="Aptos"/>
              </w:rPr>
              <w:t xml:space="preserve">The </w:t>
            </w:r>
            <w:r>
              <w:rPr>
                <w:rFonts w:ascii="Aptos" w:hAnsi="Aptos"/>
              </w:rPr>
              <w:t>Part 3 Code of Practice expects practitioners to work with individuals and carers to build on strengths while remaining aware of risk, exploring options and agreeing strategies for managing them (Welsh Government, 201</w:t>
            </w:r>
            <w:r w:rsidR="009F5107">
              <w:rPr>
                <w:rFonts w:ascii="Aptos" w:hAnsi="Aptos"/>
              </w:rPr>
              <w:t>9a</w:t>
            </w:r>
            <w:r>
              <w:rPr>
                <w:rFonts w:ascii="Aptos" w:hAnsi="Aptos"/>
              </w:rPr>
              <w:t>)</w:t>
            </w:r>
            <w:r w:rsidR="009F5107">
              <w:rPr>
                <w:rFonts w:ascii="Aptos" w:hAnsi="Aptos"/>
              </w:rPr>
              <w:t xml:space="preserve">, yet an emphasis on risk has at times taken priority over individuals’ strengths and preferences. The </w:t>
            </w:r>
            <w:r w:rsidR="009F5107">
              <w:rPr>
                <w:rFonts w:ascii="Aptos" w:hAnsi="Aptos"/>
              </w:rPr>
              <w:lastRenderedPageBreak/>
              <w:t xml:space="preserve">significance of this is illuminated by Bates and Lymbery (2017), who argue that Western societies have become increasingly risk averse and blame focused, with practitioners fearing personal accountability for negative outcomes, weakening professional confidence and limiting opportunities for those we support. </w:t>
            </w:r>
            <w:r>
              <w:rPr>
                <w:rFonts w:ascii="Aptos" w:hAnsi="Aptos"/>
              </w:rPr>
              <w:t xml:space="preserve"> </w:t>
            </w:r>
            <w:r w:rsidR="009F5107">
              <w:rPr>
                <w:rFonts w:ascii="Aptos" w:hAnsi="Aptos"/>
              </w:rPr>
              <w:t>Taylor and Whittaker (2018) similarly suggest that high pressure environments with strong managerial oversight can push practitioners towards defensive practice. I recognise these influences in my own work, and that they may reduce the quality of my assessments and conflict with the voice and control pro</w:t>
            </w:r>
            <w:r w:rsidR="00CA1841">
              <w:rPr>
                <w:rFonts w:ascii="Aptos" w:hAnsi="Aptos"/>
              </w:rPr>
              <w:t>moted</w:t>
            </w:r>
            <w:r w:rsidR="009F5107">
              <w:rPr>
                <w:rFonts w:ascii="Aptos" w:hAnsi="Aptos"/>
              </w:rPr>
              <w:t xml:space="preserve"> by the Social Services and Well-being (Wales) Act 2014 (SSW(W)A 2014). Supervision has helped me to begin identifying these patterns, and reflective supervision supports better decision making by creating space to explore emotion, uncertainty and professional reasoning (Taylor and Whittaker, 2018). As agreed in supervision, over the next 12 months I will use supervision more actively to reflect on my assessments and observe experienced colleagues to learn how they balance risk with individual</w:t>
            </w:r>
            <w:r w:rsidR="00CA1841">
              <w:rPr>
                <w:rFonts w:ascii="Aptos" w:hAnsi="Aptos"/>
              </w:rPr>
              <w:t>s</w:t>
            </w:r>
            <w:r w:rsidR="009F5107">
              <w:rPr>
                <w:rFonts w:ascii="Aptos" w:hAnsi="Aptos"/>
              </w:rPr>
              <w:t xml:space="preserve"> wishes. </w:t>
            </w:r>
          </w:p>
          <w:p w14:paraId="30EF4CE3" w14:textId="77777777" w:rsidR="009F5107" w:rsidRDefault="009F5107" w:rsidP="002D6B34">
            <w:pPr>
              <w:jc w:val="both"/>
              <w:rPr>
                <w:rFonts w:ascii="Aptos" w:hAnsi="Aptos"/>
              </w:rPr>
            </w:pPr>
          </w:p>
          <w:p w14:paraId="3A095FE8" w14:textId="28402501" w:rsidR="009F5107" w:rsidRDefault="001909DE" w:rsidP="002D6B34">
            <w:pPr>
              <w:jc w:val="both"/>
              <w:rPr>
                <w:rFonts w:ascii="Aptos" w:hAnsi="Aptos"/>
              </w:rPr>
            </w:pPr>
            <w:r>
              <w:rPr>
                <w:rFonts w:ascii="Aptos" w:hAnsi="Aptos"/>
              </w:rPr>
              <w:t xml:space="preserve">My role </w:t>
            </w:r>
            <w:r w:rsidR="009F5107">
              <w:rPr>
                <w:rFonts w:ascii="Aptos" w:hAnsi="Aptos"/>
              </w:rPr>
              <w:t>as a hospital social worker involves close work with nurses, occupational therapists and discharge coordinators</w:t>
            </w:r>
            <w:r w:rsidR="00EF33B1">
              <w:rPr>
                <w:rFonts w:ascii="Aptos" w:hAnsi="Aptos"/>
              </w:rPr>
              <w:t>,</w:t>
            </w:r>
            <w:r>
              <w:rPr>
                <w:rFonts w:ascii="Aptos" w:hAnsi="Aptos"/>
              </w:rPr>
              <w:t xml:space="preserve"> so building relationships with health colleagues was the focus of my learning need for collaborative working</w:t>
            </w:r>
            <w:r w:rsidR="009F5107">
              <w:rPr>
                <w:rFonts w:ascii="Aptos" w:hAnsi="Aptos"/>
              </w:rPr>
              <w:t>. I have observed that health colleagues tend to prioritise clinical risk and efficient discharge, while social work takes a more person-centred approach, which creates challenges when the wishes of individuals or families differ from the health team’s preferred outcome. Considering the significan</w:t>
            </w:r>
            <w:r w:rsidR="00CA1841">
              <w:rPr>
                <w:rFonts w:ascii="Aptos" w:hAnsi="Aptos"/>
              </w:rPr>
              <w:t>ce</w:t>
            </w:r>
            <w:r w:rsidR="009F5107">
              <w:rPr>
                <w:rFonts w:ascii="Aptos" w:hAnsi="Aptos"/>
              </w:rPr>
              <w:t xml:space="preserve"> of this, Bennett (2026) highlights a gap between the ideal of interprofessional collaboration and the reality of practice</w:t>
            </w:r>
            <w:r w:rsidR="0052265F">
              <w:rPr>
                <w:rFonts w:ascii="Aptos" w:hAnsi="Aptos"/>
              </w:rPr>
              <w:t xml:space="preserve">, arguing that power imbalances and organisational structures often privilege medical perspectives, leaving social workers with limited autonomy and needing to justify their role. I recognise this tension in my own experience where advocating for a person-centred approach within multidisciplinary teams has not always been straightforward. Training in NHS </w:t>
            </w:r>
            <w:r w:rsidR="00CA1841">
              <w:rPr>
                <w:rFonts w:ascii="Aptos" w:hAnsi="Aptos"/>
              </w:rPr>
              <w:t xml:space="preserve">Continuing </w:t>
            </w:r>
            <w:r w:rsidR="0052265F">
              <w:rPr>
                <w:rFonts w:ascii="Aptos" w:hAnsi="Aptos"/>
              </w:rPr>
              <w:t xml:space="preserve">Healthcare (Welsh Government, 2022a) has begun to develop my understanding of where health and social care responsibilities meet. Building on this, my manager and I agreed in supervision that over the next 12 months I will focus on developing working relationships with health colleagues and she has provided documentation on health processes to help me understand the procedures they follow, supporting more informed and constructive collaboration. </w:t>
            </w:r>
          </w:p>
          <w:p w14:paraId="0A4A3AE0" w14:textId="77777777" w:rsidR="0052265F" w:rsidRDefault="0052265F" w:rsidP="002D6B34">
            <w:pPr>
              <w:jc w:val="both"/>
              <w:rPr>
                <w:rFonts w:ascii="Aptos" w:hAnsi="Aptos"/>
              </w:rPr>
            </w:pPr>
          </w:p>
          <w:p w14:paraId="0227A41C" w14:textId="41E74C1B" w:rsidR="0052265F" w:rsidRDefault="0052265F" w:rsidP="002D6B34">
            <w:pPr>
              <w:jc w:val="both"/>
              <w:rPr>
                <w:rFonts w:ascii="Aptos" w:hAnsi="Aptos"/>
              </w:rPr>
            </w:pPr>
            <w:r>
              <w:rPr>
                <w:rFonts w:ascii="Aptos" w:hAnsi="Aptos"/>
              </w:rPr>
              <w:t xml:space="preserve">In relation to professional judgement in complex situations, I have completed a number of capacity assessments under the Mental Capacity Act 2005 (MCA 2005), an area in which I have felt significant pressure to reach the correct decision. My practice here has also been shaped by risk focused thinking, with a tendency towards overprotection that prioritised safety over autonomy. This was highlighted in supervision, where my manager referred to Munby J’s judgement in Local Authority X v MM (2007), which emphasises that prioritising physical safety can come at too great a cost to a person’s happiness and emotional wellbeing, and that practice should support sensible risk taking rather than attempting to eliminate risk. Reflecting on its significance, this reinforced a question I had already been considering, which is the value of safety when it comes at the cost of a person’s happiness, and deepened my understanding of the </w:t>
            </w:r>
            <w:r w:rsidR="00B53792">
              <w:rPr>
                <w:rFonts w:ascii="Aptos" w:hAnsi="Aptos"/>
              </w:rPr>
              <w:t xml:space="preserve">principles of the MCA 2005 </w:t>
            </w:r>
            <w:r w:rsidR="003926DF">
              <w:rPr>
                <w:rFonts w:ascii="Aptos" w:hAnsi="Aptos"/>
              </w:rPr>
              <w:t xml:space="preserve">including the </w:t>
            </w:r>
            <w:r>
              <w:rPr>
                <w:rFonts w:ascii="Aptos" w:hAnsi="Aptos"/>
              </w:rPr>
              <w:t xml:space="preserve">presumption of capacity and the right to make unwise decisions. I acknowledge that my assessments have not always fully reflected these </w:t>
            </w:r>
            <w:r w:rsidR="008C2F6C">
              <w:rPr>
                <w:rFonts w:ascii="Aptos" w:hAnsi="Aptos"/>
              </w:rPr>
              <w:t>principles</w:t>
            </w:r>
            <w:r>
              <w:rPr>
                <w:rFonts w:ascii="Aptos" w:hAnsi="Aptos"/>
              </w:rPr>
              <w:t xml:space="preserve">, and that clearly documenting how individuals are supported to participate in decisions is essential to practice that is both lawful and person centred. To strengthen my confidence and competence in this area, my manager and I have agreed that I will attend an advanced Mental Capacity Act course when it becomes available. </w:t>
            </w:r>
          </w:p>
          <w:p w14:paraId="7E927D38" w14:textId="77777777" w:rsidR="0052265F" w:rsidRDefault="0052265F" w:rsidP="002D6B34">
            <w:pPr>
              <w:jc w:val="both"/>
              <w:rPr>
                <w:rFonts w:ascii="Aptos" w:hAnsi="Aptos"/>
              </w:rPr>
            </w:pPr>
          </w:p>
          <w:p w14:paraId="6E3544EA" w14:textId="2C152584" w:rsidR="004F0E93" w:rsidRPr="00CA1841" w:rsidRDefault="0052265F" w:rsidP="002D6B34">
            <w:pPr>
              <w:jc w:val="both"/>
              <w:rPr>
                <w:rFonts w:ascii="Aptos" w:hAnsi="Aptos"/>
              </w:rPr>
            </w:pPr>
            <w:r>
              <w:rPr>
                <w:rFonts w:ascii="Aptos" w:hAnsi="Aptos"/>
              </w:rPr>
              <w:lastRenderedPageBreak/>
              <w:t>Word count: 7</w:t>
            </w:r>
            <w:r w:rsidR="001909DE">
              <w:rPr>
                <w:rFonts w:ascii="Aptos" w:hAnsi="Aptos"/>
              </w:rPr>
              <w:t>3</w:t>
            </w:r>
            <w:r w:rsidR="00DD3C14">
              <w:rPr>
                <w:rFonts w:ascii="Aptos" w:hAnsi="Aptos"/>
              </w:rPr>
              <w:t>9</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494771E" w14:textId="77777777" w:rsidR="00A53548" w:rsidRDefault="00A53548" w:rsidP="002D6B34">
            <w:pPr>
              <w:jc w:val="both"/>
            </w:pPr>
          </w:p>
          <w:p w14:paraId="4E564538" w14:textId="77777777" w:rsidR="00A53548" w:rsidRDefault="00A53548" w:rsidP="002D6B34">
            <w:pPr>
              <w:jc w:val="both"/>
              <w:rPr>
                <w:rFonts w:ascii="Aptos" w:hAnsi="Aptos"/>
              </w:rPr>
            </w:pPr>
            <w:r>
              <w:rPr>
                <w:rFonts w:ascii="Aptos" w:hAnsi="Aptos"/>
              </w:rPr>
              <w:t>This section applies Driscoll’s reflective model (1994, cited in Greene, 2024) to evaluate the learning needs identified in Task 1, part a. For each learning outcome, the first stage outlines what I did, the second stage considers what these actions demonstrate about how well each learning need has been met using supervision and research to guide this analysis, and the final stage identifies the areas I need to continue developing as I work towards becoming an experienced practitioner.</w:t>
            </w:r>
          </w:p>
          <w:p w14:paraId="12DEEDAE" w14:textId="77777777" w:rsidR="00A53548" w:rsidRDefault="00A53548" w:rsidP="002D6B34">
            <w:pPr>
              <w:jc w:val="both"/>
              <w:rPr>
                <w:rFonts w:ascii="Aptos" w:hAnsi="Aptos"/>
              </w:rPr>
            </w:pPr>
          </w:p>
          <w:p w14:paraId="70F8C7BF" w14:textId="1282C005" w:rsidR="00A53548" w:rsidRDefault="00A53548" w:rsidP="002D6B34">
            <w:pPr>
              <w:jc w:val="both"/>
              <w:rPr>
                <w:rFonts w:ascii="Aptos" w:hAnsi="Aptos"/>
              </w:rPr>
            </w:pPr>
            <w:r>
              <w:rPr>
                <w:rFonts w:ascii="Aptos" w:hAnsi="Aptos"/>
              </w:rPr>
              <w:t xml:space="preserve">In relation to applying analysis in assessment, I identified a need to reduce defensive and risk focused practice. In supervision my supervisor and I deconstructed my assessments, exploring what led me to take particular actions, why I focused on certain issues and how my feelings influenced the outcome. Working alone within a hospital setting limited opportunities to shadow colleagues so I instead read assessments completed by other Social Workers and discussed them in supervision. Ingram (2013) argues that awareness of how emotions shape judgement is central to effective social work, and examining my emotional responses has helped me to recognise when anxiety rather than evidence was influencing my decisions. Knowing that my work would be examined in supervision and receiving constructive feedback has also strengthened my confidence. My supervisor is satisfied with my progress and has advised that the quality of my assessments and professional judgement warrants greater confidence in my practice. Shadowing remains outstanding, and I will seek opportunities to observe experienced practitioners to continue developing balanced, strength-based assessments. </w:t>
            </w:r>
          </w:p>
          <w:p w14:paraId="2AD0AABA" w14:textId="77777777" w:rsidR="00941652" w:rsidRDefault="00941652" w:rsidP="002D6B34">
            <w:pPr>
              <w:jc w:val="both"/>
              <w:rPr>
                <w:rFonts w:ascii="Aptos" w:hAnsi="Aptos"/>
              </w:rPr>
            </w:pPr>
          </w:p>
          <w:p w14:paraId="061CB82A" w14:textId="035507DF" w:rsidR="00941652" w:rsidRDefault="00941652" w:rsidP="002D6B34">
            <w:pPr>
              <w:jc w:val="both"/>
              <w:rPr>
                <w:rFonts w:ascii="Aptos" w:hAnsi="Aptos"/>
              </w:rPr>
            </w:pPr>
            <w:r>
              <w:rPr>
                <w:rFonts w:ascii="Aptos" w:hAnsi="Aptos"/>
              </w:rPr>
              <w:t>Collaborative working with health colleagues has developed considerably during this course. I studied the documentation on health processes provided by my manager which improved my understanding of the procedure</w:t>
            </w:r>
            <w:r w:rsidR="00187233">
              <w:rPr>
                <w:rFonts w:ascii="Aptos" w:hAnsi="Aptos"/>
              </w:rPr>
              <w:t>s</w:t>
            </w:r>
            <w:r>
              <w:rPr>
                <w:rFonts w:ascii="Aptos" w:hAnsi="Aptos"/>
              </w:rPr>
              <w:t xml:space="preserve"> health </w:t>
            </w:r>
            <w:r w:rsidR="00187233">
              <w:rPr>
                <w:rFonts w:ascii="Aptos" w:hAnsi="Aptos"/>
              </w:rPr>
              <w:t xml:space="preserve">colleagues </w:t>
            </w:r>
            <w:r>
              <w:rPr>
                <w:rFonts w:ascii="Aptos" w:hAnsi="Aptos"/>
              </w:rPr>
              <w:t xml:space="preserve">follow, and I attended a joint communication course with health </w:t>
            </w:r>
            <w:r w:rsidR="00187233">
              <w:rPr>
                <w:rFonts w:ascii="Aptos" w:hAnsi="Aptos"/>
              </w:rPr>
              <w:t>professionals</w:t>
            </w:r>
            <w:r>
              <w:rPr>
                <w:rFonts w:ascii="Aptos" w:hAnsi="Aptos"/>
              </w:rPr>
              <w:t xml:space="preserve">. The course focused on using open questions to encourage patients to talk freely, rather than allowing assessment documents to dictate which questions are asked and in what order. The premise was that a more natural conversation elicits richer information, which can then be shared between the professionals involved, sparing individuals from repeating their story. This is supported by White, Hall and Peckover (2009), who argue that standardised assessment tools can impose a “descriptive tyranny”, constraining what practitioners are able to capture about a person’s circumstances. Although their research concerns child welfare, the same risks arise with the structured documentation used in adult hospital settings, as the course demonstrated. I have since developed positive working relationships with hospital colleagues, and my supervisor has commended my progress indicating that this learning need has been largely achieved. Moving forward, my continued learning need is to develop how I work collaboratively in practice, applying the person led communication approach consistently in joint assessments, agreeing with health colleagues how information can be shared appropriately to avoid duplication, and building confidence in negotiating differing professional perspectives within multidisciplinary decision-making environments. </w:t>
            </w:r>
          </w:p>
          <w:p w14:paraId="6748F7A9" w14:textId="77777777" w:rsidR="00941652" w:rsidRDefault="00941652" w:rsidP="002D6B34">
            <w:pPr>
              <w:jc w:val="both"/>
              <w:rPr>
                <w:rFonts w:ascii="Aptos" w:hAnsi="Aptos"/>
              </w:rPr>
            </w:pPr>
          </w:p>
          <w:p w14:paraId="62C871A6" w14:textId="5207DF1C" w:rsidR="00941652" w:rsidRDefault="00941652" w:rsidP="002D6B34">
            <w:pPr>
              <w:jc w:val="both"/>
              <w:rPr>
                <w:rFonts w:ascii="Aptos" w:hAnsi="Aptos"/>
              </w:rPr>
            </w:pPr>
            <w:r>
              <w:rPr>
                <w:rFonts w:ascii="Aptos" w:hAnsi="Aptos"/>
              </w:rPr>
              <w:t xml:space="preserve">I have strengthened my professional judgement in complex situations by completing a wide range of capacity assessments over the past year and discussed many of them in supervision where I received focused guidance on how to record and justify my decisions. </w:t>
            </w:r>
            <w:r w:rsidR="0010291E">
              <w:rPr>
                <w:rFonts w:ascii="Aptos" w:hAnsi="Aptos"/>
              </w:rPr>
              <w:t>The Mental Capacity Act 2005 Code of Practice emphasises the importance of clearly recording how capacity has been assessed and how the person was supported to make the decision (Department for Constitutional Affairs, 2007), and this guidance has strengthen</w:t>
            </w:r>
            <w:r w:rsidR="00A723DE">
              <w:rPr>
                <w:rFonts w:ascii="Aptos" w:hAnsi="Aptos"/>
              </w:rPr>
              <w:t xml:space="preserve">ed my confidence in both the rigour of my records and the conclusions I reach. However, I have not yet completed the advanced Mental Capacity Act course, and this learning outcome has therefore been only partially achieved. Completing the course remains a priority and as I transition towards becoming an experienced practitioner I will continue to seek out complex capacity work to deepen my expertise in balancing autonomy and risk. </w:t>
            </w:r>
          </w:p>
          <w:p w14:paraId="0F7E67AD" w14:textId="77777777" w:rsidR="00A723DE" w:rsidRDefault="00A723DE" w:rsidP="002D6B34">
            <w:pPr>
              <w:jc w:val="both"/>
              <w:rPr>
                <w:rFonts w:ascii="Aptos" w:hAnsi="Aptos"/>
              </w:rPr>
            </w:pPr>
          </w:p>
          <w:p w14:paraId="07F1EEED" w14:textId="02A99B23" w:rsidR="00A723DE" w:rsidRDefault="00A723DE" w:rsidP="002D6B34">
            <w:pPr>
              <w:jc w:val="both"/>
              <w:rPr>
                <w:rFonts w:ascii="Aptos" w:hAnsi="Aptos"/>
              </w:rPr>
            </w:pPr>
            <w:r>
              <w:rPr>
                <w:rFonts w:ascii="Aptos" w:hAnsi="Aptos"/>
              </w:rPr>
              <w:t xml:space="preserve">Overall, my supervisor considers my learning needs largely achieved with the greatest progress in my confidence and collaborative practice. As I transition towards experienced practice, my </w:t>
            </w:r>
            <w:r w:rsidR="00187233">
              <w:rPr>
                <w:rFonts w:ascii="Aptos" w:hAnsi="Aptos"/>
              </w:rPr>
              <w:t>supervisor and I have agreed that my priorities are</w:t>
            </w:r>
            <w:r>
              <w:rPr>
                <w:rFonts w:ascii="Aptos" w:hAnsi="Aptos"/>
              </w:rPr>
              <w:t xml:space="preserve"> to complete the advanced Mental Capacity Act course, shadow experienced colleagues, and embed person led collaborative approaches supported throughout my reflective supervisions. </w:t>
            </w:r>
          </w:p>
          <w:p w14:paraId="45AF9B20" w14:textId="77777777" w:rsidR="00A53548" w:rsidRDefault="00A53548" w:rsidP="002D6B34">
            <w:pPr>
              <w:jc w:val="both"/>
              <w:rPr>
                <w:rFonts w:ascii="Aptos" w:hAnsi="Aptos"/>
              </w:rPr>
            </w:pPr>
          </w:p>
          <w:p w14:paraId="21EB162B" w14:textId="79E61843" w:rsidR="00A53548" w:rsidRPr="00A53548" w:rsidRDefault="00A53548" w:rsidP="002D6B34">
            <w:pPr>
              <w:jc w:val="both"/>
              <w:rPr>
                <w:rFonts w:ascii="Aptos" w:hAnsi="Aptos"/>
              </w:rPr>
            </w:pPr>
            <w:r>
              <w:rPr>
                <w:rFonts w:ascii="Aptos" w:hAnsi="Aptos"/>
              </w:rPr>
              <w:t xml:space="preserve"> </w:t>
            </w:r>
            <w:r w:rsidR="00941652">
              <w:rPr>
                <w:rFonts w:ascii="Aptos" w:hAnsi="Aptos"/>
              </w:rPr>
              <w:t xml:space="preserve">Word count: </w:t>
            </w:r>
            <w:r w:rsidR="00A723DE">
              <w:rPr>
                <w:rFonts w:ascii="Aptos" w:hAnsi="Aptos"/>
              </w:rPr>
              <w:t>674</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60E6AAEC" w:rsidR="00C0499C" w:rsidRDefault="00EE2641" w:rsidP="002D6B34">
            <w:pPr>
              <w:jc w:val="both"/>
              <w:rPr>
                <w:rFonts w:ascii="Aptos" w:hAnsi="Aptos"/>
                <w:iCs/>
              </w:rPr>
            </w:pPr>
            <w:r>
              <w:rPr>
                <w:rFonts w:ascii="Aptos" w:hAnsi="Aptos"/>
                <w:iCs/>
              </w:rPr>
              <w:t>The feedback I have received from the individuals I support has recognised my preparation, professionalism and capacity to build rapport. This has confirmed that taking time to prepare and develop trusting relationships helps people to express their views openly, strengthening my commitment to relationship-based practice. Feedback however has been brief</w:t>
            </w:r>
            <w:r w:rsidR="0018235A">
              <w:rPr>
                <w:rFonts w:ascii="Aptos" w:hAnsi="Aptos"/>
                <w:iCs/>
              </w:rPr>
              <w:t xml:space="preserve"> and positive,</w:t>
            </w:r>
            <w:r>
              <w:rPr>
                <w:rFonts w:ascii="Aptos" w:hAnsi="Aptos"/>
                <w:iCs/>
              </w:rPr>
              <w:t xml:space="preserve"> providing little insight into areas for improvement and demonstrating that the methods used to gather feedback need to be both accessible and meaningful. In future I will seek feedback more regularly, tailoring my approach to each person’s communication needs and draw on it within supervision to guide my ongoing professional judgement. </w:t>
            </w:r>
          </w:p>
          <w:p w14:paraId="71EBA244" w14:textId="77777777" w:rsidR="0018235A" w:rsidRDefault="0018235A" w:rsidP="002D6B34">
            <w:pPr>
              <w:jc w:val="both"/>
              <w:rPr>
                <w:rFonts w:ascii="Aptos" w:hAnsi="Aptos"/>
                <w:iCs/>
              </w:rPr>
            </w:pPr>
          </w:p>
          <w:p w14:paraId="26BAA1AC" w14:textId="5C96353E" w:rsidR="0018235A" w:rsidRPr="00EE2641" w:rsidRDefault="0018235A" w:rsidP="002D6B34">
            <w:pPr>
              <w:jc w:val="both"/>
              <w:rPr>
                <w:rFonts w:ascii="Aptos" w:hAnsi="Aptos"/>
                <w:iCs/>
              </w:rPr>
            </w:pPr>
            <w:r>
              <w:rPr>
                <w:rFonts w:ascii="Aptos" w:hAnsi="Aptos"/>
                <w:iCs/>
              </w:rPr>
              <w:t>Word count: 103</w:t>
            </w:r>
          </w:p>
          <w:p w14:paraId="65DA36BF" w14:textId="77777777" w:rsidR="00EE2641" w:rsidRPr="00C0499C" w:rsidRDefault="00EE2641"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8FF9F06" w14:textId="77777777" w:rsidR="009E58AB" w:rsidRDefault="009E58AB" w:rsidP="002D6B34">
            <w:pPr>
              <w:jc w:val="both"/>
              <w:rPr>
                <w:i/>
              </w:rPr>
            </w:pPr>
          </w:p>
          <w:p w14:paraId="1075AD17" w14:textId="44DB3F90" w:rsidR="009E58AB" w:rsidRPr="009E58AB" w:rsidRDefault="009E58AB" w:rsidP="002D6B34">
            <w:pPr>
              <w:jc w:val="both"/>
              <w:rPr>
                <w:rFonts w:ascii="Aptos" w:hAnsi="Aptos"/>
                <w:iCs/>
              </w:rPr>
            </w:pPr>
            <w:r>
              <w:rPr>
                <w:rFonts w:ascii="Aptos" w:hAnsi="Aptos"/>
                <w:iCs/>
              </w:rPr>
              <w:t>Total word count: 777</w:t>
            </w:r>
          </w:p>
          <w:p w14:paraId="70BA0C19" w14:textId="77777777" w:rsidR="00B930D3" w:rsidRPr="005E17F1" w:rsidRDefault="00B930D3" w:rsidP="002D6B34">
            <w:pPr>
              <w:jc w:val="both"/>
            </w:pPr>
          </w:p>
        </w:tc>
      </w:tr>
    </w:tbl>
    <w:p w14:paraId="3E5F404D" w14:textId="77777777" w:rsidR="004C6B33" w:rsidRDefault="004C6B33"/>
    <w:sectPr w:rsidR="004C6B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B3314"/>
    <w:rsid w:val="0010291E"/>
    <w:rsid w:val="00135101"/>
    <w:rsid w:val="0018235A"/>
    <w:rsid w:val="00187233"/>
    <w:rsid w:val="001909DE"/>
    <w:rsid w:val="00237B5B"/>
    <w:rsid w:val="003926DF"/>
    <w:rsid w:val="003E2053"/>
    <w:rsid w:val="004C6B33"/>
    <w:rsid w:val="004F0E93"/>
    <w:rsid w:val="0052265F"/>
    <w:rsid w:val="00541364"/>
    <w:rsid w:val="00653641"/>
    <w:rsid w:val="00787A04"/>
    <w:rsid w:val="007C6082"/>
    <w:rsid w:val="007F346B"/>
    <w:rsid w:val="008C2F6C"/>
    <w:rsid w:val="00941652"/>
    <w:rsid w:val="00943FDB"/>
    <w:rsid w:val="009A4CCD"/>
    <w:rsid w:val="009E58AB"/>
    <w:rsid w:val="009F21E6"/>
    <w:rsid w:val="009F5107"/>
    <w:rsid w:val="00A53548"/>
    <w:rsid w:val="00A723DE"/>
    <w:rsid w:val="00A73D0B"/>
    <w:rsid w:val="00AB232D"/>
    <w:rsid w:val="00AE70D7"/>
    <w:rsid w:val="00B53792"/>
    <w:rsid w:val="00B930D3"/>
    <w:rsid w:val="00BD4196"/>
    <w:rsid w:val="00C0499C"/>
    <w:rsid w:val="00C243FA"/>
    <w:rsid w:val="00C37B5A"/>
    <w:rsid w:val="00C67273"/>
    <w:rsid w:val="00C86002"/>
    <w:rsid w:val="00CA1841"/>
    <w:rsid w:val="00CB2131"/>
    <w:rsid w:val="00D0141E"/>
    <w:rsid w:val="00D27A91"/>
    <w:rsid w:val="00D60797"/>
    <w:rsid w:val="00DC3220"/>
    <w:rsid w:val="00DD3C14"/>
    <w:rsid w:val="00DF2A2E"/>
    <w:rsid w:val="00DF781B"/>
    <w:rsid w:val="00E5092E"/>
    <w:rsid w:val="00EE2641"/>
    <w:rsid w:val="00EF33B1"/>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6</Pages>
  <Words>2053</Words>
  <Characters>11667</Characters>
  <Application>Microsoft Office Word</Application>
  <DocSecurity>0</DocSecurity>
  <Lines>238</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Jonathan White</cp:lastModifiedBy>
  <cp:revision>21</cp:revision>
  <cp:lastPrinted>2023-02-14T11:26:00Z</cp:lastPrinted>
  <dcterms:created xsi:type="dcterms:W3CDTF">2023-02-14T11:29:00Z</dcterms:created>
  <dcterms:modified xsi:type="dcterms:W3CDTF">2026-10-05T21:29:00Z</dcterms:modified>
</cp:coreProperties>
</file>