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498254"/>
        <w:docPartObj>
          <w:docPartGallery w:val="Cover Pages"/>
          <w:docPartUnique/>
        </w:docPartObj>
      </w:sdtPr>
      <w:sdtContent>
        <w:p w14:paraId="64336F2F" w14:textId="427913A0" w:rsidR="00403234" w:rsidRDefault="000E5193">
          <w:r w:rsidRPr="00E0241C">
            <w:rPr>
              <w:rFonts w:ascii="Arial" w:hAnsi="Arial" w:cs="Arial"/>
              <w:noProof/>
              <w:sz w:val="22"/>
              <w:szCs w:val="22"/>
            </w:rPr>
            <mc:AlternateContent>
              <mc:Choice Requires="wps">
                <w:drawing>
                  <wp:anchor distT="0" distB="0" distL="114300" distR="114300" simplePos="0" relativeHeight="251658240" behindDoc="1" locked="0" layoutInCell="1" allowOverlap="1" wp14:anchorId="76BB38E1" wp14:editId="02B4586E">
                    <wp:simplePos x="0" y="0"/>
                    <wp:positionH relativeFrom="page">
                      <wp:posOffset>0</wp:posOffset>
                    </wp:positionH>
                    <wp:positionV relativeFrom="page">
                      <wp:posOffset>-1</wp:posOffset>
                    </wp:positionV>
                    <wp:extent cx="7558405" cy="10688955"/>
                    <wp:effectExtent l="0" t="0" r="0" b="4445"/>
                    <wp:wrapNone/>
                    <wp:docPr id="464" name="Rectangle 464" title="Color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558405" cy="10688955"/>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24238358" id="Rectangle 464" o:spid="_x0000_s1026" alt="Title: Color background" style="position:absolute;margin-left:0;margin-top:0;width:595.15pt;height:84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doRIgIAACwEAAAOAAAAZHJzL2Uyb0RvYy54bWysU01vGjEQvVfqf7B8LwsICFmxRBVRqko0&#10;jUKqngevl13F63HHhoX++o7NR2l6q3qxPB9+nvf8PLvbt0bsNPkGbSEHvb4U2iosG7sp5LeXhw9T&#10;KXwAW4JBqwt50F7ezd+/m3Uu10Os0ZSaBINYn3eukHUILs8yr2rdgu+h05aLFVILgUPaZCVBx+it&#10;yYb9/iTrkEpHqLT3nL0/FuU84VeVVuFrVXkdhCkkzxbSSmldxzWbzyDfELi6Uacx4B+maKGxfOkF&#10;6h4CiC01f0G1jSL0WIWewjbDqmqUThyYzaD/hs2qBqcTFxbHu4tM/v/BqsfdE4mmLORoMpLCQsuP&#10;9Myygd0YLVIyNMFwdoEGSaxBvW4It7aM2nXO5wyxck8U2Xu3RPXqhcVFzQD6IxF2tYaSJx7E/uyP&#10;AzHwfFSsuy9Y8hWwDZhk3FfURkAWSOzTax0ur6X3QShO3ozH01F/LIXi2qA/mU5vx+N0CeTn8458&#10;+KSxFXFTSGJiCR92Sx/iPJCfW9L8aJryoTEmBdGDemFI7IDds94MT+D+usvY2GsxnjoCxkziGakd&#10;JVpjeWCa/E94iBrppxQde66Q/scWSEthPluW6HYwGkWTpmA0vhlyQNeV9XXFblt+kiisAKsYtZDh&#10;vF2Eo8fZZA7C0q6cio1x1Mj3Zf8dyJ1ECSzoI569BvkbbY69J0pHIqeALZkUPH2f6PnrOHX9/uTz&#10;XwAAAP//AwBQSwMEFAAGAAgAAAAhAH3LA2zhAAAADAEAAA8AAABkcnMvZG93bnJldi54bWxMj09L&#10;w0AQxe+C32EZwZvdrZFS02yK+OciVEgt1uMmmSbB3dmQ3bbpt3fai14eMzzmzftly9FZccAhdJ40&#10;TCcKBFLl644aDZvPt7s5iBAN1cZ6Qg0nDLDMr68yk9b+SAUe1rERHEIhNRraGPtUylC16EyY+B6J&#10;vZ0fnIm8Do2sB3PkcGflvVIz6UxH/KE1PT63WP2s906DH1ebj+JblV+7lYwP9n37Wpy2Wt/ejC8L&#10;lqcFiIhj/LuAMwP3h5yLlX5PdRBWA9PEi5696aNKQJQ8zeZJAjLP5H+I/BcAAP//AwBQSwECLQAU&#10;AAYACAAAACEAtoM4kv4AAADhAQAAEwAAAAAAAAAAAAAAAAAAAAAAW0NvbnRlbnRfVHlwZXNdLnht&#10;bFBLAQItABQABgAIAAAAIQA4/SH/1gAAAJQBAAALAAAAAAAAAAAAAAAAAC8BAABfcmVscy8ucmVs&#10;c1BLAQItABQABgAIAAAAIQDJwdoRIgIAACwEAAAOAAAAAAAAAAAAAAAAAC4CAABkcnMvZTJvRG9j&#10;LnhtbFBLAQItABQABgAIAAAAIQB9ywNs4QAAAAwBAAAPAAAAAAAAAAAAAAAAAHwEAABkcnMvZG93&#10;bnJldi54bWxQSwUGAAAAAAQABADzAAAAigUAAAAA&#10;" fillcolor="#e7e6e6 [3214]" stroked="f">
                    <w10:wrap anchorx="page" anchory="page"/>
                  </v:rect>
                </w:pict>
              </mc:Fallback>
            </mc:AlternateContent>
          </w:r>
          <w:r w:rsidR="006A5D8F">
            <w:rPr>
              <w:noProof/>
            </w:rPr>
            <mc:AlternateContent>
              <mc:Choice Requires="wpg">
                <w:drawing>
                  <wp:anchor distT="0" distB="0" distL="114300" distR="114300" simplePos="0" relativeHeight="251658241" behindDoc="0" locked="0" layoutInCell="1" allowOverlap="1" wp14:anchorId="3922BA26" wp14:editId="21382BA9">
                    <wp:simplePos x="0" y="0"/>
                    <wp:positionH relativeFrom="page">
                      <wp:align>left</wp:align>
                    </wp:positionH>
                    <wp:positionV relativeFrom="page">
                      <wp:align>top</wp:align>
                    </wp:positionV>
                    <wp:extent cx="6438900" cy="4867275"/>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438900" cy="4867275"/>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4B45776" w14:textId="2CB2B727" w:rsidR="00B124F4" w:rsidRPr="00B009E8" w:rsidRDefault="00B124F4" w:rsidP="006A5D8F">
                                      <w:pPr>
                                        <w:pStyle w:val="NoSpacing"/>
                                        <w:spacing w:after="240" w:line="360" w:lineRule="auto"/>
                                        <w:rPr>
                                          <w:rFonts w:ascii="Arial" w:hAnsi="Arial" w:cs="Arial"/>
                                          <w:color w:val="44546A" w:themeColor="text2"/>
                                          <w:spacing w:val="10"/>
                                          <w:sz w:val="36"/>
                                          <w:szCs w:val="36"/>
                                        </w:rPr>
                                      </w:pPr>
                                      <w:r w:rsidRPr="00B009E8">
                                        <w:rPr>
                                          <w:rFonts w:ascii="Arial" w:hAnsi="Arial" w:cs="Arial"/>
                                          <w:color w:val="44546A" w:themeColor="text2"/>
                                          <w:spacing w:val="10"/>
                                          <w:sz w:val="36"/>
                                          <w:szCs w:val="36"/>
                                        </w:rPr>
                                        <w:t>Applying Psy</w:t>
                                      </w:r>
                                      <w:r>
                                        <w:rPr>
                                          <w:rFonts w:ascii="Arial" w:hAnsi="Arial" w:cs="Arial"/>
                                          <w:color w:val="44546A" w:themeColor="text2"/>
                                          <w:spacing w:val="10"/>
                                          <w:sz w:val="36"/>
                                          <w:szCs w:val="36"/>
                                        </w:rPr>
                                        <w:t>chological perspectives in Health and Social Care (BMHP4003) Assessment 2</w:t>
                                      </w:r>
                                    </w:p>
                                  </w:sdtContent>
                                </w:sdt>
                                <w:sdt>
                                  <w:sdtPr>
                                    <w:rPr>
                                      <w:rFonts w:ascii="Arial" w:hAnsi="Arial" w:cs="Arial"/>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58C4460" w14:textId="1DD707CE" w:rsidR="00B124F4" w:rsidRDefault="00B124F4" w:rsidP="006A5D8F">
                                      <w:pPr>
                                        <w:pStyle w:val="NoSpacing"/>
                                        <w:spacing w:line="360" w:lineRule="auto"/>
                                        <w:jc w:val="center"/>
                                        <w:rPr>
                                          <w:rFonts w:asciiTheme="majorHAnsi" w:hAnsiTheme="majorHAnsi"/>
                                          <w:caps/>
                                          <w:color w:val="44546A" w:themeColor="text2"/>
                                          <w:sz w:val="96"/>
                                          <w:szCs w:val="96"/>
                                        </w:rPr>
                                      </w:pPr>
                                      <w:r>
                                        <w:rPr>
                                          <w:rFonts w:ascii="Arial" w:hAnsi="Arial" w:cs="Arial"/>
                                          <w:caps/>
                                          <w:color w:val="44546A" w:themeColor="text2"/>
                                          <w:sz w:val="96"/>
                                          <w:szCs w:val="96"/>
                                        </w:rPr>
                                        <w:t xml:space="preserve">supporting </w:t>
                                      </w:r>
                                      <w:r w:rsidRPr="004E40CF">
                                        <w:rPr>
                                          <w:rFonts w:ascii="Arial" w:hAnsi="Arial" w:cs="Arial"/>
                                          <w:caps/>
                                          <w:color w:val="44546A" w:themeColor="text2"/>
                                          <w:sz w:val="96"/>
                                          <w:szCs w:val="96"/>
                                        </w:rPr>
                                        <w:t>old people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22BA26" id="Group 459" o:spid="_x0000_s1026" alt="Title: Title and subtitle with crop mark graphic" style="position:absolute;margin-left:0;margin-top:0;width:507pt;height:383.25pt;z-index:251658241;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r+wdgUAABwSAAAOAAAAZHJzL2Uyb0RvYy54bWzMWF1v2zYUfR+w/0DoccBqSZZlx6hTZOlS&#10;DMjaovXQZ1qWbKGSqJF07PTX71x+yIpTpV7XFsuDRZGHV7z3nvvBPH9xqCt2l0tVimYRRM/CgOVN&#10;JtZls1kEfy1vfp0FTGnerHklmnwR3OcqeHH580/P9+08j8VWVOtcMghp1HzfLoKt1u18NFLZNq+5&#10;eibavMFiIWTNNV7lZrSWfA/pdTWKwzAd7YVct1JkuVKYfWkXg0sjvyjyTL8pCpVrVi0CnE2bX2l+&#10;V/Q7unzO5xvJ222ZuWPwrzhFzcsGH+1EveSas50sH4mqy0wKJQr9LBP1SBRFmeVGB2gThSfavJJi&#10;1xpdNvP9pu3MBNOe2OmrxWav795KVq4XQTK5CFjDazjJfJeZCV3qCjNLejC4kandysyxfam3DMq0&#10;rObyI3M2JIPu280ccl/J9n37VrqJjX0jGx0KWdMT2rODccV954r8oFmGyTQZzy5CeCzDWjJLp/F0&#10;Yp2VbeHRR/uy7e9+53gWTSdu5zgJo0k6o50j/+ERna87TvfSndvbI4WMB/agCWeP6++ld5wmcRql&#10;Vu/e6fn8S3oP7RzUGwGnjpxS/41T77e8zQ1VFfm+s2HkbXgj85zCmCVpZEligMQQ4oJqb0X2UZGf&#10;9m1vhV4UMGy1/1OswUS+08JE2gmLJmEyiycBA13cELL43PMpjsbj1PMpBp9CgPusgIF3Sr/KhaEm&#10;v7tV2gjYrDEiSZu1Y8MSNCjqCmnilxGL0hnbs2icJJadRxQ0P6JmYcq2LMLjFBb3YOGAqHEPQzIG&#10;RCU92JAoWKg7VTggB+zrMKTZwKmmPdiQKGT/c0Qh8xxh6WTgXNGZhn9g+WFpfcs/4cYnjI/Q6ujB&#10;t54x2aFxlMEIORPZOjSMbYWivEX8AUuXJgwgAiji1wAYpyTw2JH1aTAYQGDP7KfBcDOBp2dJhiMJ&#10;fHEWmBxF6Og8FSOnY/RASWsZZ0mJQn5awmXAUMJXNqBarskBZEgasj2aEQpKtsWAwo5WanGXL4XB&#10;aPIEvG4O6uMSnzxCqqYPtRr1gH7ZP1sj0cJMWwFhfs0/LcaeC/Y5Exal3p9ejn86eV6Lc3EuC/UO&#10;mFVC5TYbkvVMsewsSo7opUYlqnJ9U1YV2dH0afl1JdkdR4elD7EjyANUZQjeCNplv0IzJtFTbqfK&#10;q+Yrsb5HnkcviSZtK+SngO3Rly0C9feOyzxg1R8NitRFlCSwsjYvyWQa40X2V1b9lWZXXwscDCmB&#10;Nxmk4ox+eK1tH4hGDLreNu/bjICGHlLp5eEDly1rMcQm1JHXwhc5Pvf1AbYhgMU6lawi7gUl1qr3&#10;A2otwsj2K+8QLcg76NiS1DikV1Jhf19TSdOTKtrjb692DvQkUN5vJyNQ7XTmonA1hjyxky+vHRUo&#10;RugY3YQh5SNuKH1f5YSrmnd5gXYVwRubD5wQkGdZ3mjrRLXl69zychLizzOTrhZEWXzFCSTJBbjZ&#10;yXYCPNIK8bItgx2etubmntFttsl+4GB2c7fDfFk0uttcl42Qn9OsglbuyxbvjWRN04sgKewtR7XZ&#10;TQm/3HKl33KJfgXepfB6g5+iEkiRyIdmhDSJgPvc/HcLR5zORCaFr678sJCi/oAb3RUlASz5oM00&#10;sr198WGLZjLLr64M7BuGMHHxCj1mUVL/Z3LU44A+XiF+WHCjDbHBvaSW9jdxQGxjbvB+RmTphT3T&#10;B+yh/ObmbeI9RrC7jE2n0cS10dMUF2x3Q/Zt9CSNwpjW6VoWT5CMx744fYtUQGU7HePyRnHxhZyg&#10;D6uD08WVjh9KfFN6wNBeISIqm+KDga1CGPQq0L+j/Op/R3j8C8LkTHfVp/9x9N9NtBz/qXP5DwAA&#10;AP//AwBQSwMEFAAGAAgAAAAhAEXPC1vdAAAABgEAAA8AAABkcnMvZG93bnJldi54bWxMj81qwzAQ&#10;hO+FvoPYQm+N7KZxi2s5hJD2FAr5gdLbxtrYJtbKWIrtvH2VXprLwDDLzLfZfDSN6KlztWUF8SQC&#10;QVxYXXOpYL/7eHoD4TyyxsYyKbiQg3l+f5dhqu3AG+q3vhShhF2KCirv21RKV1Rk0E1sSxyyo+0M&#10;+mC7UuoOh1BuGvkcRYk0WHNYqLClZUXFaXs2Cj4HHBbTeNWvT8fl5Wc3+/pex6TU48O4eAfhafT/&#10;x3DFD+iQB6aDPbN2olEQHvF/es2i+CX4g4LXJJmBzDN5i5//AgAA//8DAFBLAQItABQABgAIAAAA&#10;IQC2gziS/gAAAOEBAAATAAAAAAAAAAAAAAAAAAAAAABbQ29udGVudF9UeXBlc10ueG1sUEsBAi0A&#10;FAAGAAgAAAAhADj9If/WAAAAlAEAAAsAAAAAAAAAAAAAAAAALwEAAF9yZWxzLy5yZWxzUEsBAi0A&#10;FAAGAAgAAAAhAMLav7B2BQAAHBIAAA4AAAAAAAAAAAAAAAAALgIAAGRycy9lMm9Eb2MueG1sUEsB&#10;Ai0AFAAGAAgAAAAhAEXPC1vdAAAABgEAAA8AAAAAAAAAAAAAAAAA0AcAAGRycy9kb3ducmV2Lnht&#10;bFBLBQYAAAAABAAEAPMAAADaC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Arial" w:hAnsi="Arial" w:cs="Arial"/>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74B45776" w14:textId="2CB2B727" w:rsidR="00B124F4" w:rsidRPr="00B009E8" w:rsidRDefault="00B124F4" w:rsidP="006A5D8F">
                                <w:pPr>
                                  <w:pStyle w:val="NoSpacing"/>
                                  <w:spacing w:after="240" w:line="360" w:lineRule="auto"/>
                                  <w:rPr>
                                    <w:rFonts w:ascii="Arial" w:hAnsi="Arial" w:cs="Arial"/>
                                    <w:color w:val="44546A" w:themeColor="text2"/>
                                    <w:spacing w:val="10"/>
                                    <w:sz w:val="36"/>
                                    <w:szCs w:val="36"/>
                                  </w:rPr>
                                </w:pPr>
                                <w:r w:rsidRPr="00B009E8">
                                  <w:rPr>
                                    <w:rFonts w:ascii="Arial" w:hAnsi="Arial" w:cs="Arial"/>
                                    <w:color w:val="44546A" w:themeColor="text2"/>
                                    <w:spacing w:val="10"/>
                                    <w:sz w:val="36"/>
                                    <w:szCs w:val="36"/>
                                  </w:rPr>
                                  <w:t>Applying Psy</w:t>
                                </w:r>
                                <w:r>
                                  <w:rPr>
                                    <w:rFonts w:ascii="Arial" w:hAnsi="Arial" w:cs="Arial"/>
                                    <w:color w:val="44546A" w:themeColor="text2"/>
                                    <w:spacing w:val="10"/>
                                    <w:sz w:val="36"/>
                                    <w:szCs w:val="36"/>
                                  </w:rPr>
                                  <w:t>chological perspectives in Health and Social Care (BMHP4003) Assessment 2</w:t>
                                </w:r>
                              </w:p>
                            </w:sdtContent>
                          </w:sdt>
                          <w:sdt>
                            <w:sdtPr>
                              <w:rPr>
                                <w:rFonts w:ascii="Arial" w:hAnsi="Arial" w:cs="Arial"/>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58C4460" w14:textId="1DD707CE" w:rsidR="00B124F4" w:rsidRDefault="00B124F4" w:rsidP="006A5D8F">
                                <w:pPr>
                                  <w:pStyle w:val="NoSpacing"/>
                                  <w:spacing w:line="360" w:lineRule="auto"/>
                                  <w:jc w:val="center"/>
                                  <w:rPr>
                                    <w:rFonts w:asciiTheme="majorHAnsi" w:hAnsiTheme="majorHAnsi"/>
                                    <w:caps/>
                                    <w:color w:val="44546A" w:themeColor="text2"/>
                                    <w:sz w:val="96"/>
                                    <w:szCs w:val="96"/>
                                  </w:rPr>
                                </w:pPr>
                                <w:r>
                                  <w:rPr>
                                    <w:rFonts w:ascii="Arial" w:hAnsi="Arial" w:cs="Arial"/>
                                    <w:caps/>
                                    <w:color w:val="44546A" w:themeColor="text2"/>
                                    <w:sz w:val="96"/>
                                    <w:szCs w:val="96"/>
                                  </w:rPr>
                                  <w:t xml:space="preserve">supporting </w:t>
                                </w:r>
                                <w:r w:rsidRPr="004E40CF">
                                  <w:rPr>
                                    <w:rFonts w:ascii="Arial" w:hAnsi="Arial" w:cs="Arial"/>
                                    <w:caps/>
                                    <w:color w:val="44546A" w:themeColor="text2"/>
                                    <w:sz w:val="96"/>
                                    <w:szCs w:val="96"/>
                                  </w:rPr>
                                  <w:t>old people</w:t>
                                </w:r>
                              </w:p>
                            </w:sdtContent>
                          </w:sdt>
                        </w:txbxContent>
                      </v:textbox>
                    </v:shape>
                    <w10:wrap anchorx="page" anchory="page"/>
                  </v:group>
                </w:pict>
              </mc:Fallback>
            </mc:AlternateContent>
          </w:r>
          <w:r w:rsidR="00403234">
            <w:rPr>
              <w:noProof/>
            </w:rPr>
            <mc:AlternateContent>
              <mc:Choice Requires="wpg">
                <w:drawing>
                  <wp:anchor distT="0" distB="0" distL="114300" distR="114300" simplePos="0" relativeHeight="251658242" behindDoc="0" locked="0" layoutInCell="1" allowOverlap="1" wp14:anchorId="243D586F" wp14:editId="40DC009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EF5A540" w14:textId="66CA223A" w:rsidR="00B124F4" w:rsidRPr="0044563A" w:rsidRDefault="00B124F4">
                                      <w:pPr>
                                        <w:pStyle w:val="NoSpacing"/>
                                        <w:spacing w:after="240"/>
                                        <w:jc w:val="right"/>
                                        <w:rPr>
                                          <w:rFonts w:ascii="Arial" w:hAnsi="Arial" w:cs="Arial"/>
                                          <w:color w:val="44546A" w:themeColor="text2"/>
                                          <w:spacing w:val="10"/>
                                          <w:sz w:val="36"/>
                                          <w:szCs w:val="36"/>
                                        </w:rPr>
                                      </w:pPr>
                                      <w:r w:rsidRPr="0044563A">
                                        <w:rPr>
                                          <w:rFonts w:ascii="Arial" w:hAnsi="Arial" w:cs="Arial"/>
                                          <w:color w:val="44546A" w:themeColor="text2"/>
                                          <w:spacing w:val="10"/>
                                          <w:sz w:val="36"/>
                                          <w:szCs w:val="36"/>
                                        </w:rPr>
                                        <w:t>Maryam Malik (1919971)</w:t>
                                      </w:r>
                                    </w:p>
                                  </w:sdtContent>
                                </w:sdt>
                                <w:p w14:paraId="30D181EF" w14:textId="6CF4BF1E" w:rsidR="00B124F4" w:rsidRDefault="00F9291A">
                                  <w:pPr>
                                    <w:pStyle w:val="NoSpacing"/>
                                    <w:jc w:val="right"/>
                                    <w:rPr>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124F4" w:rsidRPr="0044563A">
                                        <w:rPr>
                                          <w:rFonts w:ascii="Arial" w:hAnsi="Arial" w:cs="Arial"/>
                                          <w:color w:val="44546A" w:themeColor="text2"/>
                                          <w:spacing w:val="10"/>
                                          <w:sz w:val="28"/>
                                          <w:szCs w:val="28"/>
                                        </w:rPr>
                                        <w:t>Adesewa Ajayi (Lecturer)</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3D586F" id="Group 454" o:spid="_x0000_s1031"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EF5A540" w14:textId="66CA223A" w:rsidR="00B124F4" w:rsidRPr="0044563A" w:rsidRDefault="00B124F4">
                                <w:pPr>
                                  <w:pStyle w:val="NoSpacing"/>
                                  <w:spacing w:after="240"/>
                                  <w:jc w:val="right"/>
                                  <w:rPr>
                                    <w:rFonts w:ascii="Arial" w:hAnsi="Arial" w:cs="Arial"/>
                                    <w:color w:val="44546A" w:themeColor="text2"/>
                                    <w:spacing w:val="10"/>
                                    <w:sz w:val="36"/>
                                    <w:szCs w:val="36"/>
                                  </w:rPr>
                                </w:pPr>
                                <w:r w:rsidRPr="0044563A">
                                  <w:rPr>
                                    <w:rFonts w:ascii="Arial" w:hAnsi="Arial" w:cs="Arial"/>
                                    <w:color w:val="44546A" w:themeColor="text2"/>
                                    <w:spacing w:val="10"/>
                                    <w:sz w:val="36"/>
                                    <w:szCs w:val="36"/>
                                  </w:rPr>
                                  <w:t>Maryam Malik (1919971)</w:t>
                                </w:r>
                              </w:p>
                            </w:sdtContent>
                          </w:sdt>
                          <w:p w14:paraId="30D181EF" w14:textId="6CF4BF1E" w:rsidR="00B124F4" w:rsidRDefault="00F9291A">
                            <w:pPr>
                              <w:pStyle w:val="NoSpacing"/>
                              <w:jc w:val="right"/>
                              <w:rPr>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124F4" w:rsidRPr="0044563A">
                                  <w:rPr>
                                    <w:rFonts w:ascii="Arial" w:hAnsi="Arial" w:cs="Arial"/>
                                    <w:color w:val="44546A" w:themeColor="text2"/>
                                    <w:spacing w:val="10"/>
                                    <w:sz w:val="28"/>
                                    <w:szCs w:val="28"/>
                                  </w:rPr>
                                  <w:t>Adesewa Ajayi (Lecturer)</w:t>
                                </w:r>
                              </w:sdtContent>
                            </w:sdt>
                          </w:p>
                        </w:txbxContent>
                      </v:textbox>
                    </v:shape>
                    <w10:wrap anchorx="page" anchory="page"/>
                  </v:group>
                </w:pict>
              </mc:Fallback>
            </mc:AlternateContent>
          </w:r>
        </w:p>
        <w:p w14:paraId="5E6DAE74" w14:textId="738FF2D8" w:rsidR="00403234" w:rsidRDefault="00403234">
          <w:r>
            <w:br w:type="page"/>
          </w:r>
        </w:p>
      </w:sdtContent>
    </w:sdt>
    <w:p w14:paraId="1D2442A0" w14:textId="77777777" w:rsidR="00F24563" w:rsidRDefault="00F24563">
      <w:pPr>
        <w:spacing w:line="360" w:lineRule="auto"/>
        <w:divId w:val="482358212"/>
        <w:rPr>
          <w:rFonts w:ascii="Arial" w:hAnsi="Arial" w:cs="Arial"/>
          <w:b/>
          <w:bCs/>
          <w:sz w:val="28"/>
          <w:szCs w:val="28"/>
        </w:rPr>
      </w:pPr>
      <w:r>
        <w:rPr>
          <w:rFonts w:ascii="Arial" w:hAnsi="Arial" w:cs="Arial"/>
          <w:b/>
          <w:bCs/>
          <w:sz w:val="28"/>
          <w:szCs w:val="28"/>
        </w:rPr>
        <w:t>Content</w:t>
      </w:r>
    </w:p>
    <w:p w14:paraId="131CC4E7" w14:textId="44512FC5" w:rsidR="00F24563" w:rsidRDefault="00F24563">
      <w:pPr>
        <w:spacing w:line="360" w:lineRule="auto"/>
        <w:divId w:val="482358212"/>
        <w:rPr>
          <w:rFonts w:ascii="Arial" w:hAnsi="Arial" w:cs="Arial"/>
          <w:sz w:val="22"/>
          <w:szCs w:val="22"/>
        </w:rPr>
      </w:pPr>
      <w:r>
        <w:rPr>
          <w:rFonts w:ascii="Arial" w:hAnsi="Arial" w:cs="Arial"/>
          <w:sz w:val="22"/>
          <w:szCs w:val="22"/>
        </w:rPr>
        <w:t xml:space="preserve">1. Introduction </w:t>
      </w:r>
      <w:r w:rsidR="0053253C">
        <w:rPr>
          <w:rFonts w:ascii="Arial" w:hAnsi="Arial" w:cs="Arial"/>
          <w:sz w:val="22"/>
          <w:szCs w:val="22"/>
        </w:rPr>
        <w:t>……………………………………………………………………</w:t>
      </w:r>
      <w:r w:rsidR="002A75B8">
        <w:rPr>
          <w:rFonts w:ascii="Arial" w:hAnsi="Arial" w:cs="Arial"/>
          <w:sz w:val="22"/>
          <w:szCs w:val="22"/>
        </w:rPr>
        <w:t>…………</w:t>
      </w:r>
      <w:r w:rsidR="00650E0F">
        <w:rPr>
          <w:rFonts w:ascii="Arial" w:hAnsi="Arial" w:cs="Arial"/>
          <w:sz w:val="22"/>
          <w:szCs w:val="22"/>
        </w:rPr>
        <w:t>.1</w:t>
      </w:r>
    </w:p>
    <w:p w14:paraId="51BA7E0D" w14:textId="52311B78" w:rsidR="00F24563" w:rsidRDefault="00F24563">
      <w:pPr>
        <w:spacing w:line="360" w:lineRule="auto"/>
        <w:divId w:val="482358212"/>
        <w:rPr>
          <w:rFonts w:ascii="Arial" w:hAnsi="Arial" w:cs="Arial"/>
          <w:sz w:val="22"/>
          <w:szCs w:val="22"/>
        </w:rPr>
      </w:pPr>
      <w:r>
        <w:rPr>
          <w:rFonts w:ascii="Arial" w:hAnsi="Arial" w:cs="Arial"/>
          <w:sz w:val="22"/>
          <w:szCs w:val="22"/>
        </w:rPr>
        <w:t>2. Reflection…………</w:t>
      </w:r>
      <w:r w:rsidR="0053253C">
        <w:rPr>
          <w:rFonts w:ascii="Arial" w:hAnsi="Arial" w:cs="Arial"/>
          <w:sz w:val="22"/>
          <w:szCs w:val="22"/>
        </w:rPr>
        <w:t>……………………………………………………………</w:t>
      </w:r>
      <w:r w:rsidR="002A75B8">
        <w:rPr>
          <w:rFonts w:ascii="Arial" w:hAnsi="Arial" w:cs="Arial"/>
          <w:sz w:val="22"/>
          <w:szCs w:val="22"/>
        </w:rPr>
        <w:t>………….</w:t>
      </w:r>
      <w:r w:rsidR="00650E0F">
        <w:rPr>
          <w:rFonts w:ascii="Arial" w:hAnsi="Arial" w:cs="Arial"/>
          <w:sz w:val="22"/>
          <w:szCs w:val="22"/>
        </w:rPr>
        <w:t>1</w:t>
      </w:r>
    </w:p>
    <w:p w14:paraId="7A829209" w14:textId="5CDA7C23" w:rsidR="00F24563" w:rsidRDefault="00F24563">
      <w:pPr>
        <w:spacing w:line="360" w:lineRule="auto"/>
        <w:divId w:val="482358212"/>
        <w:rPr>
          <w:rFonts w:ascii="Arial" w:hAnsi="Arial" w:cs="Arial"/>
          <w:sz w:val="22"/>
          <w:szCs w:val="22"/>
        </w:rPr>
      </w:pPr>
      <w:r>
        <w:rPr>
          <w:rFonts w:ascii="Arial" w:hAnsi="Arial" w:cs="Arial"/>
          <w:sz w:val="22"/>
          <w:szCs w:val="22"/>
        </w:rPr>
        <w:t>3. Discussion…</w:t>
      </w:r>
      <w:r w:rsidR="002A75B8">
        <w:rPr>
          <w:rFonts w:ascii="Arial" w:hAnsi="Arial" w:cs="Arial"/>
          <w:sz w:val="22"/>
          <w:szCs w:val="22"/>
        </w:rPr>
        <w:t>………………………………………………………………………………</w:t>
      </w:r>
      <w:r w:rsidR="00650E0F">
        <w:rPr>
          <w:rFonts w:ascii="Arial" w:hAnsi="Arial" w:cs="Arial"/>
          <w:sz w:val="22"/>
          <w:szCs w:val="22"/>
        </w:rPr>
        <w:t>3</w:t>
      </w:r>
    </w:p>
    <w:p w14:paraId="7E2950E3" w14:textId="737671D1" w:rsidR="00F24563" w:rsidRDefault="00F24563">
      <w:pPr>
        <w:spacing w:line="360" w:lineRule="auto"/>
        <w:divId w:val="482358212"/>
        <w:rPr>
          <w:rFonts w:ascii="Arial" w:hAnsi="Arial" w:cs="Arial"/>
          <w:sz w:val="22"/>
          <w:szCs w:val="22"/>
        </w:rPr>
      </w:pPr>
      <w:r>
        <w:rPr>
          <w:rFonts w:ascii="Arial" w:hAnsi="Arial" w:cs="Arial"/>
          <w:sz w:val="22"/>
          <w:szCs w:val="22"/>
        </w:rPr>
        <w:t>4. Analysis</w:t>
      </w:r>
      <w:r w:rsidR="002A75B8">
        <w:rPr>
          <w:rFonts w:ascii="Arial" w:hAnsi="Arial" w:cs="Arial"/>
          <w:sz w:val="22"/>
          <w:szCs w:val="22"/>
        </w:rPr>
        <w:t>…………………………………………………………………………………</w:t>
      </w:r>
      <w:r w:rsidR="00205D88">
        <w:rPr>
          <w:rFonts w:ascii="Arial" w:hAnsi="Arial" w:cs="Arial"/>
          <w:sz w:val="22"/>
          <w:szCs w:val="22"/>
        </w:rPr>
        <w:t>…</w:t>
      </w:r>
      <w:r w:rsidR="00215445">
        <w:rPr>
          <w:rFonts w:ascii="Arial" w:hAnsi="Arial" w:cs="Arial"/>
          <w:sz w:val="22"/>
          <w:szCs w:val="22"/>
        </w:rPr>
        <w:t>4</w:t>
      </w:r>
    </w:p>
    <w:p w14:paraId="12110AC8" w14:textId="0181AD4C" w:rsidR="00F24563" w:rsidRDefault="00F24563">
      <w:pPr>
        <w:spacing w:line="360" w:lineRule="auto"/>
        <w:divId w:val="482358212"/>
        <w:rPr>
          <w:rFonts w:ascii="Arial" w:hAnsi="Arial" w:cs="Arial"/>
          <w:sz w:val="22"/>
          <w:szCs w:val="22"/>
        </w:rPr>
      </w:pPr>
      <w:r>
        <w:rPr>
          <w:rFonts w:ascii="Arial" w:hAnsi="Arial" w:cs="Arial"/>
          <w:sz w:val="22"/>
          <w:szCs w:val="22"/>
        </w:rPr>
        <w:t xml:space="preserve">5. </w:t>
      </w:r>
      <w:r w:rsidR="002A75B8">
        <w:rPr>
          <w:rFonts w:ascii="Arial" w:hAnsi="Arial" w:cs="Arial"/>
          <w:sz w:val="22"/>
          <w:szCs w:val="22"/>
        </w:rPr>
        <w:t>C</w:t>
      </w:r>
      <w:r>
        <w:rPr>
          <w:rFonts w:ascii="Arial" w:hAnsi="Arial" w:cs="Arial"/>
          <w:sz w:val="22"/>
          <w:szCs w:val="22"/>
        </w:rPr>
        <w:t>onclusion…</w:t>
      </w:r>
      <w:r w:rsidR="002A75B8">
        <w:rPr>
          <w:rFonts w:ascii="Arial" w:hAnsi="Arial" w:cs="Arial"/>
          <w:sz w:val="22"/>
          <w:szCs w:val="22"/>
        </w:rPr>
        <w:t>……………………………………………………………………………</w:t>
      </w:r>
      <w:r w:rsidR="00215445">
        <w:rPr>
          <w:rFonts w:ascii="Arial" w:hAnsi="Arial" w:cs="Arial"/>
          <w:sz w:val="22"/>
          <w:szCs w:val="22"/>
        </w:rPr>
        <w:t>..</w:t>
      </w:r>
      <w:r w:rsidR="00C63CA2">
        <w:rPr>
          <w:rFonts w:ascii="Arial" w:hAnsi="Arial" w:cs="Arial"/>
          <w:sz w:val="22"/>
          <w:szCs w:val="22"/>
        </w:rPr>
        <w:t>.</w:t>
      </w:r>
      <w:r w:rsidR="00215445">
        <w:rPr>
          <w:rFonts w:ascii="Arial" w:hAnsi="Arial" w:cs="Arial"/>
          <w:sz w:val="22"/>
          <w:szCs w:val="22"/>
        </w:rPr>
        <w:t>5</w:t>
      </w:r>
    </w:p>
    <w:p w14:paraId="47889137" w14:textId="0B250A4C" w:rsidR="002A75B8" w:rsidRDefault="00737FB5">
      <w:pPr>
        <w:spacing w:line="360" w:lineRule="auto"/>
        <w:divId w:val="482358212"/>
        <w:rPr>
          <w:rFonts w:ascii="Arial" w:hAnsi="Arial" w:cs="Arial"/>
          <w:sz w:val="22"/>
          <w:szCs w:val="22"/>
        </w:rPr>
      </w:pPr>
      <w:r>
        <w:rPr>
          <w:rFonts w:ascii="Arial" w:hAnsi="Arial" w:cs="Arial"/>
          <w:sz w:val="22"/>
          <w:szCs w:val="22"/>
        </w:rPr>
        <w:t xml:space="preserve">6. </w:t>
      </w:r>
      <w:r w:rsidR="0072055B">
        <w:rPr>
          <w:rFonts w:ascii="Arial" w:hAnsi="Arial" w:cs="Arial"/>
          <w:sz w:val="22"/>
          <w:szCs w:val="22"/>
        </w:rPr>
        <w:t>References………………………………………………………………………………</w:t>
      </w:r>
      <w:r w:rsidR="00205D88">
        <w:rPr>
          <w:rFonts w:ascii="Arial" w:hAnsi="Arial" w:cs="Arial"/>
          <w:sz w:val="22"/>
          <w:szCs w:val="22"/>
        </w:rPr>
        <w:t>..6</w:t>
      </w:r>
    </w:p>
    <w:p w14:paraId="32D746F1" w14:textId="77777777" w:rsidR="00F24563" w:rsidRDefault="00F24563">
      <w:pPr>
        <w:spacing w:line="360" w:lineRule="auto"/>
        <w:divId w:val="482358212"/>
        <w:rPr>
          <w:rFonts w:ascii="Arial" w:hAnsi="Arial" w:cs="Arial"/>
          <w:sz w:val="22"/>
          <w:szCs w:val="22"/>
        </w:rPr>
      </w:pPr>
    </w:p>
    <w:p w14:paraId="07C94C71" w14:textId="77777777" w:rsidR="00F24563" w:rsidRDefault="00F24563">
      <w:pPr>
        <w:spacing w:line="360" w:lineRule="auto"/>
        <w:divId w:val="482358212"/>
        <w:rPr>
          <w:rFonts w:ascii="Arial" w:hAnsi="Arial" w:cs="Arial"/>
          <w:b/>
          <w:bCs/>
          <w:sz w:val="28"/>
          <w:szCs w:val="28"/>
        </w:rPr>
      </w:pPr>
      <w:r>
        <w:rPr>
          <w:rFonts w:ascii="Arial" w:hAnsi="Arial" w:cs="Arial"/>
          <w:b/>
          <w:bCs/>
          <w:sz w:val="28"/>
          <w:szCs w:val="28"/>
        </w:rPr>
        <w:t>1. Introduction</w:t>
      </w:r>
    </w:p>
    <w:p w14:paraId="50864A11" w14:textId="3333E6B2" w:rsidR="00F24563" w:rsidRDefault="00F24563">
      <w:pPr>
        <w:spacing w:line="360" w:lineRule="auto"/>
        <w:divId w:val="482358212"/>
        <w:rPr>
          <w:rFonts w:ascii="Arial" w:hAnsi="Arial" w:cs="Arial"/>
          <w:sz w:val="22"/>
          <w:szCs w:val="22"/>
        </w:rPr>
      </w:pPr>
      <w:r>
        <w:rPr>
          <w:rFonts w:ascii="Arial" w:hAnsi="Arial" w:cs="Arial"/>
          <w:sz w:val="22"/>
          <w:szCs w:val="22"/>
        </w:rPr>
        <w:t>The population is ageing rapidly in England and expected to double in the next few decades. Although this can bring sense of achievement, it has been found that most older people live with the poor physical or mental health and disabilities</w:t>
      </w:r>
      <w:r w:rsidR="00F42FA4">
        <w:rPr>
          <w:rFonts w:ascii="Arial" w:hAnsi="Arial" w:cs="Arial"/>
          <w:sz w:val="22"/>
          <w:szCs w:val="22"/>
        </w:rPr>
        <w:t xml:space="preserve"> (Age UK, 2019</w:t>
      </w:r>
      <w:r w:rsidR="005E0D84">
        <w:rPr>
          <w:rFonts w:ascii="Arial" w:hAnsi="Arial" w:cs="Arial"/>
          <w:sz w:val="22"/>
          <w:szCs w:val="22"/>
        </w:rPr>
        <w:t>)</w:t>
      </w:r>
      <w:r>
        <w:rPr>
          <w:rFonts w:ascii="Arial" w:hAnsi="Arial" w:cs="Arial"/>
          <w:sz w:val="22"/>
          <w:szCs w:val="22"/>
        </w:rPr>
        <w:t xml:space="preserve">. It is unfortunate that the population of older people with ongoing health conditions is exceeding the capacity for service providers overall. Age UK (2019) have found that by 2040 the over 65 population could potentially increase from the current 1.4 million to around 2.7 million. However, the quality of life for this age group remains steady. My career goal is to become a health and social care worker based in the community as there is a struggle for frontline staff in this area. In order to better support the service user </w:t>
      </w:r>
      <w:r w:rsidR="007F4374">
        <w:rPr>
          <w:rFonts w:ascii="Arial" w:hAnsi="Arial" w:cs="Arial"/>
          <w:sz w:val="22"/>
          <w:szCs w:val="22"/>
        </w:rPr>
        <w:t>group,</w:t>
      </w:r>
      <w:r>
        <w:rPr>
          <w:rFonts w:ascii="Arial" w:hAnsi="Arial" w:cs="Arial"/>
          <w:sz w:val="22"/>
          <w:szCs w:val="22"/>
        </w:rPr>
        <w:t xml:space="preserve"> I am going to use the psychosocial development model of Erickson and the Seasons of life theory of Levinson to reflect how I can apply these in providing the best care for older people. </w:t>
      </w:r>
    </w:p>
    <w:p w14:paraId="5F34979F" w14:textId="77777777" w:rsidR="006F16F1" w:rsidRDefault="006F16F1">
      <w:pPr>
        <w:spacing w:line="360" w:lineRule="auto"/>
        <w:divId w:val="482358212"/>
        <w:rPr>
          <w:rFonts w:ascii="Arial" w:hAnsi="Arial" w:cs="Arial"/>
          <w:sz w:val="22"/>
          <w:szCs w:val="22"/>
        </w:rPr>
      </w:pPr>
    </w:p>
    <w:p w14:paraId="53D53B93" w14:textId="77777777" w:rsidR="00F24563" w:rsidRDefault="00F24563">
      <w:pPr>
        <w:spacing w:line="360" w:lineRule="auto"/>
        <w:divId w:val="482358212"/>
        <w:rPr>
          <w:rFonts w:ascii="Arial" w:hAnsi="Arial" w:cs="Arial"/>
          <w:b/>
          <w:bCs/>
          <w:sz w:val="28"/>
          <w:szCs w:val="28"/>
        </w:rPr>
      </w:pPr>
      <w:r>
        <w:rPr>
          <w:rFonts w:ascii="Arial" w:hAnsi="Arial" w:cs="Arial"/>
          <w:b/>
          <w:bCs/>
          <w:sz w:val="28"/>
          <w:szCs w:val="28"/>
        </w:rPr>
        <w:t xml:space="preserve">2. Reflection </w:t>
      </w:r>
    </w:p>
    <w:p w14:paraId="365B6B37" w14:textId="385B69BF" w:rsidR="00F24563" w:rsidRDefault="00F24563">
      <w:pPr>
        <w:spacing w:line="360" w:lineRule="auto"/>
        <w:divId w:val="482358212"/>
        <w:rPr>
          <w:rFonts w:ascii="Arial" w:hAnsi="Arial" w:cs="Arial"/>
          <w:sz w:val="22"/>
          <w:szCs w:val="22"/>
        </w:rPr>
      </w:pPr>
      <w:r>
        <w:rPr>
          <w:rFonts w:ascii="Arial" w:hAnsi="Arial" w:cs="Arial"/>
          <w:sz w:val="22"/>
          <w:szCs w:val="22"/>
        </w:rPr>
        <w:t>Ageing is a part of the complete life course. According to Erik Erikson’s theory of ‘Psychosocial development (Erikson, 1982), he recognised that late life is significantly influenced by earlier life stages and dominated by accomplishments and satisfaction one achieved throughout their life. Old age is characterised by a psychological factor of successful and unsuccessful ag</w:t>
      </w:r>
      <w:r w:rsidR="00430AA3">
        <w:rPr>
          <w:rFonts w:ascii="Arial" w:hAnsi="Arial" w:cs="Arial"/>
          <w:sz w:val="22"/>
          <w:szCs w:val="22"/>
        </w:rPr>
        <w:t>e</w:t>
      </w:r>
      <w:r w:rsidR="00397974">
        <w:rPr>
          <w:rFonts w:ascii="Arial" w:hAnsi="Arial" w:cs="Arial"/>
          <w:sz w:val="22"/>
          <w:szCs w:val="22"/>
        </w:rPr>
        <w:t>i</w:t>
      </w:r>
      <w:r>
        <w:rPr>
          <w:rFonts w:ascii="Arial" w:hAnsi="Arial" w:cs="Arial"/>
          <w:sz w:val="22"/>
          <w:szCs w:val="22"/>
        </w:rPr>
        <w:t xml:space="preserve">ng. However, Erikson empathises that older people more often achieve a sense of integrity rather a sense of despair. Therefore, Daniel Levinson expended the idea in a ‘Seasons of Life’ theory by introducing transition period (Levinson, 1986). He believed that each life stage must go through an adaptation process, therefore making the late adulthood transition both a physically and mentally challenging process. Life events such as bereavement, loss of job, decline in physical or emotional abilities due to old age can contribute to this significantly. Many elderly people experience loneliness and isolation that can often lead to more serious health conditions such as depression, dementia, and a decline in mobility. Having said that, Levinson agreed with Erikson whereby integrity is achieved by the end of the transition period </w:t>
      </w:r>
      <w:r>
        <w:rPr>
          <w:rFonts w:ascii="Arial" w:hAnsi="Arial" w:cs="Arial"/>
        </w:rPr>
        <w:t>(Aktu and Ilhan, 2017)</w:t>
      </w:r>
      <w:r>
        <w:rPr>
          <w:rFonts w:ascii="Arial" w:hAnsi="Arial" w:cs="Arial"/>
          <w:sz w:val="22"/>
          <w:szCs w:val="22"/>
        </w:rPr>
        <w:t xml:space="preserve">. </w:t>
      </w:r>
    </w:p>
    <w:p w14:paraId="6C2CFDA3" w14:textId="77777777" w:rsidR="00F24563" w:rsidRDefault="00F24563">
      <w:pPr>
        <w:spacing w:line="360" w:lineRule="auto"/>
        <w:divId w:val="482358212"/>
        <w:rPr>
          <w:rFonts w:ascii="Arial" w:hAnsi="Arial" w:cs="Arial"/>
          <w:sz w:val="22"/>
          <w:szCs w:val="22"/>
        </w:rPr>
      </w:pPr>
      <w:r>
        <w:rPr>
          <w:rFonts w:ascii="Arial" w:hAnsi="Arial" w:cs="Arial"/>
          <w:sz w:val="22"/>
          <w:szCs w:val="22"/>
        </w:rPr>
        <w:t xml:space="preserve">After analysing lifespan cycle of the older age group, I agree that each previous life stage plays significant role in achieving successful ageing. Therefore, a healthy diet, exercise and successful life goal achievements do make significant difference in progressing positively into old age. Although there is much evidence on the negative impact of social media on younger ages (infant, children and teenagers for instance), it has been found that keeping the mind busy with video games, board games and continuously learning and progressing in new skills and knowledge, this has a much greater chance of preventing mental decline in old age </w:t>
      </w:r>
      <w:r>
        <w:rPr>
          <w:rFonts w:ascii="Arial" w:hAnsi="Arial" w:cs="Arial"/>
        </w:rPr>
        <w:t>(Whitbourne, 2012)</w:t>
      </w:r>
      <w:r>
        <w:rPr>
          <w:rFonts w:ascii="Arial" w:hAnsi="Arial" w:cs="Arial"/>
          <w:sz w:val="22"/>
          <w:szCs w:val="22"/>
        </w:rPr>
        <w:t xml:space="preserve">. It is important to remember however, that humans are all different and so, experiencing the ageing process can and will be different for each individual. Due to the lack of interaction and social activities, loneliness and isolation becoming significant problem in aging society. Elderly people can naturally distance themselves from other people due to a lack of opportunities to meet new people, lack of confidence, anxiety and other mental health issues. </w:t>
      </w:r>
    </w:p>
    <w:p w14:paraId="150B3C32" w14:textId="728CC837" w:rsidR="00F24563" w:rsidRDefault="00F24563">
      <w:pPr>
        <w:spacing w:line="360" w:lineRule="auto"/>
        <w:divId w:val="482358212"/>
        <w:rPr>
          <w:rFonts w:ascii="Arial" w:hAnsi="Arial" w:cs="Arial"/>
          <w:sz w:val="22"/>
          <w:szCs w:val="22"/>
        </w:rPr>
      </w:pPr>
      <w:r>
        <w:rPr>
          <w:rFonts w:ascii="Arial" w:hAnsi="Arial" w:cs="Arial"/>
          <w:sz w:val="22"/>
          <w:szCs w:val="22"/>
        </w:rPr>
        <w:t xml:space="preserve">I feel that there is not enough support and awareness in relation to complicities around elderly people and the challenging behaviours they can experience.  The theories above can help to understand and identify challenging behaviours within older people too. Erikson’s stages are a turning point for nurses and other health and social care providers in order to assist with person-centred care (Current Nursing, 2020). By looking at the </w:t>
      </w:r>
      <w:r w:rsidR="009E2C5B">
        <w:rPr>
          <w:rFonts w:ascii="Arial" w:hAnsi="Arial" w:cs="Arial"/>
          <w:sz w:val="22"/>
          <w:szCs w:val="22"/>
        </w:rPr>
        <w:t>individual’s</w:t>
      </w:r>
      <w:r>
        <w:rPr>
          <w:rFonts w:ascii="Arial" w:hAnsi="Arial" w:cs="Arial"/>
          <w:sz w:val="22"/>
          <w:szCs w:val="22"/>
        </w:rPr>
        <w:t xml:space="preserve"> personality characteristics, gathering information about their past achievements and failures, professionals can better successfully guide service user through the life stage path and assist them in progressing into the stage of maturity and wisdom. Therefore, Levinson transition process shows that every human </w:t>
      </w:r>
      <w:r w:rsidR="007B39C5">
        <w:rPr>
          <w:rFonts w:ascii="Arial" w:hAnsi="Arial" w:cs="Arial"/>
          <w:sz w:val="22"/>
          <w:szCs w:val="22"/>
        </w:rPr>
        <w:t>experience</w:t>
      </w:r>
      <w:r>
        <w:rPr>
          <w:rFonts w:ascii="Arial" w:hAnsi="Arial" w:cs="Arial"/>
          <w:sz w:val="22"/>
          <w:szCs w:val="22"/>
        </w:rPr>
        <w:t xml:space="preserve"> different emotional levels of transition through their life span that results in different levels of stress in later age. There are conditions such as poor physical and mental health, bereavement, failures, economical struggle or loss of freedom that may delay the transition time and hence influence a person’s ability to cope with challenging situations by building up depression and loneliness. Therefore, health and social care practitioners would guide elderly people towards acknowledging, identifying and developing a coping strategy at this stage in their life. This may be by reinforcing existing skills, learning new skills or restoring the ability to cope with new changes (Robertson, 2014). </w:t>
      </w:r>
    </w:p>
    <w:p w14:paraId="6B1105E1" w14:textId="77777777" w:rsidR="00F24563" w:rsidRDefault="00F24563">
      <w:pPr>
        <w:spacing w:line="360" w:lineRule="auto"/>
        <w:divId w:val="482358212"/>
        <w:rPr>
          <w:rFonts w:ascii="Arial" w:hAnsi="Arial" w:cs="Arial"/>
          <w:sz w:val="22"/>
          <w:szCs w:val="22"/>
        </w:rPr>
      </w:pPr>
      <w:r>
        <w:rPr>
          <w:rFonts w:ascii="Arial" w:hAnsi="Arial" w:cs="Arial"/>
          <w:sz w:val="22"/>
          <w:szCs w:val="22"/>
        </w:rPr>
        <w:t xml:space="preserve">Cognitive behaviour therapy is a psychological approach that helps elderly people to understand how they are feeling in the current time and guide them towards managing their thoughts and behaviours and resolving problems. Having said that, there can be times when older people think that loneliness is a part of the ageing process and that it would not go away. Acknowledging the fact that loneliness affects their wellbeing, some older people are able to address this sooner by for instance engaging themselves with social activities they can have access to or keeping themselves busy. A common trait within society currently is practicing mindfulness. </w:t>
      </w:r>
    </w:p>
    <w:p w14:paraId="450B469D" w14:textId="30711990" w:rsidR="00F24563" w:rsidRDefault="00F24563">
      <w:pPr>
        <w:spacing w:line="360" w:lineRule="auto"/>
        <w:divId w:val="482358212"/>
        <w:rPr>
          <w:rFonts w:ascii="Arial" w:hAnsi="Arial" w:cs="Arial"/>
        </w:rPr>
      </w:pPr>
      <w:r>
        <w:rPr>
          <w:rFonts w:ascii="Arial" w:hAnsi="Arial" w:cs="Arial"/>
          <w:sz w:val="22"/>
          <w:szCs w:val="22"/>
        </w:rPr>
        <w:t>Positive psychology mainly focuses on elderly wellbeing by applying methods that encourages positive feelings with the intention to overcome negative emotions. For example, listening to music can shift positive emotions to everyday behaviour by reflecting on good memories. In society currently, mindfulness and positive psychology currently have the most research evidence on tackling psychological loneliness. It is therefore important to research and analyse further into other such events such as, humour and commitment therapies (</w:t>
      </w:r>
      <w:r>
        <w:rPr>
          <w:rFonts w:ascii="Arial" w:hAnsi="Arial" w:cs="Arial"/>
        </w:rPr>
        <w:t>Campaign to End Loneliness, 2020).</w:t>
      </w:r>
    </w:p>
    <w:p w14:paraId="40A9122B" w14:textId="77777777" w:rsidR="0038140B" w:rsidRDefault="0038140B">
      <w:pPr>
        <w:spacing w:line="360" w:lineRule="auto"/>
        <w:divId w:val="482358212"/>
        <w:rPr>
          <w:rFonts w:ascii="Arial" w:hAnsi="Arial" w:cs="Arial"/>
        </w:rPr>
      </w:pPr>
    </w:p>
    <w:p w14:paraId="5CA0C61B" w14:textId="77777777" w:rsidR="00F24563" w:rsidRDefault="00F24563">
      <w:pPr>
        <w:spacing w:line="360" w:lineRule="auto"/>
        <w:divId w:val="482358212"/>
        <w:rPr>
          <w:rFonts w:ascii="Arial" w:hAnsi="Arial" w:cs="Arial"/>
          <w:b/>
          <w:bCs/>
          <w:sz w:val="28"/>
          <w:szCs w:val="28"/>
        </w:rPr>
      </w:pPr>
      <w:r>
        <w:rPr>
          <w:rFonts w:ascii="Arial" w:hAnsi="Arial" w:cs="Arial"/>
          <w:b/>
          <w:bCs/>
          <w:sz w:val="28"/>
          <w:szCs w:val="28"/>
        </w:rPr>
        <w:t>3. Discussion</w:t>
      </w:r>
    </w:p>
    <w:p w14:paraId="1EDCE82E" w14:textId="25F4928A" w:rsidR="00F24563" w:rsidRDefault="00F24563">
      <w:pPr>
        <w:spacing w:line="360" w:lineRule="auto"/>
        <w:divId w:val="482358212"/>
        <w:rPr>
          <w:rFonts w:ascii="Arial" w:hAnsi="Arial" w:cs="Arial"/>
          <w:sz w:val="22"/>
          <w:szCs w:val="22"/>
        </w:rPr>
      </w:pPr>
      <w:r>
        <w:rPr>
          <w:rFonts w:ascii="Arial" w:hAnsi="Arial" w:cs="Arial"/>
          <w:sz w:val="22"/>
          <w:szCs w:val="22"/>
        </w:rPr>
        <w:t xml:space="preserve">Bereavement is the loss of a loved one or a close friend and is one of the most significant life events in older age that may lead to physical and mental health changes. Older people have more chances than any other age group to experience several bereavements within short time frames. Individuals may lose their identity as well as sense of purpose in life as a result of such significant event. As I mentioned earlier, bereavement is a significant trigger for loneliness and isolation in later life. It usually involves grief that is the emotional outcome to loss that usually takes time to overcome. Kubler-Ross (1969) suggests five stages of grief that is natural and healthy to accept and be able to move forward in life. The first stage is denial whereby the individual refuses to accept the fact that the loved one has died. This stage entails the feelings of avoidance, confusion, </w:t>
      </w:r>
      <w:r w:rsidR="00472335">
        <w:rPr>
          <w:rFonts w:ascii="Arial" w:hAnsi="Arial" w:cs="Arial"/>
          <w:sz w:val="22"/>
          <w:szCs w:val="22"/>
        </w:rPr>
        <w:t>shock</w:t>
      </w:r>
      <w:r>
        <w:rPr>
          <w:rFonts w:ascii="Arial" w:hAnsi="Arial" w:cs="Arial"/>
          <w:sz w:val="22"/>
          <w:szCs w:val="22"/>
        </w:rPr>
        <w:t xml:space="preserve"> and fear. This is followed by anger, the second stage, the individual feels frustration, irritation and anxiety towards others and themselves. The third stage is bargain, in other words, trying to connect spiritually or religiously to a fact that a person has died. The individual will try to make sense of the situation, they could seek support from others in order to look for a solution. Once one understands the fact that the loss is real, they often experience sadness and go through the depression stage. The final stage is of accepting of the loss and trying to move on in life by exploring other options and avenues and making new plans to take place. However, it is very important to address the fact that every individual </w:t>
      </w:r>
      <w:r w:rsidR="00154445">
        <w:rPr>
          <w:rFonts w:ascii="Arial" w:hAnsi="Arial" w:cs="Arial"/>
          <w:sz w:val="22"/>
          <w:szCs w:val="22"/>
        </w:rPr>
        <w:t>experience</w:t>
      </w:r>
      <w:r>
        <w:rPr>
          <w:rFonts w:ascii="Arial" w:hAnsi="Arial" w:cs="Arial"/>
          <w:sz w:val="22"/>
          <w:szCs w:val="22"/>
        </w:rPr>
        <w:t xml:space="preserve"> grief differently and there is no right or wrong way to pass through the grief cycle as long as the bereaving person: accepts the fact of the loss, experiences the pain, and manages to look forward besides remembering the loved one. As a professional, I can see that it is important to consider the factors that may influence the process of bereavement in an older person’s life: existing health conditions, communication and cognitive difficulties, reduced social support, financial difficulties as well as considering changing living arrangements. Participating in a support group helps to share and receive the experience amongst others that ma y be going through similar emotional stages. Some individuals require grief therapy or Cognitive Behavioural Therapy (CBT) which have both been found to be very effective at reducing symptoms in grief, depression, anxiety and loneliness. Furthermore, is important to normalise the process of grief and spread awareness and acceptance of the life cycle and that dying is a natural process and that everyone will experience at some point in their life (Robertson, 2014). </w:t>
      </w:r>
    </w:p>
    <w:p w14:paraId="1BC3F58B" w14:textId="77777777" w:rsidR="00F24563" w:rsidRDefault="00F24563">
      <w:pPr>
        <w:spacing w:line="360" w:lineRule="auto"/>
        <w:divId w:val="482358212"/>
        <w:rPr>
          <w:rFonts w:ascii="Arial" w:hAnsi="Arial" w:cs="Arial"/>
          <w:sz w:val="22"/>
          <w:szCs w:val="22"/>
        </w:rPr>
      </w:pPr>
    </w:p>
    <w:p w14:paraId="47AF9E40" w14:textId="77777777" w:rsidR="00F24563" w:rsidRDefault="00F24563">
      <w:pPr>
        <w:spacing w:line="360" w:lineRule="auto"/>
        <w:divId w:val="482358212"/>
        <w:rPr>
          <w:rFonts w:ascii="Arial" w:hAnsi="Arial" w:cs="Arial"/>
          <w:b/>
          <w:bCs/>
          <w:sz w:val="28"/>
          <w:szCs w:val="28"/>
        </w:rPr>
      </w:pPr>
      <w:r>
        <w:rPr>
          <w:rFonts w:ascii="Arial" w:hAnsi="Arial" w:cs="Arial"/>
          <w:b/>
          <w:bCs/>
          <w:sz w:val="28"/>
          <w:szCs w:val="28"/>
        </w:rPr>
        <w:t>4. Analysis</w:t>
      </w:r>
    </w:p>
    <w:p w14:paraId="3756E567" w14:textId="6FE30900" w:rsidR="00F24563" w:rsidRDefault="00F24563">
      <w:pPr>
        <w:spacing w:line="360" w:lineRule="auto"/>
        <w:divId w:val="482358212"/>
        <w:rPr>
          <w:rFonts w:ascii="Arial" w:hAnsi="Arial" w:cs="Arial"/>
          <w:sz w:val="22"/>
          <w:szCs w:val="22"/>
        </w:rPr>
      </w:pPr>
      <w:r>
        <w:rPr>
          <w:rFonts w:ascii="Arial" w:hAnsi="Arial" w:cs="Arial"/>
          <w:sz w:val="22"/>
          <w:szCs w:val="22"/>
        </w:rPr>
        <w:t>Health and social work practitioners are required by Law to support elderly people that are experiencing physical and mental health issues to enable them to continue to live safely within their communities. Person-centred practise (PCP) is an essential tool to improve good care services by putting community presence, meaningful relationships, power and choice, competence at the core of practise. The Health and Social Care Act 2008 imposes that service providers must work in partnership with service users, ensuring that care and chosen treatment is personalised specially for them. Health and social care providers must assess and make sure that service users nutritional and hydration needs are also met to provide wellbeing and a quality of life (CQC, 2021)</w:t>
      </w:r>
      <w:r w:rsidR="00D9758A">
        <w:rPr>
          <w:rFonts w:ascii="Arial" w:hAnsi="Arial" w:cs="Arial"/>
          <w:sz w:val="22"/>
          <w:szCs w:val="22"/>
        </w:rPr>
        <w:t>.</w:t>
      </w:r>
    </w:p>
    <w:p w14:paraId="1BAB6654" w14:textId="207EAA92" w:rsidR="00F24563" w:rsidRDefault="00F24563">
      <w:pPr>
        <w:spacing w:line="360" w:lineRule="auto"/>
        <w:divId w:val="482358212"/>
        <w:rPr>
          <w:rFonts w:ascii="Arial" w:hAnsi="Arial" w:cs="Arial"/>
          <w:sz w:val="22"/>
          <w:szCs w:val="22"/>
        </w:rPr>
      </w:pPr>
      <w:r>
        <w:rPr>
          <w:rFonts w:ascii="Arial" w:hAnsi="Arial" w:cs="Arial"/>
          <w:sz w:val="22"/>
          <w:szCs w:val="22"/>
        </w:rPr>
        <w:t>The aim of person-centred approach is to shift the power from professionals to individuals in order to develop self-awareness, whereby service users are able to identify and recognise a problem and feel a need for support. However, providers must act according to capacity and ability of older persons as required of the Mental Capacity Act 2005. While developing a care plan, the Humanistic approach developed by Rogers (1951) can equip professionals in supporting the various needs of older people. Rogers suggests that humans see themselves in the presence as well as an ‘ideal self’. Once they have achieved their ‘ideal’, they will have achieved a stage of</w:t>
      </w:r>
      <w:r w:rsidR="0063317B">
        <w:rPr>
          <w:rFonts w:ascii="Arial" w:hAnsi="Arial" w:cs="Arial"/>
          <w:sz w:val="22"/>
          <w:szCs w:val="22"/>
        </w:rPr>
        <w:t xml:space="preserve"> harmo</w:t>
      </w:r>
      <w:r w:rsidR="00810B79">
        <w:rPr>
          <w:rFonts w:ascii="Arial" w:hAnsi="Arial" w:cs="Arial"/>
          <w:sz w:val="22"/>
          <w:szCs w:val="22"/>
        </w:rPr>
        <w:t>ny</w:t>
      </w:r>
      <w:r>
        <w:rPr>
          <w:rFonts w:ascii="Arial" w:hAnsi="Arial" w:cs="Arial"/>
          <w:sz w:val="22"/>
          <w:szCs w:val="22"/>
        </w:rPr>
        <w:t>. Health care professionals can support their service users in attaining this using three key elements: unconditional positive regard, openness and empathy. These skills can take into account the various needs older people may have including physical health, personal care, emotional health, psychological, social, cultural, religious and spiritual factors. In circumstances where a particular treatment cannot be provided or meet the needs of the service user, other available alternatives must be explored with the service user that can help meet their needs. There should be support in adjusting and making any changes if an older person would wish to make amend or not feel comfortable and confident in using any particular treatment provided</w:t>
      </w:r>
      <w:r w:rsidR="00FE3C8B">
        <w:rPr>
          <w:rFonts w:ascii="Arial" w:hAnsi="Arial" w:cs="Arial"/>
          <w:sz w:val="22"/>
          <w:szCs w:val="22"/>
        </w:rPr>
        <w:t xml:space="preserve"> (CQC, 2021).</w:t>
      </w:r>
    </w:p>
    <w:p w14:paraId="19816A0D" w14:textId="64A667C8" w:rsidR="00C47DD1" w:rsidRDefault="00C47DD1">
      <w:pPr>
        <w:rPr>
          <w:rFonts w:ascii="Arial" w:hAnsi="Arial" w:cs="Arial"/>
          <w:sz w:val="22"/>
          <w:szCs w:val="22"/>
        </w:rPr>
      </w:pPr>
      <w:r>
        <w:rPr>
          <w:rFonts w:ascii="Arial" w:hAnsi="Arial" w:cs="Arial"/>
          <w:sz w:val="22"/>
          <w:szCs w:val="22"/>
        </w:rPr>
        <w:br w:type="page"/>
      </w:r>
    </w:p>
    <w:p w14:paraId="5EE84BE1" w14:textId="77777777" w:rsidR="00F24563" w:rsidRDefault="00F24563" w:rsidP="0053253C">
      <w:pPr>
        <w:spacing w:line="360" w:lineRule="auto"/>
        <w:divId w:val="482358212"/>
        <w:rPr>
          <w:rFonts w:ascii="Arial" w:hAnsi="Arial" w:cs="Arial"/>
          <w:sz w:val="22"/>
          <w:szCs w:val="22"/>
        </w:rPr>
      </w:pPr>
    </w:p>
    <w:p w14:paraId="557F4831" w14:textId="24DB5198" w:rsidR="0038140B" w:rsidRPr="007D69F0" w:rsidRDefault="00F24563" w:rsidP="0053253C">
      <w:pPr>
        <w:spacing w:line="360" w:lineRule="auto"/>
        <w:divId w:val="482358212"/>
        <w:rPr>
          <w:rFonts w:ascii="Arial" w:hAnsi="Arial" w:cs="Arial"/>
          <w:b/>
          <w:bCs/>
          <w:sz w:val="28"/>
          <w:szCs w:val="28"/>
        </w:rPr>
      </w:pPr>
      <w:r>
        <w:rPr>
          <w:rFonts w:ascii="Arial" w:hAnsi="Arial" w:cs="Arial"/>
          <w:b/>
          <w:bCs/>
          <w:sz w:val="28"/>
          <w:szCs w:val="28"/>
        </w:rPr>
        <w:t xml:space="preserve">5. Conclusion </w:t>
      </w:r>
    </w:p>
    <w:p w14:paraId="6BA3E46D" w14:textId="4AAB2E58" w:rsidR="00F24563" w:rsidRDefault="00F24563" w:rsidP="0053253C">
      <w:pPr>
        <w:spacing w:line="360" w:lineRule="auto"/>
        <w:divId w:val="482358212"/>
        <w:rPr>
          <w:rFonts w:ascii="Arial" w:hAnsi="Arial" w:cs="Arial"/>
          <w:sz w:val="22"/>
          <w:szCs w:val="22"/>
        </w:rPr>
      </w:pPr>
      <w:r>
        <w:rPr>
          <w:rFonts w:ascii="Arial" w:hAnsi="Arial" w:cs="Arial"/>
          <w:sz w:val="22"/>
          <w:szCs w:val="22"/>
        </w:rPr>
        <w:t>Overall, with the ageing population continuing to rise, there continues to be a need for suitable health and social support to support older people achieving a good quality of life. It is apparent that older people experience significant changes at this stage which can be determined by the quality of their younger years as can be seen in Erickson’s Psychosocial development and as pointed out by Levinson in his seasons of life theor</w:t>
      </w:r>
      <w:r w:rsidR="00D9758A">
        <w:rPr>
          <w:rFonts w:ascii="Arial" w:hAnsi="Arial" w:cs="Arial"/>
          <w:sz w:val="22"/>
          <w:szCs w:val="22"/>
        </w:rPr>
        <w:t>ies</w:t>
      </w:r>
      <w:r>
        <w:rPr>
          <w:rFonts w:ascii="Arial" w:hAnsi="Arial" w:cs="Arial"/>
          <w:sz w:val="22"/>
          <w:szCs w:val="22"/>
        </w:rPr>
        <w:t xml:space="preserve">. This can help health care professionals in understanding the concerns older people may be experiencing and accepting these are normal stages of life. For instance, bereavement is one of the most significant life events that older people experience. As mentioned, this can affect different individuals in different ways. The person-centred approach encourages service providers to tailor treatment plans to the needs and choices of service users in order to assist them in achieving successful ageing. This will help me as a practitioner to learn to accept the </w:t>
      </w:r>
      <w:r w:rsidR="000B001E">
        <w:rPr>
          <w:rFonts w:ascii="Arial" w:hAnsi="Arial" w:cs="Arial"/>
          <w:sz w:val="22"/>
          <w:szCs w:val="22"/>
        </w:rPr>
        <w:t>views, opinions</w:t>
      </w:r>
      <w:r>
        <w:rPr>
          <w:rFonts w:ascii="Arial" w:hAnsi="Arial" w:cs="Arial"/>
          <w:sz w:val="22"/>
          <w:szCs w:val="22"/>
        </w:rPr>
        <w:t xml:space="preserve"> and goals of service users and to adapt my approach to caring accordingly to meet their needs. </w:t>
      </w:r>
    </w:p>
    <w:p w14:paraId="097F16FF" w14:textId="77777777" w:rsidR="00F24563" w:rsidRDefault="00F24563" w:rsidP="0053253C">
      <w:pPr>
        <w:spacing w:line="360" w:lineRule="auto"/>
        <w:divId w:val="482358212"/>
        <w:rPr>
          <w:rFonts w:ascii="Arial" w:hAnsi="Arial" w:cs="Arial"/>
          <w:sz w:val="22"/>
          <w:szCs w:val="22"/>
        </w:rPr>
      </w:pPr>
    </w:p>
    <w:p w14:paraId="6BA1EF9A" w14:textId="77777777" w:rsidR="00F24563" w:rsidRDefault="00F24563" w:rsidP="0053253C">
      <w:pPr>
        <w:spacing w:line="360" w:lineRule="auto"/>
        <w:divId w:val="482358212"/>
        <w:rPr>
          <w:rFonts w:ascii="Arial" w:hAnsi="Arial" w:cs="Arial"/>
          <w:sz w:val="22"/>
          <w:szCs w:val="22"/>
        </w:rPr>
      </w:pPr>
    </w:p>
    <w:p w14:paraId="3E71E546" w14:textId="77777777" w:rsidR="00F24563" w:rsidRDefault="00F24563" w:rsidP="0053253C">
      <w:pPr>
        <w:spacing w:line="360" w:lineRule="auto"/>
        <w:divId w:val="482358212"/>
        <w:rPr>
          <w:rFonts w:ascii="Arial" w:hAnsi="Arial" w:cs="Arial"/>
          <w:sz w:val="22"/>
          <w:szCs w:val="22"/>
        </w:rPr>
      </w:pPr>
    </w:p>
    <w:p w14:paraId="327591DC" w14:textId="77777777" w:rsidR="00F24563" w:rsidRDefault="00F24563">
      <w:pPr>
        <w:spacing w:line="360" w:lineRule="auto"/>
        <w:divId w:val="482358212"/>
        <w:rPr>
          <w:rFonts w:ascii="Arial" w:hAnsi="Arial" w:cs="Arial"/>
          <w:sz w:val="22"/>
          <w:szCs w:val="22"/>
        </w:rPr>
      </w:pPr>
    </w:p>
    <w:p w14:paraId="6369802F" w14:textId="77777777" w:rsidR="00F24563" w:rsidRDefault="00F24563">
      <w:pPr>
        <w:spacing w:line="360" w:lineRule="auto"/>
        <w:divId w:val="482358212"/>
        <w:rPr>
          <w:rFonts w:ascii="Arial" w:hAnsi="Arial" w:cs="Arial"/>
          <w:sz w:val="22"/>
          <w:szCs w:val="22"/>
        </w:rPr>
      </w:pPr>
    </w:p>
    <w:p w14:paraId="61676E0E" w14:textId="77777777" w:rsidR="00F24563" w:rsidRDefault="00F24563">
      <w:pPr>
        <w:spacing w:line="360" w:lineRule="auto"/>
        <w:divId w:val="482358212"/>
        <w:rPr>
          <w:rFonts w:ascii="Arial" w:hAnsi="Arial" w:cs="Arial"/>
          <w:sz w:val="22"/>
          <w:szCs w:val="22"/>
        </w:rPr>
      </w:pPr>
    </w:p>
    <w:p w14:paraId="57F5E6E7" w14:textId="77777777" w:rsidR="00F24563" w:rsidRDefault="00F24563">
      <w:pPr>
        <w:spacing w:line="360" w:lineRule="auto"/>
        <w:divId w:val="482358212"/>
        <w:rPr>
          <w:rFonts w:ascii="Arial" w:hAnsi="Arial" w:cs="Arial"/>
          <w:sz w:val="22"/>
          <w:szCs w:val="22"/>
        </w:rPr>
      </w:pPr>
    </w:p>
    <w:p w14:paraId="0FA80144" w14:textId="77777777" w:rsidR="00F24563" w:rsidRDefault="00F24563">
      <w:pPr>
        <w:spacing w:line="360" w:lineRule="auto"/>
        <w:divId w:val="482358212"/>
        <w:rPr>
          <w:rFonts w:ascii="Arial" w:hAnsi="Arial" w:cs="Arial"/>
          <w:sz w:val="22"/>
          <w:szCs w:val="22"/>
        </w:rPr>
      </w:pPr>
    </w:p>
    <w:p w14:paraId="3B453CE9" w14:textId="77777777" w:rsidR="00F24563" w:rsidRDefault="00F24563">
      <w:pPr>
        <w:spacing w:line="360" w:lineRule="auto"/>
        <w:divId w:val="482358212"/>
        <w:rPr>
          <w:rFonts w:ascii="Arial" w:hAnsi="Arial" w:cs="Arial"/>
          <w:sz w:val="22"/>
          <w:szCs w:val="22"/>
        </w:rPr>
      </w:pPr>
    </w:p>
    <w:p w14:paraId="6A3E7AC1" w14:textId="77777777" w:rsidR="00F24563" w:rsidRDefault="00F24563">
      <w:pPr>
        <w:spacing w:line="360" w:lineRule="auto"/>
        <w:divId w:val="482358212"/>
        <w:rPr>
          <w:rFonts w:ascii="Arial" w:hAnsi="Arial" w:cs="Arial"/>
          <w:sz w:val="22"/>
          <w:szCs w:val="22"/>
        </w:rPr>
      </w:pPr>
    </w:p>
    <w:p w14:paraId="79F81C38" w14:textId="77777777" w:rsidR="00F24563" w:rsidRDefault="00F24563">
      <w:pPr>
        <w:spacing w:line="360" w:lineRule="auto"/>
        <w:divId w:val="482358212"/>
        <w:rPr>
          <w:rFonts w:ascii="Arial" w:hAnsi="Arial" w:cs="Arial"/>
          <w:sz w:val="22"/>
          <w:szCs w:val="22"/>
        </w:rPr>
      </w:pPr>
    </w:p>
    <w:p w14:paraId="3E5F95F1" w14:textId="77777777" w:rsidR="00F24563" w:rsidRDefault="00F24563">
      <w:pPr>
        <w:spacing w:line="360" w:lineRule="auto"/>
        <w:divId w:val="482358212"/>
        <w:rPr>
          <w:rFonts w:ascii="Arial" w:hAnsi="Arial" w:cs="Arial"/>
          <w:sz w:val="22"/>
          <w:szCs w:val="22"/>
        </w:rPr>
      </w:pPr>
    </w:p>
    <w:p w14:paraId="7408134B" w14:textId="77777777" w:rsidR="00F24563" w:rsidRDefault="00F24563">
      <w:pPr>
        <w:spacing w:line="360" w:lineRule="auto"/>
        <w:divId w:val="482358212"/>
        <w:rPr>
          <w:rFonts w:ascii="Arial" w:hAnsi="Arial" w:cs="Arial"/>
          <w:sz w:val="22"/>
          <w:szCs w:val="22"/>
        </w:rPr>
      </w:pPr>
    </w:p>
    <w:p w14:paraId="74D90ECB" w14:textId="77777777" w:rsidR="00F24563" w:rsidRDefault="00F24563">
      <w:pPr>
        <w:spacing w:line="360" w:lineRule="auto"/>
        <w:divId w:val="482358212"/>
        <w:rPr>
          <w:rFonts w:ascii="Arial" w:hAnsi="Arial" w:cs="Arial"/>
          <w:sz w:val="22"/>
          <w:szCs w:val="22"/>
        </w:rPr>
      </w:pPr>
    </w:p>
    <w:p w14:paraId="461966F9" w14:textId="77777777" w:rsidR="00F24563" w:rsidRDefault="00F24563">
      <w:pPr>
        <w:spacing w:line="360" w:lineRule="auto"/>
        <w:divId w:val="482358212"/>
        <w:rPr>
          <w:rFonts w:ascii="Arial" w:hAnsi="Arial" w:cs="Arial"/>
          <w:sz w:val="22"/>
          <w:szCs w:val="22"/>
        </w:rPr>
      </w:pPr>
    </w:p>
    <w:p w14:paraId="57904795" w14:textId="77777777" w:rsidR="00F24563" w:rsidRDefault="00F24563">
      <w:pPr>
        <w:spacing w:line="360" w:lineRule="auto"/>
        <w:divId w:val="482358212"/>
        <w:rPr>
          <w:rFonts w:ascii="Arial" w:hAnsi="Arial" w:cs="Arial"/>
          <w:sz w:val="22"/>
          <w:szCs w:val="22"/>
        </w:rPr>
      </w:pPr>
    </w:p>
    <w:p w14:paraId="5516F2E6" w14:textId="77777777" w:rsidR="00F24563" w:rsidRDefault="00F24563">
      <w:pPr>
        <w:spacing w:line="360" w:lineRule="auto"/>
        <w:divId w:val="482358212"/>
        <w:rPr>
          <w:rFonts w:ascii="Arial" w:hAnsi="Arial" w:cs="Arial"/>
          <w:sz w:val="22"/>
          <w:szCs w:val="22"/>
        </w:rPr>
      </w:pPr>
    </w:p>
    <w:p w14:paraId="6C713E3D" w14:textId="77777777" w:rsidR="00F24563" w:rsidRDefault="00F24563">
      <w:pPr>
        <w:spacing w:line="360" w:lineRule="auto"/>
        <w:divId w:val="482358212"/>
        <w:rPr>
          <w:rFonts w:ascii="Arial" w:hAnsi="Arial" w:cs="Arial"/>
          <w:sz w:val="22"/>
          <w:szCs w:val="22"/>
        </w:rPr>
      </w:pPr>
    </w:p>
    <w:p w14:paraId="4F6D9E73" w14:textId="77777777" w:rsidR="00F24563" w:rsidRDefault="00F24563">
      <w:pPr>
        <w:spacing w:line="360" w:lineRule="auto"/>
        <w:divId w:val="482358212"/>
        <w:rPr>
          <w:rFonts w:ascii="Arial" w:hAnsi="Arial" w:cs="Arial"/>
          <w:sz w:val="22"/>
          <w:szCs w:val="22"/>
        </w:rPr>
      </w:pPr>
    </w:p>
    <w:p w14:paraId="3B647805" w14:textId="7C630865" w:rsidR="001B4E21" w:rsidRDefault="001B4E21">
      <w:pPr>
        <w:rPr>
          <w:rFonts w:ascii="Arial" w:hAnsi="Arial" w:cs="Arial"/>
          <w:sz w:val="22"/>
          <w:szCs w:val="22"/>
        </w:rPr>
      </w:pPr>
      <w:r>
        <w:rPr>
          <w:rFonts w:ascii="Arial" w:hAnsi="Arial" w:cs="Arial"/>
          <w:sz w:val="22"/>
          <w:szCs w:val="22"/>
        </w:rPr>
        <w:br w:type="page"/>
      </w:r>
    </w:p>
    <w:p w14:paraId="7E45F29D" w14:textId="77777777" w:rsidR="00F24563" w:rsidRDefault="00F24563">
      <w:pPr>
        <w:spacing w:line="360" w:lineRule="auto"/>
        <w:divId w:val="482358212"/>
        <w:rPr>
          <w:rFonts w:ascii="Arial" w:hAnsi="Arial" w:cs="Arial"/>
          <w:sz w:val="22"/>
          <w:szCs w:val="22"/>
        </w:rPr>
      </w:pPr>
    </w:p>
    <w:p w14:paraId="185D3448" w14:textId="77777777" w:rsidR="00F24563" w:rsidRDefault="00F24563">
      <w:pPr>
        <w:spacing w:line="360" w:lineRule="auto"/>
        <w:jc w:val="center"/>
        <w:divId w:val="482358212"/>
        <w:rPr>
          <w:rFonts w:ascii="Arial" w:hAnsi="Arial" w:cs="Arial"/>
          <w:b/>
          <w:bCs/>
          <w:sz w:val="28"/>
          <w:szCs w:val="28"/>
        </w:rPr>
      </w:pPr>
      <w:r>
        <w:rPr>
          <w:rFonts w:ascii="Arial" w:hAnsi="Arial" w:cs="Arial"/>
          <w:b/>
          <w:bCs/>
          <w:sz w:val="28"/>
          <w:szCs w:val="28"/>
        </w:rPr>
        <w:t>References</w:t>
      </w:r>
    </w:p>
    <w:p w14:paraId="4AAB672D" w14:textId="77777777" w:rsidR="00F24563" w:rsidRPr="00F17FE7" w:rsidRDefault="00F24563" w:rsidP="00F17FE7">
      <w:pPr>
        <w:spacing w:line="360" w:lineRule="auto"/>
        <w:divId w:val="482358212"/>
        <w:rPr>
          <w:rFonts w:ascii="Arial" w:hAnsi="Arial" w:cs="Arial"/>
          <w:sz w:val="22"/>
          <w:szCs w:val="22"/>
        </w:rPr>
      </w:pPr>
    </w:p>
    <w:p w14:paraId="2AC559E8" w14:textId="6AFC3632" w:rsidR="00EB62F9" w:rsidRDefault="003C4167" w:rsidP="00F17FE7">
      <w:pPr>
        <w:spacing w:line="360" w:lineRule="auto"/>
        <w:divId w:val="482358212"/>
        <w:rPr>
          <w:rFonts w:ascii="Arial" w:hAnsi="Arial" w:cs="Arial"/>
          <w:sz w:val="22"/>
          <w:szCs w:val="22"/>
        </w:rPr>
      </w:pPr>
      <w:r w:rsidRPr="00F17FE7">
        <w:rPr>
          <w:rFonts w:ascii="Arial" w:hAnsi="Arial" w:cs="Arial"/>
          <w:sz w:val="22"/>
          <w:szCs w:val="22"/>
        </w:rPr>
        <w:t>Age</w:t>
      </w:r>
      <w:r w:rsidR="00177385" w:rsidRPr="00F17FE7">
        <w:rPr>
          <w:rFonts w:ascii="Arial" w:hAnsi="Arial" w:cs="Arial"/>
          <w:sz w:val="22"/>
          <w:szCs w:val="22"/>
        </w:rPr>
        <w:t xml:space="preserve"> </w:t>
      </w:r>
      <w:r w:rsidR="00052F2D" w:rsidRPr="00F17FE7">
        <w:rPr>
          <w:rFonts w:ascii="Arial" w:hAnsi="Arial" w:cs="Arial"/>
          <w:sz w:val="22"/>
          <w:szCs w:val="22"/>
        </w:rPr>
        <w:t>UK</w:t>
      </w:r>
      <w:r w:rsidR="00AB6A37" w:rsidRPr="00F17FE7">
        <w:rPr>
          <w:rFonts w:ascii="Arial" w:hAnsi="Arial" w:cs="Arial"/>
          <w:sz w:val="22"/>
          <w:szCs w:val="22"/>
        </w:rPr>
        <w:t>,</w:t>
      </w:r>
      <w:r w:rsidR="00943D48" w:rsidRPr="00F17FE7">
        <w:rPr>
          <w:rFonts w:ascii="Arial" w:hAnsi="Arial" w:cs="Arial"/>
          <w:sz w:val="22"/>
          <w:szCs w:val="22"/>
        </w:rPr>
        <w:t xml:space="preserve"> </w:t>
      </w:r>
      <w:r w:rsidR="00717DE1" w:rsidRPr="00F17FE7">
        <w:rPr>
          <w:rFonts w:ascii="Arial" w:hAnsi="Arial" w:cs="Arial"/>
          <w:sz w:val="22"/>
          <w:szCs w:val="22"/>
        </w:rPr>
        <w:t>(2019</w:t>
      </w:r>
      <w:r w:rsidR="00AB6A37" w:rsidRPr="00F17FE7">
        <w:rPr>
          <w:rFonts w:ascii="Arial" w:hAnsi="Arial" w:cs="Arial"/>
          <w:sz w:val="22"/>
          <w:szCs w:val="22"/>
        </w:rPr>
        <w:t>)</w:t>
      </w:r>
      <w:r w:rsidR="00EB1A98" w:rsidRPr="00F17FE7">
        <w:rPr>
          <w:rFonts w:ascii="Arial" w:hAnsi="Arial" w:cs="Arial"/>
          <w:sz w:val="22"/>
          <w:szCs w:val="22"/>
        </w:rPr>
        <w:t xml:space="preserve"> </w:t>
      </w:r>
      <w:r w:rsidR="006B6D1C" w:rsidRPr="00F17FE7">
        <w:rPr>
          <w:rFonts w:ascii="Arial" w:hAnsi="Arial" w:cs="Arial"/>
          <w:i/>
          <w:iCs/>
          <w:sz w:val="22"/>
          <w:szCs w:val="22"/>
        </w:rPr>
        <w:t>Briefing: Health and Care of</w:t>
      </w:r>
      <w:r w:rsidR="002C1CE7" w:rsidRPr="00F17FE7">
        <w:rPr>
          <w:rFonts w:ascii="Arial" w:hAnsi="Arial" w:cs="Arial"/>
          <w:i/>
          <w:iCs/>
          <w:sz w:val="22"/>
          <w:szCs w:val="22"/>
        </w:rPr>
        <w:t xml:space="preserve"> </w:t>
      </w:r>
      <w:r w:rsidR="00681E24" w:rsidRPr="00F17FE7">
        <w:rPr>
          <w:rFonts w:ascii="Arial" w:hAnsi="Arial" w:cs="Arial"/>
          <w:i/>
          <w:iCs/>
          <w:sz w:val="22"/>
          <w:szCs w:val="22"/>
        </w:rPr>
        <w:t>Older Peo</w:t>
      </w:r>
      <w:r w:rsidR="00D801B5" w:rsidRPr="00F17FE7">
        <w:rPr>
          <w:rFonts w:ascii="Arial" w:hAnsi="Arial" w:cs="Arial"/>
          <w:i/>
          <w:iCs/>
          <w:sz w:val="22"/>
          <w:szCs w:val="22"/>
        </w:rPr>
        <w:t>ple in England</w:t>
      </w:r>
      <w:r w:rsidR="002F0603" w:rsidRPr="00F17FE7">
        <w:rPr>
          <w:rFonts w:ascii="Arial" w:hAnsi="Arial" w:cs="Arial"/>
          <w:sz w:val="22"/>
          <w:szCs w:val="22"/>
        </w:rPr>
        <w:t>. Available at:</w:t>
      </w:r>
      <w:r w:rsidR="00E72B07" w:rsidRPr="00F17FE7">
        <w:rPr>
          <w:rFonts w:ascii="Arial" w:hAnsi="Arial" w:cs="Arial"/>
          <w:sz w:val="22"/>
          <w:szCs w:val="22"/>
        </w:rPr>
        <w:t xml:space="preserve"> </w:t>
      </w:r>
      <w:hyperlink r:id="rId7" w:history="1">
        <w:r w:rsidR="00E72B07" w:rsidRPr="00F17FE7">
          <w:rPr>
            <w:rStyle w:val="Hyperlink"/>
            <w:rFonts w:ascii="Arial" w:hAnsi="Arial" w:cs="Arial"/>
            <w:sz w:val="22"/>
            <w:szCs w:val="22"/>
          </w:rPr>
          <w:t>https://www.ageuk.org.uk/globalassets/age-uk/documents/reports-and-publications/reports-and-briefings/health--wellbeing/age_uk_briefing_state_of_health_and_care_of_older_people_july2019.pdf</w:t>
        </w:r>
      </w:hyperlink>
      <w:r w:rsidR="00E72B07" w:rsidRPr="00F17FE7">
        <w:rPr>
          <w:rFonts w:ascii="Arial" w:hAnsi="Arial" w:cs="Arial"/>
          <w:sz w:val="22"/>
          <w:szCs w:val="22"/>
        </w:rPr>
        <w:t xml:space="preserve"> </w:t>
      </w:r>
      <w:r w:rsidR="00DF7A62" w:rsidRPr="00F17FE7">
        <w:rPr>
          <w:rFonts w:ascii="Arial" w:hAnsi="Arial" w:cs="Arial"/>
          <w:sz w:val="22"/>
          <w:szCs w:val="22"/>
        </w:rPr>
        <w:t>(Ac</w:t>
      </w:r>
      <w:r w:rsidR="000446BD" w:rsidRPr="00F17FE7">
        <w:rPr>
          <w:rFonts w:ascii="Arial" w:hAnsi="Arial" w:cs="Arial"/>
          <w:sz w:val="22"/>
          <w:szCs w:val="22"/>
        </w:rPr>
        <w:t>cessed</w:t>
      </w:r>
      <w:r w:rsidR="0038225B" w:rsidRPr="00F17FE7">
        <w:rPr>
          <w:rFonts w:ascii="Arial" w:hAnsi="Arial" w:cs="Arial"/>
          <w:sz w:val="22"/>
          <w:szCs w:val="22"/>
        </w:rPr>
        <w:t>:</w:t>
      </w:r>
      <w:r w:rsidR="00BC492B" w:rsidRPr="00F17FE7">
        <w:rPr>
          <w:rFonts w:ascii="Arial" w:hAnsi="Arial" w:cs="Arial"/>
          <w:sz w:val="22"/>
          <w:szCs w:val="22"/>
        </w:rPr>
        <w:t xml:space="preserve"> </w:t>
      </w:r>
      <w:r w:rsidR="00FF108B" w:rsidRPr="00F17FE7">
        <w:rPr>
          <w:rFonts w:ascii="Arial" w:hAnsi="Arial" w:cs="Arial"/>
          <w:sz w:val="22"/>
          <w:szCs w:val="22"/>
        </w:rPr>
        <w:t>3</w:t>
      </w:r>
      <w:r w:rsidR="00A32752" w:rsidRPr="00F17FE7">
        <w:rPr>
          <w:rFonts w:ascii="Arial" w:hAnsi="Arial" w:cs="Arial"/>
          <w:sz w:val="22"/>
          <w:szCs w:val="22"/>
        </w:rPr>
        <w:t xml:space="preserve"> May</w:t>
      </w:r>
      <w:r w:rsidR="00E552E6" w:rsidRPr="00F17FE7">
        <w:rPr>
          <w:rFonts w:ascii="Arial" w:hAnsi="Arial" w:cs="Arial"/>
          <w:sz w:val="22"/>
          <w:szCs w:val="22"/>
        </w:rPr>
        <w:t xml:space="preserve"> 2021</w:t>
      </w:r>
      <w:r w:rsidR="00772794" w:rsidRPr="00F17FE7">
        <w:rPr>
          <w:rFonts w:ascii="Arial" w:hAnsi="Arial" w:cs="Arial"/>
          <w:sz w:val="22"/>
          <w:szCs w:val="22"/>
        </w:rPr>
        <w:t>).</w:t>
      </w:r>
    </w:p>
    <w:p w14:paraId="754B4BC3" w14:textId="77777777" w:rsidR="00C47DD1" w:rsidRPr="00F17FE7" w:rsidRDefault="00C47DD1" w:rsidP="00F17FE7">
      <w:pPr>
        <w:spacing w:line="360" w:lineRule="auto"/>
        <w:divId w:val="482358212"/>
        <w:rPr>
          <w:rFonts w:ascii="Arial" w:hAnsi="Arial" w:cs="Arial"/>
          <w:sz w:val="22"/>
          <w:szCs w:val="22"/>
        </w:rPr>
      </w:pPr>
    </w:p>
    <w:p w14:paraId="2CA20BF4" w14:textId="0C4CC0DF" w:rsidR="00F24563" w:rsidRPr="00F17FE7" w:rsidRDefault="00F24563" w:rsidP="00F17FE7">
      <w:pPr>
        <w:spacing w:line="360" w:lineRule="auto"/>
        <w:divId w:val="482358212"/>
        <w:rPr>
          <w:rFonts w:ascii="Arial" w:hAnsi="Arial" w:cs="Arial"/>
          <w:sz w:val="22"/>
          <w:szCs w:val="22"/>
        </w:rPr>
      </w:pPr>
      <w:r w:rsidRPr="00F17FE7">
        <w:rPr>
          <w:rFonts w:ascii="Arial" w:hAnsi="Arial" w:cs="Arial"/>
          <w:sz w:val="22"/>
          <w:szCs w:val="22"/>
        </w:rPr>
        <w:t xml:space="preserve">Aktu, Y. and İlhan, T. (2017) </w:t>
      </w:r>
      <w:r w:rsidRPr="00F17FE7">
        <w:rPr>
          <w:rFonts w:ascii="Arial" w:hAnsi="Arial" w:cs="Arial"/>
          <w:i/>
          <w:iCs/>
          <w:sz w:val="22"/>
          <w:szCs w:val="22"/>
        </w:rPr>
        <w:t>Individuals’ life structures in the early adulthood period based on Levinson’s theory</w:t>
      </w:r>
      <w:r w:rsidRPr="00F17FE7">
        <w:rPr>
          <w:rFonts w:ascii="Arial" w:hAnsi="Arial" w:cs="Arial"/>
          <w:sz w:val="22"/>
          <w:szCs w:val="22"/>
        </w:rPr>
        <w:t xml:space="preserve">. Educational Sciences: Theory &amp; Practice, 17, 1383–1403. Available at: </w:t>
      </w:r>
      <w:hyperlink r:id="rId8" w:history="1">
        <w:r w:rsidRPr="00F17FE7">
          <w:rPr>
            <w:rStyle w:val="Hyperlink"/>
            <w:rFonts w:ascii="Arial" w:hAnsi="Arial" w:cs="Arial"/>
            <w:sz w:val="22"/>
            <w:szCs w:val="22"/>
          </w:rPr>
          <w:t>http://dx.doi.org/10.12738/estp.2017.4.0001</w:t>
        </w:r>
      </w:hyperlink>
      <w:r w:rsidRPr="00F17FE7">
        <w:rPr>
          <w:rFonts w:ascii="Arial" w:hAnsi="Arial" w:cs="Arial"/>
          <w:sz w:val="22"/>
          <w:szCs w:val="22"/>
        </w:rPr>
        <w:t xml:space="preserve"> (Accessed: 2 May 2021).</w:t>
      </w:r>
    </w:p>
    <w:p w14:paraId="37944ACF" w14:textId="77777777" w:rsidR="00EB62F9" w:rsidRPr="00F17FE7" w:rsidRDefault="00EB62F9" w:rsidP="00F17FE7">
      <w:pPr>
        <w:spacing w:line="360" w:lineRule="auto"/>
        <w:divId w:val="482358212"/>
        <w:rPr>
          <w:rFonts w:ascii="Arial" w:hAnsi="Arial" w:cs="Arial"/>
          <w:sz w:val="22"/>
          <w:szCs w:val="22"/>
        </w:rPr>
      </w:pPr>
    </w:p>
    <w:p w14:paraId="5FB16AFA" w14:textId="77777777" w:rsidR="00F24563" w:rsidRPr="00F17FE7" w:rsidRDefault="00F24563" w:rsidP="00F17FE7">
      <w:pPr>
        <w:spacing w:line="360" w:lineRule="auto"/>
        <w:divId w:val="482358212"/>
        <w:rPr>
          <w:rFonts w:ascii="Arial" w:hAnsi="Arial" w:cs="Arial"/>
          <w:sz w:val="22"/>
          <w:szCs w:val="22"/>
        </w:rPr>
      </w:pPr>
      <w:r w:rsidRPr="00F17FE7">
        <w:rPr>
          <w:rFonts w:ascii="Arial" w:hAnsi="Arial" w:cs="Arial"/>
          <w:sz w:val="22"/>
          <w:szCs w:val="22"/>
        </w:rPr>
        <w:t xml:space="preserve">Campaign to End Loneliness, (2020) </w:t>
      </w:r>
      <w:r w:rsidRPr="00F17FE7">
        <w:rPr>
          <w:rFonts w:ascii="Arial" w:hAnsi="Arial" w:cs="Arial"/>
          <w:i/>
          <w:sz w:val="22"/>
          <w:szCs w:val="22"/>
        </w:rPr>
        <w:t>The Psychology of Loneliness</w:t>
      </w:r>
      <w:r w:rsidRPr="00F17FE7">
        <w:rPr>
          <w:rFonts w:ascii="Arial" w:hAnsi="Arial" w:cs="Arial"/>
          <w:sz w:val="22"/>
          <w:szCs w:val="22"/>
        </w:rPr>
        <w:t>. Available at:</w:t>
      </w:r>
    </w:p>
    <w:p w14:paraId="3461E2C5" w14:textId="77777777" w:rsidR="00F24563" w:rsidRPr="00F17FE7" w:rsidRDefault="00F9291A" w:rsidP="00F17FE7">
      <w:pPr>
        <w:spacing w:line="360" w:lineRule="auto"/>
        <w:divId w:val="482358212"/>
        <w:rPr>
          <w:rFonts w:ascii="Arial" w:hAnsi="Arial" w:cs="Arial"/>
          <w:sz w:val="22"/>
          <w:szCs w:val="22"/>
        </w:rPr>
      </w:pPr>
      <w:hyperlink r:id="rId9" w:history="1">
        <w:r w:rsidR="00F24563" w:rsidRPr="00F17FE7">
          <w:rPr>
            <w:rStyle w:val="Hyperlink"/>
            <w:rFonts w:ascii="Arial" w:hAnsi="Arial" w:cs="Arial"/>
            <w:sz w:val="22"/>
            <w:szCs w:val="22"/>
          </w:rPr>
          <w:t>https://www.campaigntoendloneliness.org/wp-content/uploads/Psychology_of_Loneliness_FINAL_REPORT.pdf</w:t>
        </w:r>
      </w:hyperlink>
      <w:r w:rsidR="00F24563" w:rsidRPr="00F17FE7">
        <w:rPr>
          <w:rFonts w:ascii="Arial" w:hAnsi="Arial" w:cs="Arial"/>
          <w:sz w:val="22"/>
          <w:szCs w:val="22"/>
        </w:rPr>
        <w:t xml:space="preserve"> (Accessed: 28 April 2021).</w:t>
      </w:r>
    </w:p>
    <w:p w14:paraId="0E1224BE" w14:textId="77777777" w:rsidR="00A715E3" w:rsidRPr="00F17FE7" w:rsidRDefault="00A715E3" w:rsidP="00F17FE7">
      <w:pPr>
        <w:spacing w:line="360" w:lineRule="auto"/>
        <w:divId w:val="482358212"/>
        <w:rPr>
          <w:rFonts w:ascii="Arial" w:hAnsi="Arial" w:cs="Arial"/>
          <w:sz w:val="22"/>
          <w:szCs w:val="22"/>
        </w:rPr>
      </w:pPr>
    </w:p>
    <w:p w14:paraId="2A457343" w14:textId="77777777" w:rsidR="00F24563" w:rsidRPr="00F17FE7" w:rsidRDefault="00F24563" w:rsidP="00F17FE7">
      <w:pPr>
        <w:spacing w:line="360" w:lineRule="auto"/>
        <w:divId w:val="482358212"/>
        <w:rPr>
          <w:rFonts w:ascii="Arial" w:hAnsi="Arial" w:cs="Arial"/>
          <w:sz w:val="22"/>
          <w:szCs w:val="22"/>
        </w:rPr>
      </w:pPr>
      <w:r w:rsidRPr="00F17FE7">
        <w:rPr>
          <w:rFonts w:ascii="Arial" w:hAnsi="Arial" w:cs="Arial"/>
          <w:sz w:val="22"/>
          <w:szCs w:val="22"/>
        </w:rPr>
        <w:t xml:space="preserve">Care Quality Commission, (2021) Regulation 9: Person-centred care. Available at: </w:t>
      </w:r>
      <w:hyperlink r:id="rId10" w:anchor="guidance" w:history="1">
        <w:r w:rsidRPr="00F17FE7">
          <w:rPr>
            <w:rStyle w:val="Hyperlink"/>
            <w:rFonts w:ascii="Arial" w:hAnsi="Arial" w:cs="Arial"/>
            <w:sz w:val="22"/>
            <w:szCs w:val="22"/>
          </w:rPr>
          <w:t>https://www.cqc.org.uk/guidance-providers/regulations-enforcement/regulation-9-person-centred-care#guidance</w:t>
        </w:r>
      </w:hyperlink>
      <w:r w:rsidRPr="00F17FE7">
        <w:rPr>
          <w:rFonts w:ascii="Arial" w:hAnsi="Arial" w:cs="Arial"/>
          <w:sz w:val="22"/>
          <w:szCs w:val="22"/>
        </w:rPr>
        <w:t xml:space="preserve"> (Accessed: 3 May 2021).</w:t>
      </w:r>
    </w:p>
    <w:p w14:paraId="62949E7D" w14:textId="77777777" w:rsidR="00A715E3" w:rsidRPr="00F17FE7" w:rsidRDefault="00A715E3" w:rsidP="00F17FE7">
      <w:pPr>
        <w:spacing w:line="360" w:lineRule="auto"/>
        <w:divId w:val="482358212"/>
        <w:rPr>
          <w:rFonts w:ascii="Arial" w:hAnsi="Arial" w:cs="Arial"/>
          <w:sz w:val="22"/>
          <w:szCs w:val="22"/>
        </w:rPr>
      </w:pPr>
    </w:p>
    <w:p w14:paraId="4563A70F" w14:textId="77777777" w:rsidR="00F24563" w:rsidRPr="00F17FE7" w:rsidRDefault="00F24563" w:rsidP="00F17FE7">
      <w:pPr>
        <w:spacing w:line="360" w:lineRule="auto"/>
        <w:divId w:val="482358212"/>
        <w:rPr>
          <w:rFonts w:ascii="Arial" w:hAnsi="Arial" w:cs="Arial"/>
          <w:sz w:val="22"/>
          <w:szCs w:val="22"/>
        </w:rPr>
      </w:pPr>
      <w:r w:rsidRPr="00F17FE7">
        <w:rPr>
          <w:rFonts w:ascii="Arial" w:hAnsi="Arial" w:cs="Arial"/>
          <w:sz w:val="22"/>
          <w:szCs w:val="22"/>
        </w:rPr>
        <w:t xml:space="preserve">Current Nursing, (2020) </w:t>
      </w:r>
      <w:r w:rsidRPr="00F17FE7">
        <w:rPr>
          <w:rFonts w:ascii="Arial" w:hAnsi="Arial" w:cs="Arial"/>
          <w:i/>
          <w:iCs/>
          <w:sz w:val="22"/>
          <w:szCs w:val="22"/>
        </w:rPr>
        <w:t>Nursing Theories</w:t>
      </w:r>
      <w:r w:rsidRPr="00F17FE7">
        <w:rPr>
          <w:rFonts w:ascii="Arial" w:hAnsi="Arial" w:cs="Arial"/>
          <w:sz w:val="22"/>
          <w:szCs w:val="22"/>
        </w:rPr>
        <w:t xml:space="preserve">. Available at: </w:t>
      </w:r>
      <w:hyperlink r:id="rId11" w:history="1">
        <w:r w:rsidRPr="00F17FE7">
          <w:rPr>
            <w:rStyle w:val="Hyperlink"/>
            <w:rFonts w:ascii="Arial" w:hAnsi="Arial" w:cs="Arial"/>
            <w:sz w:val="22"/>
            <w:szCs w:val="22"/>
          </w:rPr>
          <w:t>https://currentnursing.com/nursing_theory/theory_of_psychosocial_development.html</w:t>
        </w:r>
      </w:hyperlink>
      <w:r w:rsidRPr="00F17FE7">
        <w:rPr>
          <w:rFonts w:ascii="Arial" w:hAnsi="Arial" w:cs="Arial"/>
          <w:sz w:val="22"/>
          <w:szCs w:val="22"/>
        </w:rPr>
        <w:t xml:space="preserve"> (Accessed: 2 May 2021).  </w:t>
      </w:r>
    </w:p>
    <w:p w14:paraId="2A6A90BD" w14:textId="77777777" w:rsidR="00A715E3" w:rsidRPr="00F17FE7" w:rsidRDefault="00A715E3" w:rsidP="00F17FE7">
      <w:pPr>
        <w:spacing w:line="360" w:lineRule="auto"/>
        <w:divId w:val="482358212"/>
        <w:rPr>
          <w:rFonts w:ascii="Arial" w:hAnsi="Arial" w:cs="Arial"/>
          <w:sz w:val="22"/>
          <w:szCs w:val="22"/>
        </w:rPr>
      </w:pPr>
    </w:p>
    <w:p w14:paraId="23CC5689" w14:textId="11F40090" w:rsidR="006F16F1" w:rsidRPr="00F17FE7" w:rsidRDefault="006F16F1" w:rsidP="00F17FE7">
      <w:pPr>
        <w:spacing w:line="360" w:lineRule="auto"/>
        <w:divId w:val="482358212"/>
        <w:rPr>
          <w:rFonts w:ascii="Arial" w:hAnsi="Arial" w:cs="Arial"/>
          <w:sz w:val="22"/>
          <w:szCs w:val="22"/>
        </w:rPr>
      </w:pPr>
      <w:r w:rsidRPr="00F17FE7">
        <w:rPr>
          <w:rFonts w:ascii="Arial" w:hAnsi="Arial" w:cs="Arial"/>
          <w:sz w:val="22"/>
          <w:szCs w:val="22"/>
        </w:rPr>
        <w:t xml:space="preserve">Erikson, E.H. (1982) </w:t>
      </w:r>
      <w:r w:rsidRPr="00F17FE7">
        <w:rPr>
          <w:rFonts w:ascii="Arial" w:hAnsi="Arial" w:cs="Arial"/>
          <w:i/>
          <w:iCs/>
          <w:sz w:val="22"/>
          <w:szCs w:val="22"/>
        </w:rPr>
        <w:t>The life cycle completed: A review</w:t>
      </w:r>
      <w:r w:rsidRPr="00F17FE7">
        <w:rPr>
          <w:rFonts w:ascii="Arial" w:hAnsi="Arial" w:cs="Arial"/>
          <w:sz w:val="22"/>
          <w:szCs w:val="22"/>
        </w:rPr>
        <w:t>. New York: W. W. Norton and Company.</w:t>
      </w:r>
    </w:p>
    <w:p w14:paraId="7C61F128" w14:textId="77777777" w:rsidR="00A715E3" w:rsidRPr="00F17FE7" w:rsidRDefault="00A715E3" w:rsidP="00F17FE7">
      <w:pPr>
        <w:spacing w:line="360" w:lineRule="auto"/>
        <w:divId w:val="482358212"/>
        <w:rPr>
          <w:rFonts w:ascii="Arial" w:hAnsi="Arial" w:cs="Arial"/>
          <w:sz w:val="22"/>
          <w:szCs w:val="22"/>
        </w:rPr>
      </w:pPr>
    </w:p>
    <w:p w14:paraId="028155D2" w14:textId="77777777" w:rsidR="00FD771B" w:rsidRPr="00F17FE7" w:rsidRDefault="00E80E53" w:rsidP="00F17FE7">
      <w:pPr>
        <w:spacing w:line="360" w:lineRule="auto"/>
        <w:divId w:val="482358212"/>
        <w:rPr>
          <w:rFonts w:ascii="Arial" w:hAnsi="Arial" w:cs="Arial"/>
          <w:sz w:val="22"/>
          <w:szCs w:val="22"/>
        </w:rPr>
      </w:pPr>
      <w:r w:rsidRPr="00F17FE7">
        <w:rPr>
          <w:rFonts w:ascii="Arial" w:hAnsi="Arial" w:cs="Arial"/>
          <w:sz w:val="22"/>
          <w:szCs w:val="22"/>
        </w:rPr>
        <w:t xml:space="preserve">Levinson, D.J. (1986) A conception of adult development. </w:t>
      </w:r>
      <w:r w:rsidRPr="00F17FE7">
        <w:rPr>
          <w:rFonts w:ascii="Arial" w:hAnsi="Arial" w:cs="Arial"/>
          <w:i/>
          <w:iCs/>
          <w:sz w:val="22"/>
          <w:szCs w:val="22"/>
        </w:rPr>
        <w:t>American psychologist,</w:t>
      </w:r>
      <w:r w:rsidRPr="00F17FE7">
        <w:rPr>
          <w:rFonts w:ascii="Arial" w:hAnsi="Arial" w:cs="Arial"/>
          <w:sz w:val="22"/>
          <w:szCs w:val="22"/>
        </w:rPr>
        <w:t xml:space="preserve"> 41(1), p.3.</w:t>
      </w:r>
      <w:r w:rsidR="00EF09E0" w:rsidRPr="00F17FE7">
        <w:rPr>
          <w:rFonts w:ascii="Arial" w:hAnsi="Arial" w:cs="Arial"/>
          <w:sz w:val="22"/>
          <w:szCs w:val="22"/>
        </w:rPr>
        <w:t xml:space="preserve"> </w:t>
      </w:r>
    </w:p>
    <w:p w14:paraId="0554715E" w14:textId="77777777" w:rsidR="00EA5A0D" w:rsidRPr="00F17FE7" w:rsidRDefault="00EA5A0D" w:rsidP="00F17FE7">
      <w:pPr>
        <w:spacing w:line="360" w:lineRule="auto"/>
        <w:divId w:val="482358212"/>
        <w:rPr>
          <w:rFonts w:ascii="Arial" w:hAnsi="Arial" w:cs="Arial"/>
          <w:sz w:val="22"/>
          <w:szCs w:val="22"/>
        </w:rPr>
      </w:pPr>
    </w:p>
    <w:p w14:paraId="5C7DB36D" w14:textId="245596A7" w:rsidR="00EF09E0" w:rsidRPr="00F17FE7" w:rsidRDefault="00EF09E0" w:rsidP="00F17FE7">
      <w:pPr>
        <w:spacing w:line="360" w:lineRule="auto"/>
        <w:divId w:val="482358212"/>
        <w:rPr>
          <w:rFonts w:ascii="Arial" w:hAnsi="Arial" w:cs="Arial"/>
          <w:sz w:val="22"/>
          <w:szCs w:val="22"/>
          <w:lang w:val="fr-FR"/>
        </w:rPr>
      </w:pPr>
      <w:r w:rsidRPr="00F17FE7">
        <w:rPr>
          <w:rFonts w:ascii="Arial" w:hAnsi="Arial" w:cs="Arial"/>
          <w:sz w:val="22"/>
          <w:szCs w:val="22"/>
        </w:rPr>
        <w:t xml:space="preserve">NHS (2017) Older People's Mental Health the Practice Primer. </w:t>
      </w:r>
      <w:r w:rsidRPr="00F17FE7">
        <w:rPr>
          <w:rFonts w:ascii="Arial" w:hAnsi="Arial" w:cs="Arial"/>
          <w:sz w:val="22"/>
          <w:szCs w:val="22"/>
          <w:lang w:val="fr-FR"/>
        </w:rPr>
        <w:t>Avalable at :</w:t>
      </w:r>
    </w:p>
    <w:p w14:paraId="5D593CE1" w14:textId="4DE98ADE" w:rsidR="00EF09E0" w:rsidRPr="00F17FE7" w:rsidRDefault="00F9291A" w:rsidP="00F17FE7">
      <w:pPr>
        <w:spacing w:line="360" w:lineRule="auto"/>
        <w:divId w:val="482358212"/>
        <w:rPr>
          <w:rFonts w:ascii="Arial" w:hAnsi="Arial" w:cs="Arial"/>
          <w:sz w:val="22"/>
          <w:szCs w:val="22"/>
          <w:lang w:val="fr-FR"/>
        </w:rPr>
      </w:pPr>
      <w:hyperlink r:id="rId12" w:history="1">
        <w:r w:rsidR="00EF09E0" w:rsidRPr="00F17FE7">
          <w:rPr>
            <w:rStyle w:val="Hyperlink"/>
            <w:rFonts w:ascii="Arial" w:hAnsi="Arial" w:cs="Arial"/>
            <w:sz w:val="22"/>
            <w:szCs w:val="22"/>
            <w:lang w:val="fr-FR"/>
          </w:rPr>
          <w:t>https://www.england.nhs.uk/wp-content/uploads/2017/09/practice-primer.pdf</w:t>
        </w:r>
      </w:hyperlink>
      <w:r w:rsidR="00EF09E0" w:rsidRPr="00F17FE7">
        <w:rPr>
          <w:rFonts w:ascii="Arial" w:hAnsi="Arial" w:cs="Arial"/>
          <w:sz w:val="22"/>
          <w:szCs w:val="22"/>
          <w:lang w:val="fr-FR"/>
        </w:rPr>
        <w:t xml:space="preserve"> </w:t>
      </w:r>
      <w:r w:rsidR="00CA7204" w:rsidRPr="00F17FE7">
        <w:rPr>
          <w:rFonts w:ascii="Arial" w:hAnsi="Arial" w:cs="Arial"/>
          <w:sz w:val="22"/>
          <w:szCs w:val="22"/>
          <w:lang w:val="fr-FR"/>
        </w:rPr>
        <w:t>(</w:t>
      </w:r>
      <w:r w:rsidR="006B2928" w:rsidRPr="00F17FE7">
        <w:rPr>
          <w:rFonts w:ascii="Arial" w:hAnsi="Arial" w:cs="Arial"/>
          <w:sz w:val="22"/>
          <w:szCs w:val="22"/>
          <w:lang w:val="fr-FR"/>
        </w:rPr>
        <w:t>A</w:t>
      </w:r>
      <w:r w:rsidR="003C5A86" w:rsidRPr="00F17FE7">
        <w:rPr>
          <w:rFonts w:ascii="Arial" w:hAnsi="Arial" w:cs="Arial"/>
          <w:sz w:val="22"/>
          <w:szCs w:val="22"/>
          <w:lang w:val="fr-FR"/>
        </w:rPr>
        <w:t xml:space="preserve">ccessed: </w:t>
      </w:r>
      <w:r w:rsidR="00A931BF" w:rsidRPr="00F17FE7">
        <w:rPr>
          <w:rFonts w:ascii="Arial" w:hAnsi="Arial" w:cs="Arial"/>
          <w:sz w:val="22"/>
          <w:szCs w:val="22"/>
          <w:lang w:val="fr-FR"/>
        </w:rPr>
        <w:t>2</w:t>
      </w:r>
      <w:r w:rsidR="00C91031" w:rsidRPr="00F17FE7">
        <w:rPr>
          <w:rFonts w:ascii="Arial" w:hAnsi="Arial" w:cs="Arial"/>
          <w:sz w:val="22"/>
          <w:szCs w:val="22"/>
          <w:lang w:val="fr-FR"/>
        </w:rPr>
        <w:t>9 April 2021).</w:t>
      </w:r>
    </w:p>
    <w:p w14:paraId="43816D3D" w14:textId="77777777" w:rsidR="00EF09E0" w:rsidRPr="00F17FE7" w:rsidRDefault="00EF09E0" w:rsidP="00F17FE7">
      <w:pPr>
        <w:spacing w:line="360" w:lineRule="auto"/>
        <w:divId w:val="482358212"/>
        <w:rPr>
          <w:rFonts w:ascii="Arial" w:hAnsi="Arial" w:cs="Arial"/>
          <w:sz w:val="22"/>
          <w:szCs w:val="22"/>
          <w:lang w:val="fr-FR"/>
        </w:rPr>
      </w:pPr>
    </w:p>
    <w:p w14:paraId="07ED1030" w14:textId="77777777" w:rsidR="00A715E3" w:rsidRPr="00F17FE7" w:rsidRDefault="00A715E3" w:rsidP="00F17FE7">
      <w:pPr>
        <w:spacing w:line="360" w:lineRule="auto"/>
        <w:divId w:val="482358212"/>
        <w:rPr>
          <w:rFonts w:ascii="Arial" w:hAnsi="Arial" w:cs="Arial"/>
          <w:sz w:val="22"/>
          <w:szCs w:val="22"/>
        </w:rPr>
      </w:pPr>
    </w:p>
    <w:p w14:paraId="1B0CBC80" w14:textId="77777777" w:rsidR="00F24563" w:rsidRPr="00F17FE7" w:rsidRDefault="00F24563" w:rsidP="00F17FE7">
      <w:pPr>
        <w:spacing w:line="360" w:lineRule="auto"/>
        <w:divId w:val="482358212"/>
        <w:rPr>
          <w:rFonts w:ascii="Arial" w:hAnsi="Arial" w:cs="Arial"/>
          <w:sz w:val="22"/>
          <w:szCs w:val="22"/>
        </w:rPr>
      </w:pPr>
      <w:r w:rsidRPr="00F17FE7">
        <w:rPr>
          <w:rFonts w:ascii="Arial" w:hAnsi="Arial" w:cs="Arial"/>
          <w:sz w:val="22"/>
          <w:szCs w:val="22"/>
        </w:rPr>
        <w:t xml:space="preserve">Robertson, G. (2014) </w:t>
      </w:r>
      <w:r w:rsidRPr="00F17FE7">
        <w:rPr>
          <w:rFonts w:ascii="Arial" w:hAnsi="Arial" w:cs="Arial"/>
          <w:i/>
          <w:iCs/>
          <w:sz w:val="22"/>
          <w:szCs w:val="22"/>
        </w:rPr>
        <w:t>Transition in later life.</w:t>
      </w:r>
      <w:r w:rsidRPr="00F17FE7">
        <w:rPr>
          <w:rFonts w:ascii="Arial" w:hAnsi="Arial" w:cs="Arial"/>
          <w:sz w:val="22"/>
          <w:szCs w:val="22"/>
        </w:rPr>
        <w:t xml:space="preserve"> Positive Ageing Associates. Available at: </w:t>
      </w:r>
      <w:hyperlink r:id="rId13" w:history="1">
        <w:r w:rsidRPr="00F17FE7">
          <w:rPr>
            <w:rStyle w:val="Hyperlink"/>
            <w:rFonts w:ascii="Arial" w:hAnsi="Arial" w:cs="Arial"/>
            <w:sz w:val="22"/>
            <w:szCs w:val="22"/>
          </w:rPr>
          <w:t>https://transitionsinlaterlife.files.wordpress.com/2014/09/cgf-transitions-in-later-life-guy-robertson.pdf</w:t>
        </w:r>
      </w:hyperlink>
      <w:r w:rsidRPr="00F17FE7">
        <w:rPr>
          <w:rFonts w:ascii="Arial" w:hAnsi="Arial" w:cs="Arial"/>
          <w:sz w:val="22"/>
          <w:szCs w:val="22"/>
        </w:rPr>
        <w:t xml:space="preserve"> (Accessed: 2 May. 2021).</w:t>
      </w:r>
    </w:p>
    <w:p w14:paraId="1397E228" w14:textId="77777777" w:rsidR="00A715E3" w:rsidRPr="00F17FE7" w:rsidRDefault="00A715E3" w:rsidP="00F17FE7">
      <w:pPr>
        <w:spacing w:line="360" w:lineRule="auto"/>
        <w:divId w:val="482358212"/>
        <w:rPr>
          <w:rFonts w:ascii="Arial" w:hAnsi="Arial" w:cs="Arial"/>
          <w:sz w:val="22"/>
          <w:szCs w:val="22"/>
        </w:rPr>
      </w:pPr>
    </w:p>
    <w:p w14:paraId="52A82A01" w14:textId="77777777" w:rsidR="00F24563" w:rsidRPr="00F17FE7" w:rsidRDefault="00F24563" w:rsidP="00F17FE7">
      <w:pPr>
        <w:spacing w:line="360" w:lineRule="auto"/>
        <w:divId w:val="482358212"/>
        <w:rPr>
          <w:rFonts w:ascii="Arial" w:hAnsi="Arial" w:cs="Arial"/>
          <w:sz w:val="22"/>
          <w:szCs w:val="22"/>
        </w:rPr>
      </w:pPr>
      <w:r w:rsidRPr="00F17FE7">
        <w:rPr>
          <w:rFonts w:ascii="Arial" w:hAnsi="Arial" w:cs="Arial"/>
          <w:sz w:val="22"/>
          <w:szCs w:val="22"/>
        </w:rPr>
        <w:t>Windle, K. Dr. (2015) What role can local and national supportive services play in supporting independent and healthy living in individuals 65 and over? Open Government Licence. Available at:</w:t>
      </w:r>
    </w:p>
    <w:p w14:paraId="18604859" w14:textId="77777777" w:rsidR="00F24563" w:rsidRPr="00F17FE7" w:rsidRDefault="00F9291A" w:rsidP="00F17FE7">
      <w:pPr>
        <w:spacing w:line="360" w:lineRule="auto"/>
        <w:divId w:val="482358212"/>
        <w:rPr>
          <w:rFonts w:ascii="Arial" w:hAnsi="Arial" w:cs="Arial"/>
          <w:sz w:val="22"/>
          <w:szCs w:val="22"/>
        </w:rPr>
      </w:pPr>
      <w:hyperlink r:id="rId14" w:history="1">
        <w:r w:rsidR="00F24563" w:rsidRPr="00F17FE7">
          <w:rPr>
            <w:rStyle w:val="Hyperlink"/>
            <w:rFonts w:ascii="Arial" w:hAnsi="Arial" w:cs="Arial"/>
            <w:sz w:val="22"/>
            <w:szCs w:val="22"/>
          </w:rPr>
          <w:t>https://assets.publishing.service.gov.uk/government/uploads/system/uploads/attachment_data/file/460109/gs-15-24-future-ageing-supportive-services-role-er14.pdf</w:t>
        </w:r>
      </w:hyperlink>
      <w:r w:rsidR="00F24563" w:rsidRPr="00F17FE7">
        <w:rPr>
          <w:rFonts w:ascii="Arial" w:hAnsi="Arial" w:cs="Arial"/>
          <w:sz w:val="22"/>
          <w:szCs w:val="22"/>
        </w:rPr>
        <w:t xml:space="preserve"> (Accessed: 28 April 2021).</w:t>
      </w:r>
    </w:p>
    <w:p w14:paraId="5AAE8B44" w14:textId="77777777" w:rsidR="00A715E3" w:rsidRPr="00F17FE7" w:rsidRDefault="00A715E3" w:rsidP="00F17FE7">
      <w:pPr>
        <w:spacing w:line="360" w:lineRule="auto"/>
        <w:divId w:val="482358212"/>
        <w:rPr>
          <w:rFonts w:ascii="Arial" w:hAnsi="Arial" w:cs="Arial"/>
          <w:sz w:val="22"/>
          <w:szCs w:val="22"/>
        </w:rPr>
      </w:pPr>
    </w:p>
    <w:p w14:paraId="40C44BF5" w14:textId="77777777" w:rsidR="00F24563" w:rsidRPr="00F17FE7" w:rsidRDefault="00F24563" w:rsidP="00F17FE7">
      <w:pPr>
        <w:spacing w:line="360" w:lineRule="auto"/>
        <w:divId w:val="482358212"/>
        <w:rPr>
          <w:rFonts w:ascii="Arial" w:hAnsi="Arial" w:cs="Arial"/>
          <w:sz w:val="22"/>
          <w:szCs w:val="22"/>
        </w:rPr>
      </w:pPr>
      <w:r w:rsidRPr="00F17FE7">
        <w:rPr>
          <w:rFonts w:ascii="Arial" w:hAnsi="Arial" w:cs="Arial"/>
          <w:sz w:val="22"/>
          <w:szCs w:val="22"/>
        </w:rPr>
        <w:t xml:space="preserve">Whitbourne, S.K. PhD. (2012) Life span development. </w:t>
      </w:r>
      <w:r w:rsidRPr="00F17FE7">
        <w:rPr>
          <w:rFonts w:ascii="Arial" w:hAnsi="Arial" w:cs="Arial"/>
          <w:i/>
          <w:iCs/>
          <w:sz w:val="22"/>
          <w:szCs w:val="22"/>
        </w:rPr>
        <w:t xml:space="preserve">American Psychological Association. Available at: </w:t>
      </w:r>
      <w:hyperlink r:id="rId15" w:history="1">
        <w:r w:rsidRPr="00F17FE7">
          <w:rPr>
            <w:rStyle w:val="Hyperlink"/>
            <w:rFonts w:ascii="Arial" w:hAnsi="Arial" w:cs="Arial"/>
            <w:i/>
            <w:iCs/>
            <w:sz w:val="22"/>
            <w:szCs w:val="22"/>
          </w:rPr>
          <w:t>https://www.apa.org/ed/precollege/topss/lessons/life-development.pdf</w:t>
        </w:r>
      </w:hyperlink>
      <w:r w:rsidRPr="00F17FE7">
        <w:rPr>
          <w:rFonts w:ascii="Arial" w:hAnsi="Arial" w:cs="Arial"/>
          <w:i/>
          <w:iCs/>
          <w:sz w:val="22"/>
          <w:szCs w:val="22"/>
        </w:rPr>
        <w:t xml:space="preserve"> (</w:t>
      </w:r>
      <w:r w:rsidRPr="00F17FE7">
        <w:rPr>
          <w:rFonts w:ascii="Arial" w:hAnsi="Arial" w:cs="Arial"/>
          <w:sz w:val="22"/>
          <w:szCs w:val="22"/>
        </w:rPr>
        <w:t>Accessed: 29 April 2021).</w:t>
      </w:r>
    </w:p>
    <w:p w14:paraId="45A2D6BC" w14:textId="77777777" w:rsidR="00F24563" w:rsidRPr="00F17FE7" w:rsidRDefault="00F24563" w:rsidP="00F17FE7">
      <w:pPr>
        <w:spacing w:line="360" w:lineRule="auto"/>
        <w:divId w:val="482358212"/>
        <w:rPr>
          <w:rFonts w:ascii="Arial" w:hAnsi="Arial" w:cs="Arial"/>
          <w:sz w:val="22"/>
          <w:szCs w:val="22"/>
        </w:rPr>
      </w:pPr>
    </w:p>
    <w:p w14:paraId="4E698541" w14:textId="77777777" w:rsidR="00B124F4" w:rsidRPr="00F17FE7" w:rsidRDefault="00B124F4" w:rsidP="00F17FE7">
      <w:pPr>
        <w:spacing w:line="360" w:lineRule="auto"/>
        <w:rPr>
          <w:rFonts w:ascii="Arial" w:hAnsi="Arial" w:cs="Arial"/>
          <w:sz w:val="22"/>
          <w:szCs w:val="22"/>
        </w:rPr>
      </w:pPr>
    </w:p>
    <w:sectPr w:rsidR="00B124F4" w:rsidRPr="00F17FE7" w:rsidSect="00403234">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4DCAC" w14:textId="77777777" w:rsidR="0040239D" w:rsidRDefault="0040239D" w:rsidP="00C90D54">
      <w:r>
        <w:separator/>
      </w:r>
    </w:p>
  </w:endnote>
  <w:endnote w:type="continuationSeparator" w:id="0">
    <w:p w14:paraId="55B3D951" w14:textId="77777777" w:rsidR="0040239D" w:rsidRDefault="0040239D" w:rsidP="00C90D54">
      <w:r>
        <w:continuationSeparator/>
      </w:r>
    </w:p>
  </w:endnote>
  <w:endnote w:type="continuationNotice" w:id="1">
    <w:p w14:paraId="784B71FB" w14:textId="77777777" w:rsidR="00F9291A" w:rsidRDefault="00F929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55333906"/>
      <w:docPartObj>
        <w:docPartGallery w:val="Page Numbers (Bottom of Page)"/>
        <w:docPartUnique/>
      </w:docPartObj>
    </w:sdtPr>
    <w:sdtContent>
      <w:p w14:paraId="7533E00E" w14:textId="1F39CDE2" w:rsidR="00C90D54" w:rsidRDefault="00C90D54" w:rsidP="00F92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55C359" w14:textId="77777777" w:rsidR="00C90D54" w:rsidRDefault="00C90D54" w:rsidP="00C90D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00652608"/>
      <w:docPartObj>
        <w:docPartGallery w:val="Page Numbers (Bottom of Page)"/>
        <w:docPartUnique/>
      </w:docPartObj>
    </w:sdtPr>
    <w:sdtContent>
      <w:p w14:paraId="6626EC44" w14:textId="61ACAA63" w:rsidR="00C90D54" w:rsidRDefault="00C90D54" w:rsidP="00F92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E931C4" w14:textId="77777777" w:rsidR="00C90D54" w:rsidRDefault="00C90D54" w:rsidP="00C90D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6AD8E" w14:textId="77777777" w:rsidR="0040239D" w:rsidRDefault="0040239D" w:rsidP="00C90D54">
      <w:r>
        <w:separator/>
      </w:r>
    </w:p>
  </w:footnote>
  <w:footnote w:type="continuationSeparator" w:id="0">
    <w:p w14:paraId="67423D8D" w14:textId="77777777" w:rsidR="0040239D" w:rsidRDefault="0040239D" w:rsidP="00C90D54">
      <w:r>
        <w:continuationSeparator/>
      </w:r>
    </w:p>
  </w:footnote>
  <w:footnote w:type="continuationNotice" w:id="1">
    <w:p w14:paraId="17CEBD93" w14:textId="77777777" w:rsidR="00F9291A" w:rsidRDefault="00F929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51F"/>
    <w:rsid w:val="000446BD"/>
    <w:rsid w:val="00052F2D"/>
    <w:rsid w:val="000579BC"/>
    <w:rsid w:val="000B001E"/>
    <w:rsid w:val="000E5193"/>
    <w:rsid w:val="00101833"/>
    <w:rsid w:val="00154445"/>
    <w:rsid w:val="00177385"/>
    <w:rsid w:val="001B4E21"/>
    <w:rsid w:val="001B6659"/>
    <w:rsid w:val="001D6297"/>
    <w:rsid w:val="00204D6A"/>
    <w:rsid w:val="00205D88"/>
    <w:rsid w:val="00206306"/>
    <w:rsid w:val="00215445"/>
    <w:rsid w:val="00232E8D"/>
    <w:rsid w:val="002826C4"/>
    <w:rsid w:val="002A75B8"/>
    <w:rsid w:val="002C1CE7"/>
    <w:rsid w:val="002C7DA6"/>
    <w:rsid w:val="002F0603"/>
    <w:rsid w:val="003100CA"/>
    <w:rsid w:val="0038140B"/>
    <w:rsid w:val="0038198F"/>
    <w:rsid w:val="0038225B"/>
    <w:rsid w:val="003823B0"/>
    <w:rsid w:val="00397974"/>
    <w:rsid w:val="003C4167"/>
    <w:rsid w:val="003C53ED"/>
    <w:rsid w:val="003C5A86"/>
    <w:rsid w:val="0040239D"/>
    <w:rsid w:val="00403234"/>
    <w:rsid w:val="00407E24"/>
    <w:rsid w:val="00430AA3"/>
    <w:rsid w:val="00441DD9"/>
    <w:rsid w:val="0044563A"/>
    <w:rsid w:val="00472335"/>
    <w:rsid w:val="004E40CF"/>
    <w:rsid w:val="004E729A"/>
    <w:rsid w:val="004F20AC"/>
    <w:rsid w:val="0053253C"/>
    <w:rsid w:val="00533262"/>
    <w:rsid w:val="005E0D84"/>
    <w:rsid w:val="005E299D"/>
    <w:rsid w:val="0063317B"/>
    <w:rsid w:val="00650E0F"/>
    <w:rsid w:val="006719DB"/>
    <w:rsid w:val="00681E24"/>
    <w:rsid w:val="006A261D"/>
    <w:rsid w:val="006A5D8F"/>
    <w:rsid w:val="006B2928"/>
    <w:rsid w:val="006B6D1C"/>
    <w:rsid w:val="006D110C"/>
    <w:rsid w:val="006F16F1"/>
    <w:rsid w:val="006F18CC"/>
    <w:rsid w:val="006F561E"/>
    <w:rsid w:val="00717DE1"/>
    <w:rsid w:val="0072055B"/>
    <w:rsid w:val="00737FB5"/>
    <w:rsid w:val="00772794"/>
    <w:rsid w:val="007B39C5"/>
    <w:rsid w:val="007D69F0"/>
    <w:rsid w:val="007F4374"/>
    <w:rsid w:val="00810B79"/>
    <w:rsid w:val="008863B8"/>
    <w:rsid w:val="00894637"/>
    <w:rsid w:val="008A554F"/>
    <w:rsid w:val="008B24D0"/>
    <w:rsid w:val="009363E1"/>
    <w:rsid w:val="00943D48"/>
    <w:rsid w:val="00971017"/>
    <w:rsid w:val="009E2C5B"/>
    <w:rsid w:val="009F69B0"/>
    <w:rsid w:val="00A06E11"/>
    <w:rsid w:val="00A32752"/>
    <w:rsid w:val="00A715E3"/>
    <w:rsid w:val="00A931BF"/>
    <w:rsid w:val="00A97A6C"/>
    <w:rsid w:val="00AA6F4C"/>
    <w:rsid w:val="00AB6A37"/>
    <w:rsid w:val="00AF0525"/>
    <w:rsid w:val="00B009E8"/>
    <w:rsid w:val="00B124F4"/>
    <w:rsid w:val="00B133DE"/>
    <w:rsid w:val="00B25664"/>
    <w:rsid w:val="00BC492B"/>
    <w:rsid w:val="00BE74F2"/>
    <w:rsid w:val="00C0335C"/>
    <w:rsid w:val="00C21D47"/>
    <w:rsid w:val="00C47DD1"/>
    <w:rsid w:val="00C63CA2"/>
    <w:rsid w:val="00C90D54"/>
    <w:rsid w:val="00C91031"/>
    <w:rsid w:val="00CA7204"/>
    <w:rsid w:val="00CB6283"/>
    <w:rsid w:val="00CD02C8"/>
    <w:rsid w:val="00CD0C09"/>
    <w:rsid w:val="00CD2106"/>
    <w:rsid w:val="00D45B03"/>
    <w:rsid w:val="00D801B5"/>
    <w:rsid w:val="00D9758A"/>
    <w:rsid w:val="00DB4B3E"/>
    <w:rsid w:val="00DC2186"/>
    <w:rsid w:val="00DD065C"/>
    <w:rsid w:val="00DF00C3"/>
    <w:rsid w:val="00DF7A62"/>
    <w:rsid w:val="00E0241C"/>
    <w:rsid w:val="00E17DF6"/>
    <w:rsid w:val="00E455C0"/>
    <w:rsid w:val="00E54EF5"/>
    <w:rsid w:val="00E552E6"/>
    <w:rsid w:val="00E72B07"/>
    <w:rsid w:val="00E80E53"/>
    <w:rsid w:val="00E80EFC"/>
    <w:rsid w:val="00EA5A0D"/>
    <w:rsid w:val="00EB1A98"/>
    <w:rsid w:val="00EB62F9"/>
    <w:rsid w:val="00ED69AE"/>
    <w:rsid w:val="00EF09E0"/>
    <w:rsid w:val="00F17FE7"/>
    <w:rsid w:val="00F24563"/>
    <w:rsid w:val="00F42FA4"/>
    <w:rsid w:val="00F56DD2"/>
    <w:rsid w:val="00F7156C"/>
    <w:rsid w:val="00F7251F"/>
    <w:rsid w:val="00F9191A"/>
    <w:rsid w:val="00F9291A"/>
    <w:rsid w:val="00FA47D3"/>
    <w:rsid w:val="00FD771B"/>
    <w:rsid w:val="00FE3C8B"/>
    <w:rsid w:val="00FF1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8112D"/>
  <w15:chartTrackingRefBased/>
  <w15:docId w15:val="{53E71A69-3E83-466F-A257-2B16DB738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3234"/>
    <w:rPr>
      <w:rFonts w:eastAsiaTheme="minorEastAsia"/>
      <w:sz w:val="22"/>
      <w:szCs w:val="22"/>
      <w:lang w:val="en-US" w:eastAsia="zh-CN"/>
    </w:rPr>
  </w:style>
  <w:style w:type="character" w:customStyle="1" w:styleId="NoSpacingChar">
    <w:name w:val="No Spacing Char"/>
    <w:basedOn w:val="DefaultParagraphFont"/>
    <w:link w:val="NoSpacing"/>
    <w:uiPriority w:val="1"/>
    <w:rsid w:val="00403234"/>
    <w:rPr>
      <w:rFonts w:eastAsiaTheme="minorEastAsia"/>
      <w:sz w:val="22"/>
      <w:szCs w:val="22"/>
      <w:lang w:val="en-US" w:eastAsia="zh-CN"/>
    </w:rPr>
  </w:style>
  <w:style w:type="character" w:styleId="Hyperlink">
    <w:name w:val="Hyperlink"/>
    <w:basedOn w:val="DefaultParagraphFont"/>
    <w:uiPriority w:val="99"/>
    <w:semiHidden/>
    <w:unhideWhenUsed/>
    <w:rsid w:val="00F9191A"/>
    <w:rPr>
      <w:color w:val="0563C1" w:themeColor="hyperlink"/>
      <w:u w:val="single"/>
    </w:rPr>
  </w:style>
  <w:style w:type="paragraph" w:styleId="Footer">
    <w:name w:val="footer"/>
    <w:basedOn w:val="Normal"/>
    <w:link w:val="FooterChar"/>
    <w:uiPriority w:val="99"/>
    <w:unhideWhenUsed/>
    <w:rsid w:val="00C90D54"/>
    <w:pPr>
      <w:tabs>
        <w:tab w:val="center" w:pos="4513"/>
        <w:tab w:val="right" w:pos="9026"/>
      </w:tabs>
    </w:pPr>
  </w:style>
  <w:style w:type="character" w:customStyle="1" w:styleId="FooterChar">
    <w:name w:val="Footer Char"/>
    <w:basedOn w:val="DefaultParagraphFont"/>
    <w:link w:val="Footer"/>
    <w:uiPriority w:val="99"/>
    <w:rsid w:val="00C90D54"/>
  </w:style>
  <w:style w:type="character" w:styleId="PageNumber">
    <w:name w:val="page number"/>
    <w:basedOn w:val="DefaultParagraphFont"/>
    <w:uiPriority w:val="99"/>
    <w:semiHidden/>
    <w:unhideWhenUsed/>
    <w:rsid w:val="00C90D54"/>
  </w:style>
  <w:style w:type="paragraph" w:styleId="Header">
    <w:name w:val="header"/>
    <w:basedOn w:val="Normal"/>
    <w:link w:val="HeaderChar"/>
    <w:uiPriority w:val="99"/>
    <w:semiHidden/>
    <w:unhideWhenUsed/>
    <w:rsid w:val="00F9291A"/>
    <w:pPr>
      <w:tabs>
        <w:tab w:val="center" w:pos="4513"/>
        <w:tab w:val="right" w:pos="9026"/>
      </w:tabs>
    </w:pPr>
  </w:style>
  <w:style w:type="character" w:customStyle="1" w:styleId="HeaderChar">
    <w:name w:val="Header Char"/>
    <w:basedOn w:val="DefaultParagraphFont"/>
    <w:link w:val="Header"/>
    <w:uiPriority w:val="99"/>
    <w:semiHidden/>
    <w:rsid w:val="00F92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35821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2738/estp.2017.4.0001" TargetMode="External"/><Relationship Id="rId13" Type="http://schemas.openxmlformats.org/officeDocument/2006/relationships/hyperlink" Target="https://transitionsinlaterlife.files.wordpress.com/2014/09/cgf-transitions-in-later-life-guy-robertson.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geuk.org.uk/globalassets/age-uk/documents/reports-and-publications/reports-and-briefings/health--wellbeing/age_uk_briefing_state_of_health_and_care_of_older_people_july2019.pdf" TargetMode="External"/><Relationship Id="rId12" Type="http://schemas.openxmlformats.org/officeDocument/2006/relationships/hyperlink" Target="https://www.england.nhs.uk/wp-content/uploads/2017/09/practice-primer.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rrentnursing.com/nursing_theory/theory_of_psychosocial_development.html" TargetMode="External"/><Relationship Id="rId5" Type="http://schemas.openxmlformats.org/officeDocument/2006/relationships/footnotes" Target="footnotes.xml"/><Relationship Id="rId15" Type="http://schemas.openxmlformats.org/officeDocument/2006/relationships/hyperlink" Target="https://www.apa.org/ed/precollege/topss/lessons/life-development.pdf" TargetMode="External"/><Relationship Id="rId10" Type="http://schemas.openxmlformats.org/officeDocument/2006/relationships/hyperlink" Target="https://www.cqc.org.uk/guidance-providers/regulations-enforcement/regulation-9-person-centred-ca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mpaigntoendloneliness.org/wp-content/uploads/Psychology_of_Loneliness_FINAL_REPORT.pdf" TargetMode="External"/><Relationship Id="rId14" Type="http://schemas.openxmlformats.org/officeDocument/2006/relationships/hyperlink" Target="https://assets.publishing.service.gov.uk/government/uploads/system/uploads/attachment_data/file/460109/gs-15-24-future-ageing-supportive-services-role-er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2375</Words>
  <Characters>13541</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supporting old people</vt:lpstr>
    </vt:vector>
  </TitlesOfParts>
  <Company>Adesewa Ajayi (Lecturer)</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old people</dc:title>
  <dc:subject>Applying Psychological perspectives in Health and Social Care (BMHP4003) Assessment 2</dc:subject>
  <dc:creator>Maryam Malik (1919971)</dc:creator>
  <cp:keywords/>
  <dc:description/>
  <cp:lastModifiedBy>Maryam Malik (1919971)</cp:lastModifiedBy>
  <cp:revision>113</cp:revision>
  <dcterms:created xsi:type="dcterms:W3CDTF">2021-05-06T14:46:00Z</dcterms:created>
  <dcterms:modified xsi:type="dcterms:W3CDTF">2021-05-06T15:58:00Z</dcterms:modified>
</cp:coreProperties>
</file>