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7A2B0" w14:textId="77777777" w:rsidR="00B82772" w:rsidRDefault="00B82772" w:rsidP="00301A99"/>
    <w:p w14:paraId="09E927F0" w14:textId="77777777" w:rsidR="00B82772" w:rsidRDefault="00B82772" w:rsidP="00301A99"/>
    <w:p w14:paraId="50ADC82D" w14:textId="77777777" w:rsidR="00B82772" w:rsidRDefault="00B82772" w:rsidP="00301A99"/>
    <w:p w14:paraId="35E543B6" w14:textId="77777777" w:rsidR="00B82772" w:rsidRDefault="00B82772" w:rsidP="00301A99"/>
    <w:p w14:paraId="37635D08" w14:textId="77777777" w:rsidR="00B82772" w:rsidRDefault="00B82772" w:rsidP="00301A99"/>
    <w:p w14:paraId="79F4D36B" w14:textId="77777777" w:rsidR="006C08DA" w:rsidRDefault="006C08DA" w:rsidP="00497F6B">
      <w:pPr>
        <w:jc w:val="center"/>
        <w:rPr>
          <w:rFonts w:eastAsia="open_sansregular"/>
          <w:b/>
          <w:i/>
          <w:color w:val="333333"/>
          <w:sz w:val="96"/>
          <w:szCs w:val="96"/>
          <w:shd w:val="clear" w:color="auto" w:fill="FFFFFF"/>
        </w:rPr>
      </w:pPr>
    </w:p>
    <w:p w14:paraId="3E512843" w14:textId="77777777" w:rsidR="00401205" w:rsidRDefault="00497F6B" w:rsidP="002F3EF3">
      <w:pPr>
        <w:jc w:val="center"/>
        <w:rPr>
          <w:rFonts w:eastAsia="open_sansregular"/>
          <w:b/>
          <w:i/>
          <w:color w:val="333333"/>
          <w:sz w:val="96"/>
          <w:szCs w:val="96"/>
          <w:shd w:val="clear" w:color="auto" w:fill="FFFFFF"/>
        </w:rPr>
      </w:pPr>
      <w:r w:rsidRPr="00497F6B">
        <w:rPr>
          <w:rFonts w:eastAsia="open_sansregular"/>
          <w:b/>
          <w:i/>
          <w:color w:val="333333"/>
          <w:sz w:val="96"/>
          <w:szCs w:val="96"/>
          <w:shd w:val="clear" w:color="auto" w:fill="FFFFFF"/>
        </w:rPr>
        <w:t>BA in Business Management</w:t>
      </w:r>
    </w:p>
    <w:p w14:paraId="753A14E8" w14:textId="77777777" w:rsidR="00401205" w:rsidRDefault="00401205" w:rsidP="002F3EF3">
      <w:pPr>
        <w:jc w:val="center"/>
        <w:rPr>
          <w:rFonts w:eastAsia="open_sansregular"/>
          <w:b/>
          <w:i/>
          <w:color w:val="333333"/>
          <w:sz w:val="56"/>
          <w:szCs w:val="56"/>
          <w:shd w:val="clear" w:color="auto" w:fill="FFFFFF"/>
        </w:rPr>
      </w:pPr>
      <w:proofErr w:type="spellStart"/>
      <w:r>
        <w:rPr>
          <w:rFonts w:eastAsia="open_sansregular"/>
          <w:b/>
          <w:i/>
          <w:color w:val="333333"/>
          <w:sz w:val="56"/>
          <w:szCs w:val="56"/>
          <w:shd w:val="clear" w:color="auto" w:fill="FFFFFF"/>
        </w:rPr>
        <w:t>Tudosie</w:t>
      </w:r>
      <w:proofErr w:type="spellEnd"/>
      <w:r>
        <w:rPr>
          <w:rFonts w:eastAsia="open_sansregular"/>
          <w:b/>
          <w:i/>
          <w:color w:val="333333"/>
          <w:sz w:val="56"/>
          <w:szCs w:val="56"/>
          <w:shd w:val="clear" w:color="auto" w:fill="FFFFFF"/>
        </w:rPr>
        <w:t xml:space="preserve"> </w:t>
      </w:r>
      <w:proofErr w:type="spellStart"/>
      <w:r>
        <w:rPr>
          <w:rFonts w:eastAsia="open_sansregular"/>
          <w:b/>
          <w:i/>
          <w:color w:val="333333"/>
          <w:sz w:val="56"/>
          <w:szCs w:val="56"/>
          <w:shd w:val="clear" w:color="auto" w:fill="FFFFFF"/>
        </w:rPr>
        <w:t>Cristi</w:t>
      </w:r>
      <w:proofErr w:type="spellEnd"/>
      <w:r>
        <w:rPr>
          <w:rFonts w:eastAsia="open_sansregular"/>
          <w:b/>
          <w:i/>
          <w:color w:val="333333"/>
          <w:sz w:val="56"/>
          <w:szCs w:val="56"/>
          <w:shd w:val="clear" w:color="auto" w:fill="FFFFFF"/>
        </w:rPr>
        <w:t>-Gabriel</w:t>
      </w:r>
    </w:p>
    <w:p w14:paraId="091BF286" w14:textId="2435C888" w:rsidR="00401205" w:rsidRDefault="00000000" w:rsidP="002F3EF3">
      <w:pPr>
        <w:jc w:val="center"/>
        <w:rPr>
          <w:rFonts w:eastAsia="open_sansregular"/>
          <w:b/>
          <w:i/>
          <w:color w:val="333333"/>
          <w:sz w:val="56"/>
          <w:szCs w:val="56"/>
          <w:shd w:val="clear" w:color="auto" w:fill="FFFFFF"/>
        </w:rPr>
      </w:pPr>
      <w:hyperlink r:id="rId6" w:history="1">
        <w:r w:rsidR="00401205" w:rsidRPr="00332A5A">
          <w:rPr>
            <w:rStyle w:val="Hyperlink"/>
            <w:rFonts w:eastAsia="open_sansregular"/>
            <w:b/>
            <w:i/>
            <w:sz w:val="56"/>
            <w:szCs w:val="56"/>
            <w:shd w:val="clear" w:color="auto" w:fill="FFFFFF"/>
          </w:rPr>
          <w:t>1906879@student.uwtsd.ac.uk</w:t>
        </w:r>
      </w:hyperlink>
    </w:p>
    <w:p w14:paraId="3BC35702" w14:textId="77777777" w:rsidR="00321D8E" w:rsidRDefault="00401205" w:rsidP="002F3EF3">
      <w:pPr>
        <w:jc w:val="center"/>
        <w:rPr>
          <w:rFonts w:eastAsia="open_sansregular"/>
          <w:b/>
          <w:i/>
          <w:color w:val="333333"/>
          <w:sz w:val="56"/>
          <w:szCs w:val="56"/>
          <w:shd w:val="clear" w:color="auto" w:fill="FFFFFF"/>
        </w:rPr>
      </w:pPr>
      <w:proofErr w:type="spellStart"/>
      <w:r>
        <w:rPr>
          <w:rFonts w:eastAsia="open_sansregular"/>
          <w:b/>
          <w:i/>
          <w:color w:val="333333"/>
          <w:sz w:val="56"/>
          <w:szCs w:val="56"/>
          <w:shd w:val="clear" w:color="auto" w:fill="FFFFFF"/>
        </w:rPr>
        <w:t>Assigment</w:t>
      </w:r>
      <w:proofErr w:type="spellEnd"/>
      <w:r>
        <w:rPr>
          <w:rFonts w:eastAsia="open_sansregular"/>
          <w:b/>
          <w:i/>
          <w:color w:val="333333"/>
          <w:sz w:val="56"/>
          <w:szCs w:val="56"/>
          <w:shd w:val="clear" w:color="auto" w:fill="FFFFFF"/>
        </w:rPr>
        <w:t xml:space="preserve"> 2</w:t>
      </w:r>
    </w:p>
    <w:p w14:paraId="405FB611" w14:textId="50AAE3F6" w:rsidR="00176967" w:rsidRPr="00497F6B" w:rsidRDefault="00321D8E" w:rsidP="002F3EF3">
      <w:pPr>
        <w:jc w:val="center"/>
        <w:rPr>
          <w:b/>
          <w:i/>
          <w:sz w:val="96"/>
          <w:szCs w:val="96"/>
        </w:rPr>
      </w:pPr>
      <w:r>
        <w:rPr>
          <w:rFonts w:eastAsia="open_sansregular"/>
          <w:b/>
          <w:i/>
          <w:color w:val="333333"/>
          <w:sz w:val="56"/>
          <w:szCs w:val="56"/>
          <w:shd w:val="clear" w:color="auto" w:fill="FFFFFF"/>
        </w:rPr>
        <w:t>LCBB5005</w:t>
      </w:r>
      <w:r w:rsidR="00176967" w:rsidRPr="00497F6B">
        <w:rPr>
          <w:b/>
          <w:i/>
          <w:sz w:val="96"/>
          <w:szCs w:val="96"/>
        </w:rPr>
        <w:br w:type="page"/>
      </w:r>
    </w:p>
    <w:sdt>
      <w:sdtPr>
        <w:rPr>
          <w:rFonts w:ascii="Times New Roman" w:eastAsiaTheme="minorHAnsi" w:hAnsi="Times New Roman" w:cs="Times New Roman"/>
          <w:color w:val="auto"/>
          <w:sz w:val="24"/>
          <w:szCs w:val="24"/>
          <w:lang w:val="en-IN"/>
        </w:rPr>
        <w:id w:val="-1367295805"/>
        <w:docPartObj>
          <w:docPartGallery w:val="Table of Contents"/>
          <w:docPartUnique/>
        </w:docPartObj>
      </w:sdtPr>
      <w:sdtEndPr>
        <w:rPr>
          <w:b/>
          <w:bCs/>
          <w:noProof/>
        </w:rPr>
      </w:sdtEndPr>
      <w:sdtContent>
        <w:p w14:paraId="32D8904E" w14:textId="77777777" w:rsidR="008C254E" w:rsidRDefault="008C254E">
          <w:pPr>
            <w:pStyle w:val="TOCHeading"/>
          </w:pPr>
          <w:r>
            <w:t>Contents</w:t>
          </w:r>
        </w:p>
        <w:p w14:paraId="3924C9EB" w14:textId="77777777" w:rsidR="008C254E" w:rsidRDefault="008C254E">
          <w:pPr>
            <w:pStyle w:val="TOC1"/>
            <w:tabs>
              <w:tab w:val="right" w:leader="dot" w:pos="9016"/>
            </w:tabs>
            <w:rPr>
              <w:noProof/>
            </w:rPr>
          </w:pPr>
          <w:r>
            <w:fldChar w:fldCharType="begin"/>
          </w:r>
          <w:r>
            <w:instrText xml:space="preserve"> TOC \o "1-3" \h \z \u </w:instrText>
          </w:r>
          <w:r>
            <w:fldChar w:fldCharType="separate"/>
          </w:r>
          <w:hyperlink w:anchor="_Toc133701404" w:history="1">
            <w:r w:rsidRPr="00D910FB">
              <w:rPr>
                <w:rStyle w:val="Hyperlink"/>
                <w:noProof/>
              </w:rPr>
              <w:t>INTRODUCTION</w:t>
            </w:r>
            <w:r>
              <w:rPr>
                <w:noProof/>
                <w:webHidden/>
              </w:rPr>
              <w:tab/>
            </w:r>
            <w:r>
              <w:rPr>
                <w:noProof/>
                <w:webHidden/>
              </w:rPr>
              <w:fldChar w:fldCharType="begin"/>
            </w:r>
            <w:r>
              <w:rPr>
                <w:noProof/>
                <w:webHidden/>
              </w:rPr>
              <w:instrText xml:space="preserve"> PAGEREF _Toc133701404 \h </w:instrText>
            </w:r>
            <w:r>
              <w:rPr>
                <w:noProof/>
                <w:webHidden/>
              </w:rPr>
            </w:r>
            <w:r>
              <w:rPr>
                <w:noProof/>
                <w:webHidden/>
              </w:rPr>
              <w:fldChar w:fldCharType="separate"/>
            </w:r>
            <w:r>
              <w:rPr>
                <w:noProof/>
                <w:webHidden/>
              </w:rPr>
              <w:t>3</w:t>
            </w:r>
            <w:r>
              <w:rPr>
                <w:noProof/>
                <w:webHidden/>
              </w:rPr>
              <w:fldChar w:fldCharType="end"/>
            </w:r>
          </w:hyperlink>
        </w:p>
        <w:p w14:paraId="5362FE15" w14:textId="77777777" w:rsidR="008C254E" w:rsidRDefault="00000000">
          <w:pPr>
            <w:pStyle w:val="TOC1"/>
            <w:tabs>
              <w:tab w:val="right" w:leader="dot" w:pos="9016"/>
            </w:tabs>
            <w:rPr>
              <w:noProof/>
            </w:rPr>
          </w:pPr>
          <w:hyperlink w:anchor="_Toc133701405" w:history="1">
            <w:r w:rsidR="008C254E" w:rsidRPr="00D910FB">
              <w:rPr>
                <w:rStyle w:val="Hyperlink"/>
                <w:noProof/>
              </w:rPr>
              <w:t>PROJECT BRIEF</w:t>
            </w:r>
            <w:r w:rsidR="008C254E">
              <w:rPr>
                <w:noProof/>
                <w:webHidden/>
              </w:rPr>
              <w:tab/>
            </w:r>
            <w:r w:rsidR="008C254E">
              <w:rPr>
                <w:noProof/>
                <w:webHidden/>
              </w:rPr>
              <w:fldChar w:fldCharType="begin"/>
            </w:r>
            <w:r w:rsidR="008C254E">
              <w:rPr>
                <w:noProof/>
                <w:webHidden/>
              </w:rPr>
              <w:instrText xml:space="preserve"> PAGEREF _Toc133701405 \h </w:instrText>
            </w:r>
            <w:r w:rsidR="008C254E">
              <w:rPr>
                <w:noProof/>
                <w:webHidden/>
              </w:rPr>
            </w:r>
            <w:r w:rsidR="008C254E">
              <w:rPr>
                <w:noProof/>
                <w:webHidden/>
              </w:rPr>
              <w:fldChar w:fldCharType="separate"/>
            </w:r>
            <w:r w:rsidR="008C254E">
              <w:rPr>
                <w:noProof/>
                <w:webHidden/>
              </w:rPr>
              <w:t>3</w:t>
            </w:r>
            <w:r w:rsidR="008C254E">
              <w:rPr>
                <w:noProof/>
                <w:webHidden/>
              </w:rPr>
              <w:fldChar w:fldCharType="end"/>
            </w:r>
          </w:hyperlink>
        </w:p>
        <w:p w14:paraId="17BA50EF" w14:textId="77777777" w:rsidR="008C254E" w:rsidRDefault="00000000">
          <w:pPr>
            <w:pStyle w:val="TOC1"/>
            <w:tabs>
              <w:tab w:val="right" w:leader="dot" w:pos="9016"/>
            </w:tabs>
            <w:rPr>
              <w:noProof/>
            </w:rPr>
          </w:pPr>
          <w:hyperlink w:anchor="_Toc133701406" w:history="1">
            <w:r w:rsidR="008C254E" w:rsidRPr="00D910FB">
              <w:rPr>
                <w:rStyle w:val="Hyperlink"/>
                <w:noProof/>
              </w:rPr>
              <w:t>EVALUATION REPORT</w:t>
            </w:r>
            <w:r w:rsidR="008C254E">
              <w:rPr>
                <w:noProof/>
                <w:webHidden/>
              </w:rPr>
              <w:tab/>
            </w:r>
            <w:r w:rsidR="008C254E">
              <w:rPr>
                <w:noProof/>
                <w:webHidden/>
              </w:rPr>
              <w:fldChar w:fldCharType="begin"/>
            </w:r>
            <w:r w:rsidR="008C254E">
              <w:rPr>
                <w:noProof/>
                <w:webHidden/>
              </w:rPr>
              <w:instrText xml:space="preserve"> PAGEREF _Toc133701406 \h </w:instrText>
            </w:r>
            <w:r w:rsidR="008C254E">
              <w:rPr>
                <w:noProof/>
                <w:webHidden/>
              </w:rPr>
            </w:r>
            <w:r w:rsidR="008C254E">
              <w:rPr>
                <w:noProof/>
                <w:webHidden/>
              </w:rPr>
              <w:fldChar w:fldCharType="separate"/>
            </w:r>
            <w:r w:rsidR="008C254E">
              <w:rPr>
                <w:noProof/>
                <w:webHidden/>
              </w:rPr>
              <w:t>4</w:t>
            </w:r>
            <w:r w:rsidR="008C254E">
              <w:rPr>
                <w:noProof/>
                <w:webHidden/>
              </w:rPr>
              <w:fldChar w:fldCharType="end"/>
            </w:r>
          </w:hyperlink>
        </w:p>
        <w:p w14:paraId="61BFAA7A" w14:textId="77777777" w:rsidR="008C254E" w:rsidRDefault="00000000">
          <w:pPr>
            <w:pStyle w:val="TOC1"/>
            <w:tabs>
              <w:tab w:val="right" w:leader="dot" w:pos="9016"/>
            </w:tabs>
            <w:rPr>
              <w:noProof/>
            </w:rPr>
          </w:pPr>
          <w:hyperlink w:anchor="_Toc133701407" w:history="1">
            <w:r w:rsidR="008C254E" w:rsidRPr="00D910FB">
              <w:rPr>
                <w:rStyle w:val="Hyperlink"/>
                <w:noProof/>
              </w:rPr>
              <w:t>LESSONS THAT CAN BE LEARNED FROM THE PROJECT</w:t>
            </w:r>
            <w:r w:rsidR="008C254E">
              <w:rPr>
                <w:noProof/>
                <w:webHidden/>
              </w:rPr>
              <w:tab/>
            </w:r>
            <w:r w:rsidR="008C254E">
              <w:rPr>
                <w:noProof/>
                <w:webHidden/>
              </w:rPr>
              <w:fldChar w:fldCharType="begin"/>
            </w:r>
            <w:r w:rsidR="008C254E">
              <w:rPr>
                <w:noProof/>
                <w:webHidden/>
              </w:rPr>
              <w:instrText xml:space="preserve"> PAGEREF _Toc133701407 \h </w:instrText>
            </w:r>
            <w:r w:rsidR="008C254E">
              <w:rPr>
                <w:noProof/>
                <w:webHidden/>
              </w:rPr>
            </w:r>
            <w:r w:rsidR="008C254E">
              <w:rPr>
                <w:noProof/>
                <w:webHidden/>
              </w:rPr>
              <w:fldChar w:fldCharType="separate"/>
            </w:r>
            <w:r w:rsidR="008C254E">
              <w:rPr>
                <w:noProof/>
                <w:webHidden/>
              </w:rPr>
              <w:t>7</w:t>
            </w:r>
            <w:r w:rsidR="008C254E">
              <w:rPr>
                <w:noProof/>
                <w:webHidden/>
              </w:rPr>
              <w:fldChar w:fldCharType="end"/>
            </w:r>
          </w:hyperlink>
        </w:p>
        <w:p w14:paraId="10FBF95E" w14:textId="77777777" w:rsidR="008C254E" w:rsidRDefault="00000000">
          <w:pPr>
            <w:pStyle w:val="TOC1"/>
            <w:tabs>
              <w:tab w:val="right" w:leader="dot" w:pos="9016"/>
            </w:tabs>
            <w:rPr>
              <w:noProof/>
            </w:rPr>
          </w:pPr>
          <w:hyperlink w:anchor="_Toc133701408" w:history="1">
            <w:r w:rsidR="008C254E" w:rsidRPr="00D910FB">
              <w:rPr>
                <w:rStyle w:val="Hyperlink"/>
                <w:noProof/>
              </w:rPr>
              <w:t>CONCLUSION</w:t>
            </w:r>
            <w:r w:rsidR="008C254E">
              <w:rPr>
                <w:noProof/>
                <w:webHidden/>
              </w:rPr>
              <w:tab/>
            </w:r>
            <w:r w:rsidR="008C254E">
              <w:rPr>
                <w:noProof/>
                <w:webHidden/>
              </w:rPr>
              <w:fldChar w:fldCharType="begin"/>
            </w:r>
            <w:r w:rsidR="008C254E">
              <w:rPr>
                <w:noProof/>
                <w:webHidden/>
              </w:rPr>
              <w:instrText xml:space="preserve"> PAGEREF _Toc133701408 \h </w:instrText>
            </w:r>
            <w:r w:rsidR="008C254E">
              <w:rPr>
                <w:noProof/>
                <w:webHidden/>
              </w:rPr>
            </w:r>
            <w:r w:rsidR="008C254E">
              <w:rPr>
                <w:noProof/>
                <w:webHidden/>
              </w:rPr>
              <w:fldChar w:fldCharType="separate"/>
            </w:r>
            <w:r w:rsidR="008C254E">
              <w:rPr>
                <w:noProof/>
                <w:webHidden/>
              </w:rPr>
              <w:t>7</w:t>
            </w:r>
            <w:r w:rsidR="008C254E">
              <w:rPr>
                <w:noProof/>
                <w:webHidden/>
              </w:rPr>
              <w:fldChar w:fldCharType="end"/>
            </w:r>
          </w:hyperlink>
        </w:p>
        <w:p w14:paraId="2D9A45F8" w14:textId="77777777" w:rsidR="008C254E" w:rsidRDefault="00000000">
          <w:pPr>
            <w:pStyle w:val="TOC1"/>
            <w:tabs>
              <w:tab w:val="right" w:leader="dot" w:pos="9016"/>
            </w:tabs>
            <w:rPr>
              <w:noProof/>
            </w:rPr>
          </w:pPr>
          <w:hyperlink w:anchor="_Toc133701409" w:history="1">
            <w:r w:rsidR="008C254E" w:rsidRPr="00D910FB">
              <w:rPr>
                <w:rStyle w:val="Hyperlink"/>
                <w:noProof/>
              </w:rPr>
              <w:t>REFERENCES</w:t>
            </w:r>
            <w:r w:rsidR="008C254E">
              <w:rPr>
                <w:noProof/>
                <w:webHidden/>
              </w:rPr>
              <w:tab/>
            </w:r>
            <w:r w:rsidR="008C254E">
              <w:rPr>
                <w:noProof/>
                <w:webHidden/>
              </w:rPr>
              <w:fldChar w:fldCharType="begin"/>
            </w:r>
            <w:r w:rsidR="008C254E">
              <w:rPr>
                <w:noProof/>
                <w:webHidden/>
              </w:rPr>
              <w:instrText xml:space="preserve"> PAGEREF _Toc133701409 \h </w:instrText>
            </w:r>
            <w:r w:rsidR="008C254E">
              <w:rPr>
                <w:noProof/>
                <w:webHidden/>
              </w:rPr>
            </w:r>
            <w:r w:rsidR="008C254E">
              <w:rPr>
                <w:noProof/>
                <w:webHidden/>
              </w:rPr>
              <w:fldChar w:fldCharType="separate"/>
            </w:r>
            <w:r w:rsidR="008C254E">
              <w:rPr>
                <w:noProof/>
                <w:webHidden/>
              </w:rPr>
              <w:t>9</w:t>
            </w:r>
            <w:r w:rsidR="008C254E">
              <w:rPr>
                <w:noProof/>
                <w:webHidden/>
              </w:rPr>
              <w:fldChar w:fldCharType="end"/>
            </w:r>
          </w:hyperlink>
        </w:p>
        <w:p w14:paraId="127B0520" w14:textId="77777777" w:rsidR="008C254E" w:rsidRDefault="008C254E">
          <w:r>
            <w:rPr>
              <w:b/>
              <w:bCs/>
              <w:noProof/>
            </w:rPr>
            <w:fldChar w:fldCharType="end"/>
          </w:r>
        </w:p>
      </w:sdtContent>
    </w:sdt>
    <w:p w14:paraId="148061C9" w14:textId="77777777" w:rsidR="008C254E" w:rsidRDefault="008C254E">
      <w:pPr>
        <w:spacing w:line="259" w:lineRule="auto"/>
        <w:jc w:val="left"/>
        <w:rPr>
          <w:rFonts w:eastAsiaTheme="majorEastAsia"/>
          <w:b/>
          <w:sz w:val="28"/>
          <w:szCs w:val="28"/>
        </w:rPr>
      </w:pPr>
      <w:r>
        <w:br w:type="page"/>
      </w:r>
    </w:p>
    <w:p w14:paraId="1C342899" w14:textId="77777777" w:rsidR="00176967" w:rsidRDefault="00176967" w:rsidP="00301A99">
      <w:pPr>
        <w:pStyle w:val="Heading1"/>
      </w:pPr>
      <w:bookmarkStart w:id="0" w:name="_Toc133701404"/>
      <w:r>
        <w:lastRenderedPageBreak/>
        <w:t>INTRODUCTION</w:t>
      </w:r>
      <w:bookmarkEnd w:id="0"/>
    </w:p>
    <w:p w14:paraId="1806417D" w14:textId="77777777" w:rsidR="000E6795" w:rsidRPr="003D6C22" w:rsidRDefault="00A532BF" w:rsidP="003D6C22">
      <w:pPr>
        <w:pStyle w:val="BodyText"/>
        <w:rPr>
          <w:color w:val="222222"/>
          <w:szCs w:val="24"/>
          <w:shd w:val="clear" w:color="auto" w:fill="FFFFFF"/>
        </w:rPr>
      </w:pPr>
      <w:r>
        <w:tab/>
      </w:r>
      <w:r w:rsidR="006C11B5" w:rsidRPr="00301A99">
        <w:t>Management is the technique used to effectively and efficiently manage the resources that are available to a company or project. As a result, the project's objectives are achieved. In order to assess how a development has played out in relation to the overall project plan, management also entails reviewing the numerous developments that have been made in a project</w:t>
      </w:r>
      <w:r w:rsidR="003D6C22">
        <w:rPr>
          <w:color w:val="222222"/>
          <w:szCs w:val="24"/>
          <w:shd w:val="clear" w:color="auto" w:fill="FFFFFF"/>
        </w:rPr>
        <w:t xml:space="preserve"> (</w:t>
      </w:r>
      <w:proofErr w:type="spellStart"/>
      <w:r w:rsidR="003D6C22">
        <w:rPr>
          <w:color w:val="222222"/>
          <w:szCs w:val="24"/>
          <w:shd w:val="clear" w:color="auto" w:fill="FFFFFF"/>
        </w:rPr>
        <w:t>Steffensen</w:t>
      </w:r>
      <w:proofErr w:type="spellEnd"/>
      <w:r w:rsidR="003D6C22">
        <w:rPr>
          <w:color w:val="222222"/>
          <w:szCs w:val="24"/>
          <w:shd w:val="clear" w:color="auto" w:fill="FFFFFF"/>
        </w:rPr>
        <w:t xml:space="preserve"> and et.al., 2019)</w:t>
      </w:r>
      <w:r w:rsidR="006C11B5" w:rsidRPr="00301A99">
        <w:t>. The ensuing study will evaluate the advancements that have taken place during the project's lifespan since it is an evaluation report on the Hinkley Point C project. The following report discusses the challenges the project had during the development process, the delays, and the overall accomplishments the project has made. The 10 important project management knowledge area factors will be used to conduct this evaluation. The report will discuss the lessons that can be learnt from the work that was done on the project after reviewing all the advancements that have been made by the project. These lessons will serve as the foundation for new projects that will be produced in the future. As a result, it will be possible to ensure that specific errors that occurred throughout the course of this project may be avoided in any other project with a similar size and scope in the future. As a result, the job will be of a high standard, and the resources will be used efficiently for subsequent projects</w:t>
      </w:r>
      <w:r w:rsidR="006C11B5" w:rsidRPr="006C11B5">
        <w:t xml:space="preserve">.  </w:t>
      </w:r>
    </w:p>
    <w:p w14:paraId="430B0BF6" w14:textId="77777777" w:rsidR="000E6795" w:rsidRDefault="000E6795" w:rsidP="000E6795">
      <w:pPr>
        <w:pStyle w:val="Heading1"/>
      </w:pPr>
      <w:bookmarkStart w:id="1" w:name="_Toc133701405"/>
      <w:r>
        <w:t>PROJECT BRIEF</w:t>
      </w:r>
      <w:bookmarkEnd w:id="1"/>
    </w:p>
    <w:p w14:paraId="19D6B503" w14:textId="77777777" w:rsidR="00954233" w:rsidRDefault="00F8438F" w:rsidP="000E6795">
      <w:r w:rsidRPr="00F8438F">
        <w:t>This project relates to Hinkley Point C, one of the most expensive nuclear power plants in the world</w:t>
      </w:r>
      <w:r w:rsidR="00861394">
        <w:t xml:space="preserve"> </w:t>
      </w:r>
      <w:r w:rsidR="00861394">
        <w:rPr>
          <w:color w:val="222222"/>
          <w:shd w:val="clear" w:color="auto" w:fill="FFFFFF"/>
        </w:rPr>
        <w:t>(Pan and Zhang, 2021)</w:t>
      </w:r>
      <w:r w:rsidRPr="00F8438F">
        <w:t xml:space="preserve">. The Somerset, United Kingdom, plant was built with the important goal of providing electricity to millions of homes while producing low carbon emissions. The dual HPC EPR project, which was initially announced in 2010, will eventually be able to produce 3,260 MW of low-carbon electricity over the course of 60 years. The project was expected to produce approximately 25000 jobs, according to early projections. Over the course of a year, the project was expected to reduce carbon emissions by more than 9 million tonnes, and over 600 million tonnes during the course of the project's 60-year lifespan. The initial budget for the complete project was predicted to reach £ 16 billion in the year 2012. this was eventually increased to more than £25 to £26 billion. However, based on the current status, it is predicted that the project will cost more than £ 32.7 billion; this is primarily because of delays in the project's schedule. Consequently, the project's overall costs increased by over 30%. The length of time it took to obtain a license and clearance for a project of this size was what led to the delays. Additionally, delays were brought on by the COVID-19 Pandemic and a few recent geopolitical events. This includes the ongoing hostilities in the nations of Russia </w:t>
      </w:r>
      <w:r w:rsidRPr="00F8438F">
        <w:lastRenderedPageBreak/>
        <w:t xml:space="preserve">and Ukraine in eastern Europe. As a result, the project is still planning to start in June 2027, but in case there are any additional delays, a contingency of 15 months is being taken into account. The French government-backed </w:t>
      </w:r>
      <w:proofErr w:type="spellStart"/>
      <w:r w:rsidRPr="00F8438F">
        <w:t>Électricité</w:t>
      </w:r>
      <w:proofErr w:type="spellEnd"/>
      <w:r w:rsidRPr="00F8438F">
        <w:t xml:space="preserve"> de France (EDF) and a Chinese energy company by the name of China General Nuclear Power Group have been added as stakeholders because the project's size and scope are greater than what the government of the United Kingdom could have handled alone.</w:t>
      </w:r>
    </w:p>
    <w:p w14:paraId="5CEAE2FE" w14:textId="77777777" w:rsidR="007B0FB2" w:rsidRDefault="007B0FB2" w:rsidP="007B0FB2">
      <w:pPr>
        <w:pStyle w:val="Heading1"/>
      </w:pPr>
      <w:bookmarkStart w:id="2" w:name="_Toc133701406"/>
      <w:r>
        <w:t>EVALUATION REPORT</w:t>
      </w:r>
      <w:bookmarkEnd w:id="2"/>
    </w:p>
    <w:p w14:paraId="3A131F3D" w14:textId="77777777" w:rsidR="007B0FB2" w:rsidRDefault="007B0FB2" w:rsidP="000E6795">
      <w:r w:rsidRPr="007B0FB2">
        <w:t>The appraisal of the Hinkley Point C project according to the 10 fundamental knowledge areas of project management is provided below.</w:t>
      </w:r>
    </w:p>
    <w:p w14:paraId="0AA22F65" w14:textId="77777777" w:rsidR="006943A0" w:rsidRDefault="00533FAE" w:rsidP="000E6795">
      <w:pPr>
        <w:rPr>
          <w:b/>
          <w:bCs/>
        </w:rPr>
      </w:pPr>
      <w:r>
        <w:rPr>
          <w:b/>
          <w:bCs/>
        </w:rPr>
        <w:t>The Project Integration Management</w:t>
      </w:r>
    </w:p>
    <w:p w14:paraId="0B00ED11" w14:textId="77777777" w:rsidR="00F8438F" w:rsidRPr="00353820" w:rsidRDefault="006943A0" w:rsidP="00353820">
      <w:pPr>
        <w:pStyle w:val="BodyText"/>
        <w:ind w:left="18"/>
        <w:rPr>
          <w:color w:val="222222"/>
          <w:szCs w:val="24"/>
          <w:shd w:val="clear" w:color="auto" w:fill="FFFFFF"/>
        </w:rPr>
      </w:pPr>
      <w:r w:rsidRPr="006943A0">
        <w:t xml:space="preserve">One of the important knowledge areas is project integration management, which is the part of the process that assesses how the project's many components were brought together as a whole. This can involve the material resources and the individuals who will be essential to the project's </w:t>
      </w:r>
      <w:proofErr w:type="gramStart"/>
      <w:r w:rsidRPr="006943A0">
        <w:t>development as a whole</w:t>
      </w:r>
      <w:proofErr w:type="gramEnd"/>
      <w:r w:rsidR="00353820">
        <w:t xml:space="preserve"> </w:t>
      </w:r>
      <w:r w:rsidR="00353820">
        <w:rPr>
          <w:color w:val="222222"/>
          <w:szCs w:val="24"/>
          <w:shd w:val="clear" w:color="auto" w:fill="FFFFFF"/>
        </w:rPr>
        <w:t>(Sanghera and Sanghera, 2019)</w:t>
      </w:r>
      <w:r w:rsidRPr="006943A0">
        <w:t>. In 2010, the government made its initial announcement of support for the project's concept. The fact that the permits and approvals needed to begin and complete a project of this scale took longer than anticipated resulted in a 7-year delay in the project's completion. In 2012, the project's license was gained. The plant will, however, start up in 2027, according to the plant's developers. The government's resources have been diverted to other projects as a result of recent environmental changes like the COVID 19 epidemic and the ongoing conflict in eastern Europe, however, and as a result, the project has had problems integrating the resources.</w:t>
      </w:r>
      <w:r w:rsidR="00F8438F" w:rsidRPr="00F8438F">
        <w:rPr>
          <w:rFonts w:eastAsiaTheme="minorHAnsi"/>
          <w:szCs w:val="24"/>
        </w:rPr>
        <w:t xml:space="preserve"> </w:t>
      </w:r>
    </w:p>
    <w:p w14:paraId="3D936192" w14:textId="77777777" w:rsidR="00D54E12" w:rsidRDefault="00D54E12" w:rsidP="00D54E12">
      <w:r>
        <w:rPr>
          <w:b/>
          <w:bCs/>
        </w:rPr>
        <w:t>Project Scope Management</w:t>
      </w:r>
    </w:p>
    <w:p w14:paraId="5A12E0F3" w14:textId="77777777" w:rsidR="00D54E12" w:rsidRDefault="00486B4B" w:rsidP="00486B4B">
      <w:r w:rsidRPr="00486B4B">
        <w:t xml:space="preserve">The project scope management process is one that makes sure that a project's goals are all met within the allocated time and budget. The project has had some delays as a result of the company's multiple scheduling setbacks. The project's sea wall was supposed to be finished in March 2018, but it wasn't. Instead, it was finished in December 2018. Another component of the project that has experienced significant delays is the drilling of the tunnel for the cooling water. According to the latest information from the governments, even though this was initially planned to be finished in the month of September 2019, it is still in the process. All of these delays may be the result of the emergence of unforeseen circumstances, like a global pandemic. The project's budget has also grown dramatically over time; when it was first estimated, it was only expected to cost £ 16 billion, but it has now reached over £ 32.7 billion. This demonstrates </w:t>
      </w:r>
      <w:r w:rsidRPr="00486B4B">
        <w:lastRenderedPageBreak/>
        <w:t>that the project's scale and size were not included in the budget's initial planning, and as a result, financial and timeline concerns are now being encountered as the project is being developed.</w:t>
      </w:r>
    </w:p>
    <w:p w14:paraId="214CABFC" w14:textId="77777777" w:rsidR="00914461" w:rsidRDefault="00054E1E" w:rsidP="00486B4B">
      <w:pPr>
        <w:rPr>
          <w:b/>
          <w:bCs/>
        </w:rPr>
      </w:pPr>
      <w:r>
        <w:rPr>
          <w:b/>
          <w:bCs/>
        </w:rPr>
        <w:t>Project Time Management</w:t>
      </w:r>
    </w:p>
    <w:p w14:paraId="156EB6FE" w14:textId="77777777" w:rsidR="002169E5" w:rsidRPr="00481F6A" w:rsidRDefault="002169E5" w:rsidP="00481F6A">
      <w:pPr>
        <w:pStyle w:val="BodyText"/>
        <w:ind w:left="18"/>
        <w:rPr>
          <w:color w:val="222222"/>
          <w:szCs w:val="24"/>
          <w:shd w:val="clear" w:color="auto" w:fill="FFFFFF"/>
        </w:rPr>
      </w:pPr>
      <w:r w:rsidRPr="002169E5">
        <w:t xml:space="preserve">Project start dates and other deadlines that must be met </w:t>
      </w:r>
      <w:proofErr w:type="gramStart"/>
      <w:r w:rsidRPr="002169E5">
        <w:t>in order for</w:t>
      </w:r>
      <w:proofErr w:type="gramEnd"/>
      <w:r w:rsidRPr="002169E5">
        <w:t xml:space="preserve"> the project to be finished on schedule are the main topics of project time management. According to the project's initial projections, the full facility would be operating in June of 2027 after receiving license and permission in the years 2012 and 2017, respectively</w:t>
      </w:r>
      <w:r w:rsidR="00481F6A">
        <w:t xml:space="preserve"> </w:t>
      </w:r>
      <w:r w:rsidR="00481F6A">
        <w:rPr>
          <w:color w:val="222222"/>
          <w:szCs w:val="24"/>
          <w:shd w:val="clear" w:color="auto" w:fill="FFFFFF"/>
        </w:rPr>
        <w:t>(Ding and Lu, 2021)</w:t>
      </w:r>
      <w:r w:rsidRPr="002169E5">
        <w:t>. This plant timetable has not changed, therefore by all accounts the project has continued despite the numerous delays and financial difficulties it has encountered. Most of the development-related elements, including the installation of sea water cooling pipes and the common raft for nuclear islands, were created by the deadlines that were assigned to them.</w:t>
      </w:r>
    </w:p>
    <w:p w14:paraId="536EFCF3" w14:textId="77777777" w:rsidR="00923E40" w:rsidRDefault="00923E40" w:rsidP="00923E40">
      <w:pPr>
        <w:rPr>
          <w:b/>
          <w:bCs/>
        </w:rPr>
      </w:pPr>
      <w:r>
        <w:rPr>
          <w:b/>
          <w:bCs/>
        </w:rPr>
        <w:t>Project Cost Management</w:t>
      </w:r>
    </w:p>
    <w:p w14:paraId="63EAC57A" w14:textId="77777777" w:rsidR="00E93493" w:rsidRPr="002517CF" w:rsidRDefault="00092EBC" w:rsidP="002517CF">
      <w:pPr>
        <w:pStyle w:val="BodyText"/>
        <w:ind w:left="18"/>
        <w:rPr>
          <w:color w:val="222222"/>
          <w:szCs w:val="24"/>
          <w:shd w:val="clear" w:color="auto" w:fill="FFFFFF"/>
        </w:rPr>
      </w:pPr>
      <w:r w:rsidRPr="00092EBC">
        <w:t>The measure of how well a project has handled the money that was allotted to it and whether any discrepancies have been noted in the project is called project cost management. As can be seen, the project's initial budget was just around £ 16 billion; however, this was later updated to £ 18 billion in 2015; again, when the project was launched in July 2017, the costs were estimated to be between £ 19.6 and £ 20.3 billion. The project, which was still in the planning stages, had a total cost estimate that fell between £ 25 and £ 26 billion. This amount was increased once more after the pandemic to exceed £ 32.7 billion. The project's budget has increased over time from just £ 16 billion to more than £ 32.7 billion, more than double. Consequently, it can be determined that the initial budget was not created in accordance with the necessary and appropriate calculations of the amount that will be required by the project of this magnitude</w:t>
      </w:r>
      <w:r w:rsidR="002517CF">
        <w:rPr>
          <w:color w:val="222222"/>
          <w:szCs w:val="24"/>
          <w:shd w:val="clear" w:color="auto" w:fill="FFFFFF"/>
        </w:rPr>
        <w:t xml:space="preserve"> (</w:t>
      </w:r>
      <w:proofErr w:type="spellStart"/>
      <w:r w:rsidR="002517CF">
        <w:rPr>
          <w:color w:val="222222"/>
          <w:szCs w:val="24"/>
          <w:shd w:val="clear" w:color="auto" w:fill="FFFFFF"/>
        </w:rPr>
        <w:t>Acebes</w:t>
      </w:r>
      <w:proofErr w:type="spellEnd"/>
      <w:r w:rsidR="002517CF">
        <w:rPr>
          <w:color w:val="222222"/>
          <w:szCs w:val="24"/>
          <w:shd w:val="clear" w:color="auto" w:fill="FFFFFF"/>
        </w:rPr>
        <w:t xml:space="preserve"> and et.al., 2021)</w:t>
      </w:r>
      <w:r w:rsidRPr="00092EBC">
        <w:t xml:space="preserve">. Additionally, it can be said that the initial budget did not account for </w:t>
      </w:r>
      <w:proofErr w:type="gramStart"/>
      <w:r w:rsidRPr="00092EBC">
        <w:t>all of</w:t>
      </w:r>
      <w:proofErr w:type="gramEnd"/>
      <w:r w:rsidRPr="00092EBC">
        <w:t xml:space="preserve"> the potential environmental changes and contingencies that might have affected the project.</w:t>
      </w:r>
    </w:p>
    <w:p w14:paraId="40A6B2EF" w14:textId="77777777" w:rsidR="00864D7A" w:rsidRDefault="00864D7A" w:rsidP="00864D7A">
      <w:pPr>
        <w:rPr>
          <w:b/>
          <w:bCs/>
        </w:rPr>
      </w:pPr>
      <w:r>
        <w:rPr>
          <w:b/>
          <w:bCs/>
        </w:rPr>
        <w:t>Project Quality Management</w:t>
      </w:r>
    </w:p>
    <w:p w14:paraId="562B5DF4" w14:textId="77777777" w:rsidR="00092EBC" w:rsidRPr="00036E94" w:rsidRDefault="0059583C" w:rsidP="00036E94">
      <w:pPr>
        <w:pStyle w:val="BodyText"/>
        <w:ind w:left="18"/>
        <w:rPr>
          <w:color w:val="222222"/>
          <w:szCs w:val="24"/>
          <w:shd w:val="clear" w:color="auto" w:fill="FFFFFF"/>
        </w:rPr>
      </w:pPr>
      <w:r w:rsidRPr="0059583C">
        <w:t>Project quality management refers to the measurement of all project deliverables and associated processes to be met in accordance with the criteria set by the various project stakeholders. The quality control tests can be used to examine this. EDF Energy, a French-owned energy corporation, and China General Nuclear Power Group, a Chinese company, are the project's top stakeholders. Regarding a project of this size and scope, these stakeholders must also provide funding and expertise</w:t>
      </w:r>
      <w:r w:rsidR="00036E94">
        <w:rPr>
          <w:color w:val="222222"/>
          <w:szCs w:val="24"/>
          <w:shd w:val="clear" w:color="auto" w:fill="FFFFFF"/>
        </w:rPr>
        <w:t xml:space="preserve"> (Hou and et.al., 2020)</w:t>
      </w:r>
      <w:r w:rsidRPr="0059583C">
        <w:t xml:space="preserve">. The plant's ability to cut carbon </w:t>
      </w:r>
      <w:r w:rsidRPr="0059583C">
        <w:lastRenderedPageBreak/>
        <w:t>emissions by more than 9 million tonnes in a single year and more than 60 million tonnes over the course of its entire life will serve as the deliverables against which the company's success will be judged</w:t>
      </w:r>
      <w:r w:rsidR="00326971">
        <w:t xml:space="preserve"> </w:t>
      </w:r>
      <w:r w:rsidR="00326971" w:rsidRPr="00837ACA">
        <w:rPr>
          <w:color w:val="222222"/>
          <w:szCs w:val="24"/>
          <w:shd w:val="clear" w:color="auto" w:fill="FFFFFF"/>
        </w:rPr>
        <w:t>(Management and Society, 2018)</w:t>
      </w:r>
      <w:r w:rsidRPr="0059583C">
        <w:t>. Additionally, 7% of the nation's energy requirements will be met by the plant. And by the year 2050, carbon emissions should have decreased by more than 80%. Additionally, the project must successfully pass a review by the European Commission of the guidelines for using nuclear energy during production. The whole project's quality will also be evaluated by the national audit agency.</w:t>
      </w:r>
    </w:p>
    <w:p w14:paraId="58C03F64" w14:textId="77777777" w:rsidR="00793571" w:rsidRDefault="00793571" w:rsidP="00793571">
      <w:pPr>
        <w:rPr>
          <w:b/>
          <w:bCs/>
        </w:rPr>
      </w:pPr>
      <w:r>
        <w:rPr>
          <w:b/>
          <w:bCs/>
        </w:rPr>
        <w:t>Project Resource Management</w:t>
      </w:r>
    </w:p>
    <w:p w14:paraId="624CD2CA" w14:textId="77777777" w:rsidR="0043187D" w:rsidRDefault="0043187D" w:rsidP="00A23299">
      <w:r w:rsidRPr="0043187D">
        <w:t>This knowledge metric for project management focuses on managing the resources needed for a project. Over £32.7 billion in costs must be associated with the project and kept within the budget. Along with all the raw materials that will be needed for the project, the estimated number of employees is 25000. To meet deadlines and complete the project's goals, it is necessary to manage all of these resources effectively and efficiently.</w:t>
      </w:r>
    </w:p>
    <w:p w14:paraId="383F8C10" w14:textId="77777777" w:rsidR="00C23E3B" w:rsidRDefault="00A050AC" w:rsidP="00A23299">
      <w:pPr>
        <w:rPr>
          <w:b/>
          <w:bCs/>
        </w:rPr>
      </w:pPr>
      <w:r>
        <w:rPr>
          <w:b/>
          <w:bCs/>
        </w:rPr>
        <w:t>Project Communications Management</w:t>
      </w:r>
    </w:p>
    <w:p w14:paraId="78ED253D" w14:textId="77777777" w:rsidR="00850FE9" w:rsidRPr="00FC308D" w:rsidRDefault="00850FE9" w:rsidP="00FC308D">
      <w:pPr>
        <w:pStyle w:val="BodyText"/>
        <w:ind w:left="18"/>
        <w:rPr>
          <w:color w:val="222222"/>
          <w:szCs w:val="24"/>
          <w:shd w:val="clear" w:color="auto" w:fill="FFFFFF"/>
        </w:rPr>
      </w:pPr>
      <w:r w:rsidRPr="00850FE9">
        <w:t xml:space="preserve">The project communications management component evaluates if </w:t>
      </w:r>
      <w:proofErr w:type="gramStart"/>
      <w:r w:rsidRPr="00850FE9">
        <w:t>all of</w:t>
      </w:r>
      <w:proofErr w:type="gramEnd"/>
      <w:r w:rsidRPr="00850FE9">
        <w:t xml:space="preserve"> the company's stakeholders are effectively communicating with one another about the project's various developmental stages. Considering that the United Kingdom's government, EDF energy, the French government, China General Nuclear Power Group, and the local populace of the nation are the key stakeholders in this project. Each of them </w:t>
      </w:r>
      <w:proofErr w:type="gramStart"/>
      <w:r w:rsidRPr="00850FE9">
        <w:t>has to</w:t>
      </w:r>
      <w:proofErr w:type="gramEnd"/>
      <w:r w:rsidRPr="00850FE9">
        <w:t xml:space="preserve"> be informed of the project's progress</w:t>
      </w:r>
      <w:r w:rsidR="00FC308D">
        <w:rPr>
          <w:color w:val="222222"/>
          <w:szCs w:val="24"/>
          <w:shd w:val="clear" w:color="auto" w:fill="FFFFFF"/>
        </w:rPr>
        <w:t xml:space="preserve"> (Singh, </w:t>
      </w:r>
      <w:proofErr w:type="spellStart"/>
      <w:r w:rsidR="00FC308D">
        <w:rPr>
          <w:color w:val="222222"/>
          <w:szCs w:val="24"/>
          <w:shd w:val="clear" w:color="auto" w:fill="FFFFFF"/>
        </w:rPr>
        <w:t>Saha</w:t>
      </w:r>
      <w:proofErr w:type="spellEnd"/>
      <w:r w:rsidR="00FC308D">
        <w:rPr>
          <w:color w:val="222222"/>
          <w:szCs w:val="24"/>
          <w:shd w:val="clear" w:color="auto" w:fill="FFFFFF"/>
        </w:rPr>
        <w:t xml:space="preserve"> and Tyagi, 2019)</w:t>
      </w:r>
      <w:r w:rsidRPr="00850FE9">
        <w:t xml:space="preserve">. The local community is the stakeholder who is most </w:t>
      </w:r>
      <w:proofErr w:type="spellStart"/>
      <w:r w:rsidRPr="00850FE9">
        <w:t>skeptical</w:t>
      </w:r>
      <w:proofErr w:type="spellEnd"/>
      <w:r w:rsidRPr="00850FE9">
        <w:t xml:space="preserve"> in this situation because one of their main concerns was the rise in nuclear waste dumping in residential areas, which the project has addressed in order to win their trust and support.</w:t>
      </w:r>
    </w:p>
    <w:p w14:paraId="3CBA96C9" w14:textId="77777777" w:rsidR="00FB39FA" w:rsidRDefault="00FB39FA" w:rsidP="00FB39FA">
      <w:r>
        <w:rPr>
          <w:b/>
          <w:bCs/>
        </w:rPr>
        <w:t>Project Risk Management</w:t>
      </w:r>
    </w:p>
    <w:p w14:paraId="5D378026" w14:textId="77777777" w:rsidR="005826F2" w:rsidRPr="007471D9" w:rsidRDefault="00F422EC" w:rsidP="007471D9">
      <w:pPr>
        <w:pStyle w:val="BodyText"/>
        <w:ind w:left="18"/>
        <w:rPr>
          <w:i/>
          <w:color w:val="222222"/>
          <w:szCs w:val="24"/>
          <w:shd w:val="clear" w:color="auto" w:fill="FFFFFF"/>
        </w:rPr>
      </w:pPr>
      <w:r w:rsidRPr="00F422EC">
        <w:t xml:space="preserve">The uncertainties that may arise </w:t>
      </w:r>
      <w:proofErr w:type="gramStart"/>
      <w:r w:rsidRPr="00F422EC">
        <w:t>during the course of</w:t>
      </w:r>
      <w:proofErr w:type="gramEnd"/>
      <w:r w:rsidRPr="00F422EC">
        <w:t xml:space="preserve"> a project's development are referred to as risk. The project's vulnerability to the COVID 19 epidemic was one of the dangers it had to deal with. The project was effectively put on hold as a result of the lockdowns that followed, and the budget ended up growing by more than 30% from its pre-pandemic levels. Nevertheless, despite the delay, the project is still on track to be finished by the target date of June 2027</w:t>
      </w:r>
      <w:r w:rsidR="007471D9">
        <w:t xml:space="preserve"> </w:t>
      </w:r>
      <w:r w:rsidR="007471D9">
        <w:rPr>
          <w:color w:val="222222"/>
          <w:szCs w:val="24"/>
          <w:shd w:val="clear" w:color="auto" w:fill="FFFFFF"/>
        </w:rPr>
        <w:t xml:space="preserve">(Bergmann and </w:t>
      </w:r>
      <w:proofErr w:type="spellStart"/>
      <w:r w:rsidR="007471D9">
        <w:rPr>
          <w:color w:val="222222"/>
          <w:szCs w:val="24"/>
          <w:shd w:val="clear" w:color="auto" w:fill="FFFFFF"/>
        </w:rPr>
        <w:t>Karwowski</w:t>
      </w:r>
      <w:proofErr w:type="spellEnd"/>
      <w:r w:rsidR="007471D9">
        <w:rPr>
          <w:color w:val="222222"/>
          <w:szCs w:val="24"/>
          <w:shd w:val="clear" w:color="auto" w:fill="FFFFFF"/>
        </w:rPr>
        <w:t>, 2019)</w:t>
      </w:r>
      <w:r w:rsidRPr="00F422EC">
        <w:t>.</w:t>
      </w:r>
    </w:p>
    <w:p w14:paraId="353C178F" w14:textId="77777777" w:rsidR="00295C84" w:rsidRDefault="00295C84" w:rsidP="00295C84">
      <w:pPr>
        <w:rPr>
          <w:b/>
          <w:bCs/>
        </w:rPr>
      </w:pPr>
      <w:r>
        <w:rPr>
          <w:b/>
          <w:bCs/>
        </w:rPr>
        <w:t>Project Procurement Management</w:t>
      </w:r>
    </w:p>
    <w:p w14:paraId="5D60960D" w14:textId="77777777" w:rsidR="00265116" w:rsidRPr="00F41E3D" w:rsidRDefault="00265116" w:rsidP="00F41E3D">
      <w:pPr>
        <w:pStyle w:val="BodyText"/>
        <w:ind w:left="18"/>
        <w:rPr>
          <w:color w:val="222222"/>
          <w:szCs w:val="24"/>
          <w:shd w:val="clear" w:color="auto" w:fill="FFFFFF"/>
        </w:rPr>
      </w:pPr>
      <w:r w:rsidRPr="00265116">
        <w:lastRenderedPageBreak/>
        <w:t xml:space="preserve">The procurement of the goods and services necessary to accomplish the entire project is the focus of this metric. The following is how the resources for the project were obtained. The French and Chinese firms involved in the business, which provided </w:t>
      </w:r>
      <w:proofErr w:type="gramStart"/>
      <w:r w:rsidRPr="00265116">
        <w:t>the majority of</w:t>
      </w:r>
      <w:proofErr w:type="gramEnd"/>
      <w:r w:rsidRPr="00265116">
        <w:t xml:space="preserve"> the finances and resources for the initiative, gained the necessary skill set and some funding. The first delay was caused by administrative problems involving the acquisition of a license, but all of </w:t>
      </w:r>
      <w:proofErr w:type="gramStart"/>
      <w:r w:rsidRPr="00265116">
        <w:t>these cooperation</w:t>
      </w:r>
      <w:proofErr w:type="gramEnd"/>
      <w:r w:rsidRPr="00265116">
        <w:t xml:space="preserve"> had a good impact on the project and it was finished on schedule</w:t>
      </w:r>
      <w:r w:rsidR="00F41E3D">
        <w:rPr>
          <w:color w:val="222222"/>
          <w:szCs w:val="24"/>
          <w:shd w:val="clear" w:color="auto" w:fill="FFFFFF"/>
        </w:rPr>
        <w:t xml:space="preserve"> (Evans and et.al., 2019)</w:t>
      </w:r>
      <w:r w:rsidRPr="00265116">
        <w:t>.</w:t>
      </w:r>
    </w:p>
    <w:p w14:paraId="5D69470A" w14:textId="77777777" w:rsidR="00280160" w:rsidRDefault="00280160" w:rsidP="00280160">
      <w:pPr>
        <w:rPr>
          <w:b/>
          <w:bCs/>
        </w:rPr>
      </w:pPr>
      <w:r>
        <w:rPr>
          <w:b/>
          <w:bCs/>
        </w:rPr>
        <w:t>Project Stakeholder Management</w:t>
      </w:r>
    </w:p>
    <w:p w14:paraId="2AD72E10" w14:textId="77777777" w:rsidR="00295C84" w:rsidRDefault="008E5283" w:rsidP="00A23299">
      <w:r w:rsidRPr="008E5283">
        <w:t>The identification of stakeholders and their level of satisfaction with the outcome that the entire project attained are key factors in assessing the success of the project. The project's stakeholders were successful in meeting the metrics that were promised to them, and they also managed to satisfy the local population's concerns. So, despite the budget problems, the project was able to meet all of the demands of the various stakeholders</w:t>
      </w:r>
      <w:r w:rsidR="009B0966">
        <w:t xml:space="preserve"> </w:t>
      </w:r>
      <w:r w:rsidR="009B0966">
        <w:rPr>
          <w:color w:val="222222"/>
          <w:shd w:val="clear" w:color="auto" w:fill="FFFFFF"/>
        </w:rPr>
        <w:t>(Fourie and et.al., 2019)</w:t>
      </w:r>
      <w:r w:rsidRPr="008E5283">
        <w:t>.</w:t>
      </w:r>
    </w:p>
    <w:p w14:paraId="1C0EF714" w14:textId="77777777" w:rsidR="001A0D60" w:rsidRDefault="001A0D60" w:rsidP="001A0D60">
      <w:pPr>
        <w:pStyle w:val="Heading1"/>
        <w:numPr>
          <w:ilvl w:val="0"/>
          <w:numId w:val="1"/>
        </w:numPr>
        <w:suppressAutoHyphens/>
        <w:spacing w:before="113"/>
        <w:rPr>
          <w:bCs/>
        </w:rPr>
      </w:pPr>
      <w:bookmarkStart w:id="3" w:name="_Toc133701407"/>
      <w:r>
        <w:t>LESSONS THAT CAN BE LEARNED FROM THE PROJECT</w:t>
      </w:r>
      <w:bookmarkEnd w:id="3"/>
    </w:p>
    <w:p w14:paraId="052976E3" w14:textId="77777777" w:rsidR="001A0D60" w:rsidRDefault="00C2383E" w:rsidP="00A23299">
      <w:r w:rsidRPr="00C2383E">
        <w:t>The project had a number of problems, including a budget that had been multiplied, a timeframe that was delayed, and opposition from the local populace. Although there was uncertainty, the project was still able to produce high-quality deliverables, and it will be finished on schedule in order to help the nation reduce its carbon emissions from energy production. The suggestions listed below can be used by projects of a similar sort in the future to raise the level of quality across the board. Additionally, more adaptable budgeting that is prepared at the conclusion of the entire approval and license process may be necessary. In case of any unanticipated situations that can derail the entire project, the management might also have a contingency plan in place. Another important topic that needs to be addressed early on is how to effectively communicate with all the stakeholders and address the general public's concerns. All of these considerations can guarantee that next initiatives meet deadlines and effectively and efficiently manage their resources to accomplish the initial goals and objectives they had set out to accomplish.</w:t>
      </w:r>
    </w:p>
    <w:p w14:paraId="22C293EB" w14:textId="77777777" w:rsidR="00176967" w:rsidRDefault="00176967" w:rsidP="00CE5955">
      <w:pPr>
        <w:pStyle w:val="Heading1"/>
      </w:pPr>
      <w:bookmarkStart w:id="4" w:name="_Toc133701408"/>
      <w:r>
        <w:t>CONCLUSION</w:t>
      </w:r>
      <w:bookmarkEnd w:id="4"/>
    </w:p>
    <w:p w14:paraId="1DB173B8" w14:textId="77777777" w:rsidR="00AE48BC" w:rsidRDefault="00AE48BC" w:rsidP="00AE48BC">
      <w:r>
        <w:t xml:space="preserve">The report mentioned above that dealt with the situation of Hinkley Point C came to a conclusion with an analysis of how the project had evolved over time and an assessment of the project. The report includes a succinct summary of the major modifications that have been made to the project overall when it was first conceived up until the present, including an </w:t>
      </w:r>
      <w:r>
        <w:lastRenderedPageBreak/>
        <w:t>assessment of the budget alterations and the different timeframe delays. The evaluation of the project is done by taking into account it with the 10 core knowledge areas of project management, and these help in evaluating whether the project was successful or unsuccessful. The assessment of all the lessons gained from this instance and recommendations for any future initiatives that may be comparable in size and scope to this project come to a close the report. The recommendations listed below can be given to future initiatives with a nature comparable to this project.</w:t>
      </w:r>
    </w:p>
    <w:p w14:paraId="3BB1090D" w14:textId="77777777" w:rsidR="00AE48BC" w:rsidRDefault="00AE48BC" w:rsidP="00AE48BC">
      <w:r>
        <w:t xml:space="preserve">• The project's budget should provide for a variety of unforeseen circumstances that might occur. This may include any lag times and license acquisition costs. </w:t>
      </w:r>
    </w:p>
    <w:p w14:paraId="11B4FBD6" w14:textId="77777777" w:rsidR="00AE48BC" w:rsidRDefault="00AE48BC" w:rsidP="00AE48BC">
      <w:r>
        <w:t>• The project should also take into account the numerous worries that the local populace might have about the project that uses hazardous chemicals. By ensuring that all interested parties have access to appropriate information, any potential problems from their perspective will be fully averted.</w:t>
      </w:r>
    </w:p>
    <w:p w14:paraId="672DF87D" w14:textId="77777777" w:rsidR="00AE48BC" w:rsidRDefault="00AE48BC" w:rsidP="00AE48BC">
      <w:r>
        <w:t>• The management must make sure that all potential and likely delays are taken into account during the project's planning stage because time delays are another important issue that could negatively affect the project's quality.</w:t>
      </w:r>
    </w:p>
    <w:p w14:paraId="69A2B2A4" w14:textId="77777777" w:rsidR="00AE48BC" w:rsidRDefault="00AE48BC" w:rsidP="00AE48BC">
      <w:r>
        <w:t xml:space="preserve">• The development of the whole project must include the focus on overall high-quality outputs. Since they play a crucial role in determining the project's overall success or failure. </w:t>
      </w:r>
    </w:p>
    <w:p w14:paraId="21AC389D" w14:textId="77777777" w:rsidR="00AE48BC" w:rsidRDefault="00AE48BC" w:rsidP="00AE48BC">
      <w:r>
        <w:t>• Effective stakeholder communication and resolving stakeholder issues is another important issue that needs to be handled in the early stages of a project's development.</w:t>
      </w:r>
    </w:p>
    <w:p w14:paraId="67049C40" w14:textId="77777777" w:rsidR="00AE48BC" w:rsidRPr="00AE48BC" w:rsidRDefault="00AE48BC" w:rsidP="00AE48BC"/>
    <w:p w14:paraId="36EB2C73" w14:textId="77777777" w:rsidR="00176967" w:rsidRDefault="00176967" w:rsidP="00301A99">
      <w:r>
        <w:br w:type="page"/>
      </w:r>
    </w:p>
    <w:p w14:paraId="77151283" w14:textId="77777777" w:rsidR="00176967" w:rsidRPr="00176967" w:rsidRDefault="00176967" w:rsidP="00301A99">
      <w:pPr>
        <w:pStyle w:val="Heading1"/>
      </w:pPr>
      <w:bookmarkStart w:id="5" w:name="_Toc133701409"/>
      <w:r w:rsidRPr="00176967">
        <w:lastRenderedPageBreak/>
        <w:t>REFERENCES</w:t>
      </w:r>
      <w:bookmarkEnd w:id="5"/>
    </w:p>
    <w:p w14:paraId="7E742A84" w14:textId="77777777" w:rsidR="00A40CA9" w:rsidRDefault="00176967" w:rsidP="00A40CA9">
      <w:r w:rsidRPr="00176967">
        <w:t>(Books and Journal)</w:t>
      </w:r>
    </w:p>
    <w:p w14:paraId="498FFEC4" w14:textId="77777777" w:rsidR="008C254E" w:rsidRDefault="008C254E" w:rsidP="002F5DAF">
      <w:pPr>
        <w:pStyle w:val="BodyText"/>
        <w:spacing w:line="240" w:lineRule="auto"/>
        <w:ind w:left="512" w:hanging="494"/>
        <w:rPr>
          <w:color w:val="222222"/>
          <w:szCs w:val="24"/>
          <w:shd w:val="clear" w:color="auto" w:fill="FFFFFF"/>
        </w:rPr>
      </w:pPr>
      <w:proofErr w:type="spellStart"/>
      <w:r>
        <w:rPr>
          <w:color w:val="222222"/>
          <w:szCs w:val="24"/>
          <w:shd w:val="clear" w:color="auto" w:fill="FFFFFF"/>
        </w:rPr>
        <w:t>Acebes</w:t>
      </w:r>
      <w:proofErr w:type="spellEnd"/>
      <w:r>
        <w:rPr>
          <w:color w:val="222222"/>
          <w:szCs w:val="24"/>
          <w:shd w:val="clear" w:color="auto" w:fill="FFFFFF"/>
        </w:rPr>
        <w:t xml:space="preserve">, F., </w:t>
      </w:r>
      <w:proofErr w:type="spellStart"/>
      <w:r>
        <w:rPr>
          <w:color w:val="222222"/>
          <w:szCs w:val="24"/>
          <w:shd w:val="clear" w:color="auto" w:fill="FFFFFF"/>
        </w:rPr>
        <w:t>Pajares</w:t>
      </w:r>
      <w:proofErr w:type="spellEnd"/>
      <w:r>
        <w:rPr>
          <w:color w:val="222222"/>
          <w:szCs w:val="24"/>
          <w:shd w:val="clear" w:color="auto" w:fill="FFFFFF"/>
        </w:rPr>
        <w:t>, J., González-</w:t>
      </w:r>
      <w:proofErr w:type="spellStart"/>
      <w:r>
        <w:rPr>
          <w:color w:val="222222"/>
          <w:szCs w:val="24"/>
          <w:shd w:val="clear" w:color="auto" w:fill="FFFFFF"/>
        </w:rPr>
        <w:t>Varona</w:t>
      </w:r>
      <w:proofErr w:type="spellEnd"/>
      <w:r>
        <w:rPr>
          <w:color w:val="222222"/>
          <w:szCs w:val="24"/>
          <w:shd w:val="clear" w:color="auto" w:fill="FFFFFF"/>
        </w:rPr>
        <w:t>, J.M. and López-Paredes, A., 2021. Project risk management from the bottom-up: Activity Risk Index. </w:t>
      </w:r>
      <w:r>
        <w:rPr>
          <w:i/>
          <w:color w:val="222222"/>
          <w:szCs w:val="24"/>
          <w:shd w:val="clear" w:color="auto" w:fill="FFFFFF"/>
        </w:rPr>
        <w:t>Central European Journal of Operations Research</w:t>
      </w:r>
      <w:r>
        <w:rPr>
          <w:color w:val="222222"/>
          <w:szCs w:val="24"/>
          <w:shd w:val="clear" w:color="auto" w:fill="FFFFFF"/>
        </w:rPr>
        <w:t>, </w:t>
      </w:r>
      <w:r>
        <w:rPr>
          <w:i/>
          <w:color w:val="222222"/>
          <w:szCs w:val="24"/>
          <w:shd w:val="clear" w:color="auto" w:fill="FFFFFF"/>
        </w:rPr>
        <w:t>29</w:t>
      </w:r>
      <w:r>
        <w:rPr>
          <w:color w:val="222222"/>
          <w:szCs w:val="24"/>
          <w:shd w:val="clear" w:color="auto" w:fill="FFFFFF"/>
        </w:rPr>
        <w:t>(4), pp.1375-1396.</w:t>
      </w:r>
    </w:p>
    <w:p w14:paraId="342D85F0" w14:textId="77777777" w:rsidR="008C254E" w:rsidRDefault="008C254E" w:rsidP="002F5DAF">
      <w:pPr>
        <w:pStyle w:val="BodyText"/>
        <w:spacing w:line="240" w:lineRule="auto"/>
        <w:ind w:left="512" w:hanging="494"/>
        <w:rPr>
          <w:szCs w:val="24"/>
          <w:shd w:val="clear" w:color="auto" w:fill="FFFFFF"/>
        </w:rPr>
      </w:pPr>
      <w:r>
        <w:rPr>
          <w:color w:val="222222"/>
          <w:szCs w:val="24"/>
          <w:shd w:val="clear" w:color="auto" w:fill="FFFFFF"/>
        </w:rPr>
        <w:t xml:space="preserve">Bergmann, T. and </w:t>
      </w:r>
      <w:proofErr w:type="spellStart"/>
      <w:r>
        <w:rPr>
          <w:color w:val="222222"/>
          <w:szCs w:val="24"/>
          <w:shd w:val="clear" w:color="auto" w:fill="FFFFFF"/>
        </w:rPr>
        <w:t>Karwowski</w:t>
      </w:r>
      <w:proofErr w:type="spellEnd"/>
      <w:r>
        <w:rPr>
          <w:color w:val="222222"/>
          <w:szCs w:val="24"/>
          <w:shd w:val="clear" w:color="auto" w:fill="FFFFFF"/>
        </w:rPr>
        <w:t>, W., 2019. Agile project management and project success: A literature review. In </w:t>
      </w:r>
      <w:r>
        <w:rPr>
          <w:i/>
          <w:color w:val="222222"/>
          <w:szCs w:val="24"/>
          <w:shd w:val="clear" w:color="auto" w:fill="FFFFFF"/>
        </w:rPr>
        <w:t>Advances in Human Factors, Business Management and Society: Proceedings of the AHFE 2018 International Conference on Human Factors, Business Management and Society, July 21-25, 2018, Loews Sapphire Falls Resort at Universal Studios, Orlando, Florida, USA 9</w:t>
      </w:r>
      <w:r>
        <w:rPr>
          <w:color w:val="222222"/>
          <w:szCs w:val="24"/>
          <w:shd w:val="clear" w:color="auto" w:fill="FFFFFF"/>
        </w:rPr>
        <w:t> (pp. 405-414). Springer International Publishing.</w:t>
      </w:r>
    </w:p>
    <w:p w14:paraId="51780EC5"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Ding, X. and Lu, Q., 2021. Construction cost management strategy based on BIM technology and neural network model. </w:t>
      </w:r>
      <w:r>
        <w:rPr>
          <w:i/>
          <w:color w:val="222222"/>
          <w:szCs w:val="24"/>
          <w:shd w:val="clear" w:color="auto" w:fill="FFFFFF"/>
        </w:rPr>
        <w:t>Journal of Intelligent &amp; Fuzzy Systems</w:t>
      </w:r>
      <w:r>
        <w:rPr>
          <w:color w:val="222222"/>
          <w:szCs w:val="24"/>
          <w:shd w:val="clear" w:color="auto" w:fill="FFFFFF"/>
        </w:rPr>
        <w:t>, </w:t>
      </w:r>
      <w:r>
        <w:rPr>
          <w:i/>
          <w:color w:val="222222"/>
          <w:szCs w:val="24"/>
          <w:shd w:val="clear" w:color="auto" w:fill="FFFFFF"/>
        </w:rPr>
        <w:t>40</w:t>
      </w:r>
      <w:r>
        <w:rPr>
          <w:color w:val="222222"/>
          <w:szCs w:val="24"/>
          <w:shd w:val="clear" w:color="auto" w:fill="FFFFFF"/>
        </w:rPr>
        <w:t>(4), pp.6669-6681.</w:t>
      </w:r>
    </w:p>
    <w:p w14:paraId="05DB7975"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Evans, J.M., Mackinnon, M., Pereira, J., Earle, C.C., Gagnon, B., Arthurs, E., Gradin, S., Buchman, S. and Wright, F.C., 2019. Integrating early palliative care into routine practice for patients with cancer: A mixed methods evaluation of the INTEGRATE Project. </w:t>
      </w:r>
      <w:r>
        <w:rPr>
          <w:i/>
          <w:color w:val="222222"/>
          <w:szCs w:val="24"/>
          <w:shd w:val="clear" w:color="auto" w:fill="FFFFFF"/>
        </w:rPr>
        <w:t>Psycho‐Oncology</w:t>
      </w:r>
      <w:r>
        <w:rPr>
          <w:color w:val="222222"/>
          <w:szCs w:val="24"/>
          <w:shd w:val="clear" w:color="auto" w:fill="FFFFFF"/>
        </w:rPr>
        <w:t>, </w:t>
      </w:r>
      <w:r>
        <w:rPr>
          <w:i/>
          <w:color w:val="222222"/>
          <w:szCs w:val="24"/>
          <w:shd w:val="clear" w:color="auto" w:fill="FFFFFF"/>
        </w:rPr>
        <w:t>28</w:t>
      </w:r>
      <w:r>
        <w:rPr>
          <w:color w:val="222222"/>
          <w:szCs w:val="24"/>
          <w:shd w:val="clear" w:color="auto" w:fill="FFFFFF"/>
        </w:rPr>
        <w:t>(6), pp.1261-1268.</w:t>
      </w:r>
    </w:p>
    <w:p w14:paraId="4FCF2178"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 xml:space="preserve">Fourie, C.J., Jackman, K., Botha, M.M., </w:t>
      </w:r>
      <w:proofErr w:type="spellStart"/>
      <w:r>
        <w:rPr>
          <w:color w:val="222222"/>
          <w:szCs w:val="24"/>
          <w:shd w:val="clear" w:color="auto" w:fill="FFFFFF"/>
        </w:rPr>
        <w:t>Razmkhah</w:t>
      </w:r>
      <w:proofErr w:type="spellEnd"/>
      <w:r>
        <w:rPr>
          <w:color w:val="222222"/>
          <w:szCs w:val="24"/>
          <w:shd w:val="clear" w:color="auto" w:fill="FFFFFF"/>
        </w:rPr>
        <w:t xml:space="preserve">, S., </w:t>
      </w:r>
      <w:proofErr w:type="spellStart"/>
      <w:r>
        <w:rPr>
          <w:color w:val="222222"/>
          <w:szCs w:val="24"/>
          <w:shd w:val="clear" w:color="auto" w:fill="FFFFFF"/>
        </w:rPr>
        <w:t>Febvre</w:t>
      </w:r>
      <w:proofErr w:type="spellEnd"/>
      <w:r>
        <w:rPr>
          <w:color w:val="222222"/>
          <w:szCs w:val="24"/>
          <w:shd w:val="clear" w:color="auto" w:fill="FFFFFF"/>
        </w:rPr>
        <w:t xml:space="preserve">, P., Ayala, C.L., Xu, Q., Yoshikawa, N., Patrick, E., Law, M. and Wang, Y., 2019. </w:t>
      </w:r>
      <w:proofErr w:type="spellStart"/>
      <w:r>
        <w:rPr>
          <w:color w:val="222222"/>
          <w:szCs w:val="24"/>
          <w:shd w:val="clear" w:color="auto" w:fill="FFFFFF"/>
        </w:rPr>
        <w:t>ColdFlux</w:t>
      </w:r>
      <w:proofErr w:type="spellEnd"/>
      <w:r>
        <w:rPr>
          <w:color w:val="222222"/>
          <w:szCs w:val="24"/>
          <w:shd w:val="clear" w:color="auto" w:fill="FFFFFF"/>
        </w:rPr>
        <w:t xml:space="preserve"> superconducting EDA and TCAD tools project: Overview and progress. </w:t>
      </w:r>
      <w:r>
        <w:rPr>
          <w:i/>
          <w:color w:val="222222"/>
          <w:szCs w:val="24"/>
          <w:shd w:val="clear" w:color="auto" w:fill="FFFFFF"/>
        </w:rPr>
        <w:t>IEEE Transactions on Applied Superconductivity</w:t>
      </w:r>
      <w:r>
        <w:rPr>
          <w:color w:val="222222"/>
          <w:szCs w:val="24"/>
          <w:shd w:val="clear" w:color="auto" w:fill="FFFFFF"/>
        </w:rPr>
        <w:t>, </w:t>
      </w:r>
      <w:r>
        <w:rPr>
          <w:i/>
          <w:color w:val="222222"/>
          <w:szCs w:val="24"/>
          <w:shd w:val="clear" w:color="auto" w:fill="FFFFFF"/>
        </w:rPr>
        <w:t>29</w:t>
      </w:r>
      <w:r>
        <w:rPr>
          <w:color w:val="222222"/>
          <w:szCs w:val="24"/>
          <w:shd w:val="clear" w:color="auto" w:fill="FFFFFF"/>
        </w:rPr>
        <w:t>(5), pp.1-7.</w:t>
      </w:r>
    </w:p>
    <w:p w14:paraId="5843D9A0"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Hou, H.Y., Agrawal, S., Lo, Y.L. and Lee, C.F., 2020. Applying Talent Quality-management System (TTQS) and information visualization to e-learning partner project. In </w:t>
      </w:r>
      <w:r>
        <w:rPr>
          <w:i/>
          <w:color w:val="222222"/>
          <w:szCs w:val="24"/>
          <w:shd w:val="clear" w:color="auto" w:fill="FFFFFF"/>
        </w:rPr>
        <w:t>Security with Intelligent Computing and Big-Data Services 2019: Proceedings of the 3rd International Conference on Security with Intelligent Computing and Big-data Services (SICBS), 4–6 December 2019, New Taipei City, Taiwan</w:t>
      </w:r>
      <w:r>
        <w:rPr>
          <w:color w:val="222222"/>
          <w:szCs w:val="24"/>
          <w:shd w:val="clear" w:color="auto" w:fill="FFFFFF"/>
        </w:rPr>
        <w:t> (pp. 207-217). Springer International Publishing.</w:t>
      </w:r>
    </w:p>
    <w:p w14:paraId="3E00B195"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Pan, Y. and Zhang, L., 2021. A BIM-data mining integrated digital twin framework for advanced project management. </w:t>
      </w:r>
      <w:r>
        <w:rPr>
          <w:i/>
          <w:color w:val="222222"/>
          <w:szCs w:val="24"/>
          <w:shd w:val="clear" w:color="auto" w:fill="FFFFFF"/>
        </w:rPr>
        <w:t>Automation in Construction</w:t>
      </w:r>
      <w:r>
        <w:rPr>
          <w:color w:val="222222"/>
          <w:szCs w:val="24"/>
          <w:shd w:val="clear" w:color="auto" w:fill="FFFFFF"/>
        </w:rPr>
        <w:t>, </w:t>
      </w:r>
      <w:r>
        <w:rPr>
          <w:i/>
          <w:color w:val="222222"/>
          <w:szCs w:val="24"/>
          <w:shd w:val="clear" w:color="auto" w:fill="FFFFFF"/>
        </w:rPr>
        <w:t>124</w:t>
      </w:r>
      <w:r>
        <w:rPr>
          <w:color w:val="222222"/>
          <w:szCs w:val="24"/>
          <w:shd w:val="clear" w:color="auto" w:fill="FFFFFF"/>
        </w:rPr>
        <w:t>, p.103564.</w:t>
      </w:r>
    </w:p>
    <w:p w14:paraId="3BA96E88"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Sanghera, P. and Sanghera, P., 2019. Planning Project and Scope. </w:t>
      </w:r>
      <w:r>
        <w:rPr>
          <w:i/>
          <w:color w:val="222222"/>
          <w:szCs w:val="24"/>
          <w:shd w:val="clear" w:color="auto" w:fill="FFFFFF"/>
        </w:rPr>
        <w:t>PMP® in Depth: Project Management Professional Certification Study Guide for the PMP® Exam</w:t>
      </w:r>
      <w:r>
        <w:rPr>
          <w:color w:val="222222"/>
          <w:szCs w:val="24"/>
          <w:shd w:val="clear" w:color="auto" w:fill="FFFFFF"/>
        </w:rPr>
        <w:t>, pp.115-153.</w:t>
      </w:r>
    </w:p>
    <w:p w14:paraId="6E02233B" w14:textId="77777777" w:rsidR="008C254E" w:rsidRDefault="008C254E" w:rsidP="002F5DAF">
      <w:pPr>
        <w:pStyle w:val="BodyText"/>
        <w:spacing w:line="240" w:lineRule="auto"/>
        <w:ind w:left="512" w:hanging="494"/>
        <w:rPr>
          <w:color w:val="222222"/>
          <w:szCs w:val="24"/>
          <w:shd w:val="clear" w:color="auto" w:fill="FFFFFF"/>
        </w:rPr>
      </w:pPr>
      <w:r>
        <w:rPr>
          <w:color w:val="222222"/>
          <w:szCs w:val="24"/>
          <w:shd w:val="clear" w:color="auto" w:fill="FFFFFF"/>
        </w:rPr>
        <w:t xml:space="preserve">Singh, A., </w:t>
      </w:r>
      <w:proofErr w:type="spellStart"/>
      <w:r>
        <w:rPr>
          <w:color w:val="222222"/>
          <w:szCs w:val="24"/>
          <w:shd w:val="clear" w:color="auto" w:fill="FFFFFF"/>
        </w:rPr>
        <w:t>Saha</w:t>
      </w:r>
      <w:proofErr w:type="spellEnd"/>
      <w:r>
        <w:rPr>
          <w:color w:val="222222"/>
          <w:szCs w:val="24"/>
          <w:shd w:val="clear" w:color="auto" w:fill="FFFFFF"/>
        </w:rPr>
        <w:t>, D. and Tyagi, A.C., 2019. Emerging issues in water resources management: challenges and prospects. </w:t>
      </w:r>
      <w:r>
        <w:rPr>
          <w:i/>
          <w:color w:val="222222"/>
          <w:szCs w:val="24"/>
          <w:shd w:val="clear" w:color="auto" w:fill="FFFFFF"/>
        </w:rPr>
        <w:t>Water governance: challenges and prospects</w:t>
      </w:r>
      <w:r>
        <w:rPr>
          <w:color w:val="222222"/>
          <w:szCs w:val="24"/>
          <w:shd w:val="clear" w:color="auto" w:fill="FFFFFF"/>
        </w:rPr>
        <w:t>, pp.1-23.</w:t>
      </w:r>
    </w:p>
    <w:p w14:paraId="630E87BE" w14:textId="77777777" w:rsidR="008C254E" w:rsidRDefault="008C254E" w:rsidP="002F5DAF">
      <w:pPr>
        <w:spacing w:line="240" w:lineRule="auto"/>
        <w:ind w:left="567" w:hanging="567"/>
        <w:rPr>
          <w:color w:val="222222"/>
          <w:shd w:val="clear" w:color="auto" w:fill="FFFFFF"/>
        </w:rPr>
      </w:pPr>
      <w:r>
        <w:rPr>
          <w:color w:val="222222"/>
          <w:shd w:val="clear" w:color="auto" w:fill="FFFFFF"/>
        </w:rPr>
        <w:t xml:space="preserve"> </w:t>
      </w:r>
      <w:proofErr w:type="spellStart"/>
      <w:r>
        <w:rPr>
          <w:color w:val="222222"/>
          <w:shd w:val="clear" w:color="auto" w:fill="FFFFFF"/>
        </w:rPr>
        <w:t>Steffensen</w:t>
      </w:r>
      <w:proofErr w:type="spellEnd"/>
      <w:r>
        <w:rPr>
          <w:color w:val="222222"/>
          <w:shd w:val="clear" w:color="auto" w:fill="FFFFFF"/>
        </w:rPr>
        <w:t xml:space="preserve"> Jr, D.S., Ellen III, B.P., Wang, G. and Ferris, G.R., 2019. Putting the “management” back in human resource management: A review and agenda for future research. </w:t>
      </w:r>
      <w:r>
        <w:rPr>
          <w:i/>
          <w:color w:val="222222"/>
          <w:shd w:val="clear" w:color="auto" w:fill="FFFFFF"/>
        </w:rPr>
        <w:t>Journal of Management</w:t>
      </w:r>
      <w:r>
        <w:rPr>
          <w:color w:val="222222"/>
          <w:shd w:val="clear" w:color="auto" w:fill="FFFFFF"/>
        </w:rPr>
        <w:t>, </w:t>
      </w:r>
      <w:r>
        <w:rPr>
          <w:i/>
          <w:color w:val="222222"/>
          <w:shd w:val="clear" w:color="auto" w:fill="FFFFFF"/>
        </w:rPr>
        <w:t>45</w:t>
      </w:r>
      <w:r>
        <w:rPr>
          <w:color w:val="222222"/>
          <w:shd w:val="clear" w:color="auto" w:fill="FFFFFF"/>
        </w:rPr>
        <w:t>(6), pp.2387-2418.</w:t>
      </w:r>
    </w:p>
    <w:p w14:paraId="3F7A60DC" w14:textId="77777777" w:rsidR="00A40CA9" w:rsidRDefault="00A40CA9" w:rsidP="00A40CA9">
      <w:pPr>
        <w:pStyle w:val="BodyText"/>
        <w:ind w:left="512" w:hanging="494"/>
        <w:rPr>
          <w:szCs w:val="24"/>
          <w:shd w:val="clear" w:color="auto" w:fill="FFFFFF"/>
        </w:rPr>
      </w:pPr>
    </w:p>
    <w:p w14:paraId="54E2B3C8" w14:textId="77777777" w:rsidR="00FD0CB4" w:rsidRPr="00176967" w:rsidRDefault="00FD0CB4" w:rsidP="00301A99"/>
    <w:sectPr w:rsidR="00FD0CB4" w:rsidRPr="00176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_sansregular">
    <w:altName w:val="MS Gothic"/>
    <w:panose1 w:val="020B0604020202020204"/>
    <w:charset w:val="80"/>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41095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967"/>
    <w:rsid w:val="00036E94"/>
    <w:rsid w:val="00054E1E"/>
    <w:rsid w:val="00092EBC"/>
    <w:rsid w:val="000E6795"/>
    <w:rsid w:val="00176967"/>
    <w:rsid w:val="001A0D60"/>
    <w:rsid w:val="002169E5"/>
    <w:rsid w:val="00244E4A"/>
    <w:rsid w:val="002517CF"/>
    <w:rsid w:val="00265116"/>
    <w:rsid w:val="00280160"/>
    <w:rsid w:val="00295C84"/>
    <w:rsid w:val="002F3EF3"/>
    <w:rsid w:val="002F5DAF"/>
    <w:rsid w:val="002F7DDD"/>
    <w:rsid w:val="00301A99"/>
    <w:rsid w:val="00321D8E"/>
    <w:rsid w:val="00326971"/>
    <w:rsid w:val="00353820"/>
    <w:rsid w:val="003B60C3"/>
    <w:rsid w:val="003B6E23"/>
    <w:rsid w:val="003C2650"/>
    <w:rsid w:val="003D6C22"/>
    <w:rsid w:val="00401205"/>
    <w:rsid w:val="0043187D"/>
    <w:rsid w:val="004700FC"/>
    <w:rsid w:val="00481F6A"/>
    <w:rsid w:val="00486B4B"/>
    <w:rsid w:val="00497F6B"/>
    <w:rsid w:val="00533FAE"/>
    <w:rsid w:val="005826F2"/>
    <w:rsid w:val="0059583C"/>
    <w:rsid w:val="006943A0"/>
    <w:rsid w:val="006C08DA"/>
    <w:rsid w:val="006C11B5"/>
    <w:rsid w:val="007471D9"/>
    <w:rsid w:val="00793571"/>
    <w:rsid w:val="007A14F7"/>
    <w:rsid w:val="007B0FB2"/>
    <w:rsid w:val="00850FE9"/>
    <w:rsid w:val="00861394"/>
    <w:rsid w:val="00864D7A"/>
    <w:rsid w:val="008C254E"/>
    <w:rsid w:val="008E5283"/>
    <w:rsid w:val="00914461"/>
    <w:rsid w:val="00923E40"/>
    <w:rsid w:val="00954233"/>
    <w:rsid w:val="009B0966"/>
    <w:rsid w:val="009E48CD"/>
    <w:rsid w:val="00A050AC"/>
    <w:rsid w:val="00A23299"/>
    <w:rsid w:val="00A40CA9"/>
    <w:rsid w:val="00A532BF"/>
    <w:rsid w:val="00AE48BC"/>
    <w:rsid w:val="00B82772"/>
    <w:rsid w:val="00C2383E"/>
    <w:rsid w:val="00C23E3B"/>
    <w:rsid w:val="00CE5955"/>
    <w:rsid w:val="00D161DE"/>
    <w:rsid w:val="00D54E12"/>
    <w:rsid w:val="00E93493"/>
    <w:rsid w:val="00F41E3D"/>
    <w:rsid w:val="00F422EC"/>
    <w:rsid w:val="00F8438F"/>
    <w:rsid w:val="00FB39FA"/>
    <w:rsid w:val="00FC308D"/>
    <w:rsid w:val="00FD0C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94106"/>
  <w15:chartTrackingRefBased/>
  <w15:docId w15:val="{59D7860E-2015-4AF7-854D-7ECF1E907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A99"/>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76967"/>
    <w:pPr>
      <w:keepNext/>
      <w:keepLines/>
      <w:spacing w:before="240" w:after="0"/>
      <w:outlineLvl w:val="0"/>
    </w:pPr>
    <w:rPr>
      <w:rFonts w:eastAsiaTheme="majorEastAsia"/>
      <w:b/>
      <w:sz w:val="28"/>
      <w:szCs w:val="28"/>
    </w:rPr>
  </w:style>
  <w:style w:type="paragraph" w:styleId="Heading2">
    <w:name w:val="heading 2"/>
    <w:basedOn w:val="Normal"/>
    <w:next w:val="Normal"/>
    <w:link w:val="Heading2Char"/>
    <w:uiPriority w:val="9"/>
    <w:unhideWhenUsed/>
    <w:qFormat/>
    <w:rsid w:val="00176967"/>
    <w:pPr>
      <w:keepNext/>
      <w:keepLines/>
      <w:spacing w:before="40" w:after="0"/>
      <w:outlineLvl w:val="1"/>
    </w:pPr>
    <w:rPr>
      <w:rFonts w:eastAsiaTheme="majorEastAsi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967"/>
    <w:rPr>
      <w:rFonts w:ascii="Times New Roman" w:eastAsiaTheme="majorEastAsia" w:hAnsi="Times New Roman" w:cs="Times New Roman"/>
      <w:b/>
      <w:sz w:val="28"/>
      <w:szCs w:val="28"/>
    </w:rPr>
  </w:style>
  <w:style w:type="character" w:customStyle="1" w:styleId="Heading2Char">
    <w:name w:val="Heading 2 Char"/>
    <w:basedOn w:val="DefaultParagraphFont"/>
    <w:link w:val="Heading2"/>
    <w:uiPriority w:val="9"/>
    <w:rsid w:val="00176967"/>
    <w:rPr>
      <w:rFonts w:ascii="Times New Roman" w:eastAsiaTheme="majorEastAsia" w:hAnsi="Times New Roman" w:cs="Times New Roman"/>
      <w:sz w:val="24"/>
      <w:szCs w:val="24"/>
      <w:u w:val="single"/>
    </w:rPr>
  </w:style>
  <w:style w:type="paragraph" w:styleId="BodyText">
    <w:name w:val="Body Text"/>
    <w:basedOn w:val="Normal"/>
    <w:link w:val="BodyTextChar"/>
    <w:rsid w:val="00A40CA9"/>
    <w:pPr>
      <w:suppressAutoHyphens/>
      <w:spacing w:after="0"/>
    </w:pPr>
    <w:rPr>
      <w:rFonts w:eastAsia="Calibri"/>
      <w:color w:val="000000"/>
      <w:szCs w:val="22"/>
      <w:lang w:val="en-GB" w:eastAsia="ar-SA"/>
    </w:rPr>
  </w:style>
  <w:style w:type="character" w:customStyle="1" w:styleId="BodyTextChar">
    <w:name w:val="Body Text Char"/>
    <w:basedOn w:val="DefaultParagraphFont"/>
    <w:link w:val="BodyText"/>
    <w:rsid w:val="00A40CA9"/>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8C254E"/>
    <w:pPr>
      <w:spacing w:line="259" w:lineRule="auto"/>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C254E"/>
    <w:pPr>
      <w:spacing w:after="100"/>
    </w:pPr>
  </w:style>
  <w:style w:type="character" w:styleId="Hyperlink">
    <w:name w:val="Hyperlink"/>
    <w:basedOn w:val="DefaultParagraphFont"/>
    <w:uiPriority w:val="99"/>
    <w:unhideWhenUsed/>
    <w:rsid w:val="008C254E"/>
    <w:rPr>
      <w:color w:val="0563C1" w:themeColor="hyperlink"/>
      <w:u w:val="single"/>
    </w:rPr>
  </w:style>
  <w:style w:type="character" w:styleId="UnresolvedMention">
    <w:name w:val="Unresolved Mention"/>
    <w:basedOn w:val="DefaultParagraphFont"/>
    <w:uiPriority w:val="99"/>
    <w:semiHidden/>
    <w:unhideWhenUsed/>
    <w:rsid w:val="004012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1906879@student.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F9C18-5E22-4F1F-A12A-BE056B756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9</Pages>
  <Words>2700</Words>
  <Characters>15395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Ana Stangu (2236832)</cp:lastModifiedBy>
  <cp:revision>63</cp:revision>
  <dcterms:created xsi:type="dcterms:W3CDTF">2023-04-29T14:57:00Z</dcterms:created>
  <dcterms:modified xsi:type="dcterms:W3CDTF">2023-05-05T19:24:00Z</dcterms:modified>
</cp:coreProperties>
</file>