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A8285" w14:textId="77777777" w:rsidR="00824030" w:rsidRDefault="00824030" w:rsidP="00C2567A">
      <w:pPr>
        <w:spacing w:after="100"/>
        <w:rPr>
          <w:b/>
          <w:bCs/>
          <w:sz w:val="30"/>
          <w:szCs w:val="30"/>
        </w:rPr>
      </w:pPr>
    </w:p>
    <w:p w14:paraId="131FE56C" w14:textId="6EA16B39" w:rsidR="00824030" w:rsidRDefault="007508C9" w:rsidP="00C2567A">
      <w:pPr>
        <w:spacing w:after="100"/>
        <w:rPr>
          <w:b/>
          <w:bCs/>
          <w:sz w:val="30"/>
          <w:szCs w:val="30"/>
        </w:rPr>
      </w:pPr>
      <w:r>
        <w:rPr>
          <w:noProof/>
        </w:rPr>
        <w:drawing>
          <wp:inline distT="0" distB="0" distL="0" distR="0" wp14:anchorId="419B6D6E" wp14:editId="02C1FB64">
            <wp:extent cx="5353050" cy="2517775"/>
            <wp:effectExtent l="0" t="0" r="0" b="0"/>
            <wp:docPr id="18331433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517775"/>
                    </a:xfrm>
                    <a:prstGeom prst="rect">
                      <a:avLst/>
                    </a:prstGeom>
                    <a:noFill/>
                  </pic:spPr>
                </pic:pic>
              </a:graphicData>
            </a:graphic>
          </wp:inline>
        </w:drawing>
      </w:r>
    </w:p>
    <w:p w14:paraId="2964FDC2" w14:textId="77777777" w:rsidR="00824030" w:rsidRDefault="00824030" w:rsidP="00C2567A">
      <w:pPr>
        <w:spacing w:after="100"/>
        <w:rPr>
          <w:b/>
          <w:bCs/>
          <w:sz w:val="30"/>
          <w:szCs w:val="30"/>
        </w:rPr>
      </w:pPr>
    </w:p>
    <w:p w14:paraId="2DFA4827" w14:textId="77777777" w:rsidR="00390CE7" w:rsidRPr="00390CE7" w:rsidRDefault="00390CE7" w:rsidP="00390CE7">
      <w:pPr>
        <w:spacing w:before="120" w:after="120" w:line="360" w:lineRule="auto"/>
        <w:rPr>
          <w:rFonts w:ascii="Arial" w:eastAsiaTheme="minorHAnsi" w:hAnsi="Arial" w:cs="Arial"/>
          <w:kern w:val="2"/>
          <w:lang w:eastAsia="en-US"/>
          <w14:ligatures w14:val="standardContextual"/>
        </w:rPr>
      </w:pPr>
      <w:r w:rsidRPr="00390CE7">
        <w:rPr>
          <w:rFonts w:ascii="Arial" w:eastAsiaTheme="minorHAnsi" w:hAnsi="Arial" w:cs="Arial"/>
          <w:kern w:val="2"/>
          <w:lang w:eastAsia="en-US"/>
          <w14:ligatures w14:val="standardContextual"/>
        </w:rPr>
        <w:t>Student Name: Ala Uzun (2243112)</w:t>
      </w:r>
    </w:p>
    <w:p w14:paraId="75AEC9F8" w14:textId="77777777" w:rsidR="00390CE7" w:rsidRPr="00390CE7" w:rsidRDefault="00390CE7" w:rsidP="00390CE7">
      <w:pPr>
        <w:spacing w:before="120" w:after="120" w:line="360" w:lineRule="auto"/>
        <w:rPr>
          <w:rFonts w:ascii="Arial" w:eastAsiaTheme="minorHAnsi" w:hAnsi="Arial" w:cs="Arial"/>
          <w:kern w:val="2"/>
          <w:lang w:eastAsia="en-US"/>
          <w14:ligatures w14:val="standardContextual"/>
        </w:rPr>
      </w:pPr>
      <w:r w:rsidRPr="00390CE7">
        <w:rPr>
          <w:rFonts w:ascii="Arial" w:eastAsiaTheme="minorHAnsi" w:hAnsi="Arial" w:cs="Arial"/>
          <w:kern w:val="2"/>
          <w:lang w:eastAsia="en-US"/>
          <w14:ligatures w14:val="standardContextual"/>
        </w:rPr>
        <w:t>Module Name: Principles of Human Resource Management</w:t>
      </w:r>
    </w:p>
    <w:p w14:paraId="4D872C13" w14:textId="77777777" w:rsidR="00390CE7" w:rsidRPr="00390CE7" w:rsidRDefault="00390CE7" w:rsidP="00390CE7">
      <w:pPr>
        <w:spacing w:before="120" w:after="120" w:line="360" w:lineRule="auto"/>
        <w:rPr>
          <w:rFonts w:ascii="Arial" w:eastAsiaTheme="minorHAnsi" w:hAnsi="Arial" w:cs="Arial"/>
          <w:kern w:val="2"/>
          <w:lang w:eastAsia="en-US"/>
          <w14:ligatures w14:val="standardContextual"/>
        </w:rPr>
      </w:pPr>
      <w:r w:rsidRPr="00390CE7">
        <w:rPr>
          <w:rFonts w:ascii="Arial" w:eastAsiaTheme="minorHAnsi" w:hAnsi="Arial" w:cs="Arial"/>
          <w:kern w:val="2"/>
          <w:lang w:eastAsia="en-US"/>
          <w14:ligatures w14:val="standardContextual"/>
        </w:rPr>
        <w:t>Module Code:  (LCBB5012_LON)</w:t>
      </w:r>
    </w:p>
    <w:p w14:paraId="7FAAF3D2" w14:textId="5A1572DE" w:rsidR="00824030" w:rsidRPr="00390CE7" w:rsidRDefault="00390CE7" w:rsidP="00390CE7">
      <w:pPr>
        <w:spacing w:before="120" w:after="120" w:line="360" w:lineRule="auto"/>
        <w:rPr>
          <w:rFonts w:ascii="Arial" w:eastAsiaTheme="minorHAnsi" w:hAnsi="Arial" w:cs="Arial"/>
          <w:kern w:val="2"/>
          <w:lang w:eastAsia="en-US"/>
          <w14:ligatures w14:val="standardContextual"/>
        </w:rPr>
      </w:pPr>
      <w:r w:rsidRPr="00390CE7">
        <w:rPr>
          <w:rFonts w:ascii="Arial" w:eastAsiaTheme="minorHAnsi" w:hAnsi="Arial" w:cs="Arial"/>
          <w:kern w:val="2"/>
          <w:lang w:eastAsia="en-US"/>
          <w14:ligatures w14:val="standardContextual"/>
        </w:rPr>
        <w:t xml:space="preserve">Lecturer Name: </w:t>
      </w:r>
      <w:r w:rsidRPr="00390CE7">
        <w:rPr>
          <w:rFonts w:ascii="Source Sans Pro" w:eastAsia="Arial" w:hAnsi="Source Sans Pro" w:cs="Arial"/>
          <w:color w:val="242130"/>
          <w:sz w:val="21"/>
          <w:szCs w:val="21"/>
          <w:shd w:val="clear" w:color="auto" w:fill="FFFFFF"/>
        </w:rPr>
        <w:t> </w:t>
      </w:r>
      <w:r w:rsidRPr="00390CE7">
        <w:rPr>
          <w:rFonts w:ascii="Arial" w:eastAsia="Arial" w:hAnsi="Arial" w:cs="Arial"/>
          <w:color w:val="242130"/>
          <w:shd w:val="clear" w:color="auto" w:fill="FFFFFF"/>
        </w:rPr>
        <w:t>Rameses Manalang</w:t>
      </w:r>
    </w:p>
    <w:p w14:paraId="524FC6C3" w14:textId="77777777" w:rsidR="00824030" w:rsidRDefault="00824030" w:rsidP="00C2567A">
      <w:pPr>
        <w:spacing w:after="100"/>
        <w:rPr>
          <w:b/>
          <w:bCs/>
          <w:sz w:val="30"/>
          <w:szCs w:val="30"/>
        </w:rPr>
      </w:pPr>
    </w:p>
    <w:p w14:paraId="76A7137E" w14:textId="77777777" w:rsidR="00824030" w:rsidRPr="00BC57C4" w:rsidRDefault="00824030" w:rsidP="00BC57C4">
      <w:pPr>
        <w:spacing w:before="120" w:line="360" w:lineRule="auto"/>
        <w:jc w:val="center"/>
        <w:rPr>
          <w:rFonts w:ascii="Arial" w:hAnsi="Arial" w:cs="Arial"/>
          <w:b/>
          <w:bCs/>
          <w:sz w:val="28"/>
          <w:szCs w:val="28"/>
        </w:rPr>
      </w:pPr>
    </w:p>
    <w:p w14:paraId="35B9E1CA" w14:textId="77777777" w:rsidR="00BC57C4" w:rsidRPr="00BC57C4" w:rsidRDefault="00BC57C4" w:rsidP="00BC57C4">
      <w:pPr>
        <w:spacing w:before="120" w:line="360" w:lineRule="auto"/>
        <w:jc w:val="center"/>
        <w:rPr>
          <w:rFonts w:ascii="Arial" w:hAnsi="Arial" w:cs="Arial"/>
          <w:b/>
          <w:bCs/>
          <w:sz w:val="28"/>
          <w:szCs w:val="28"/>
        </w:rPr>
      </w:pPr>
    </w:p>
    <w:p w14:paraId="56723C14" w14:textId="54D22D18" w:rsidR="00F13459" w:rsidRPr="00AC65E7" w:rsidRDefault="003C2E7F" w:rsidP="003C2E7F">
      <w:pPr>
        <w:spacing w:before="120" w:line="360" w:lineRule="auto"/>
        <w:rPr>
          <w:rFonts w:ascii="Arial" w:hAnsi="Arial" w:cs="Arial"/>
          <w:sz w:val="28"/>
          <w:szCs w:val="28"/>
        </w:rPr>
      </w:pPr>
      <w:r>
        <w:rPr>
          <w:rFonts w:ascii="Arial" w:hAnsi="Arial" w:cs="Arial"/>
          <w:b/>
          <w:bCs/>
          <w:sz w:val="28"/>
          <w:szCs w:val="28"/>
        </w:rPr>
        <w:t>Report: “</w:t>
      </w:r>
      <w:r w:rsidR="00812214" w:rsidRPr="00BC57C4">
        <w:rPr>
          <w:rFonts w:ascii="Arial" w:hAnsi="Arial" w:cs="Arial"/>
          <w:b/>
          <w:bCs/>
          <w:sz w:val="28"/>
          <w:szCs w:val="28"/>
        </w:rPr>
        <w:t>How Environmental Factors Influence HR Managers' Effectiveness:</w:t>
      </w:r>
      <w:r w:rsidR="00AC65E7">
        <w:rPr>
          <w:rFonts w:ascii="Arial" w:hAnsi="Arial" w:cs="Arial"/>
          <w:sz w:val="28"/>
          <w:szCs w:val="28"/>
        </w:rPr>
        <w:t xml:space="preserve"> </w:t>
      </w:r>
      <w:r w:rsidR="00812214" w:rsidRPr="00BC57C4">
        <w:rPr>
          <w:rFonts w:ascii="Arial" w:hAnsi="Arial" w:cs="Arial"/>
          <w:b/>
          <w:bCs/>
          <w:sz w:val="28"/>
          <w:szCs w:val="28"/>
        </w:rPr>
        <w:t>A PESTEL Analysis of Marks &amp; Spencer Group plc</w:t>
      </w:r>
      <w:r>
        <w:rPr>
          <w:rFonts w:ascii="Arial" w:hAnsi="Arial" w:cs="Arial"/>
          <w:b/>
          <w:bCs/>
          <w:sz w:val="28"/>
          <w:szCs w:val="28"/>
        </w:rPr>
        <w:t>.”</w:t>
      </w:r>
    </w:p>
    <w:p w14:paraId="7EE061EC" w14:textId="77777777" w:rsidR="009A3A2E" w:rsidRDefault="009A3A2E" w:rsidP="003C2E7F">
      <w:pPr>
        <w:spacing w:after="300"/>
        <w:rPr>
          <w:b/>
          <w:bCs/>
          <w:sz w:val="30"/>
          <w:szCs w:val="30"/>
        </w:rPr>
      </w:pPr>
    </w:p>
    <w:p w14:paraId="4D656600" w14:textId="77777777" w:rsidR="009A3A2E" w:rsidRDefault="009A3A2E" w:rsidP="003C2E7F">
      <w:pPr>
        <w:spacing w:after="300"/>
        <w:rPr>
          <w:b/>
          <w:bCs/>
          <w:sz w:val="30"/>
          <w:szCs w:val="30"/>
        </w:rPr>
      </w:pPr>
    </w:p>
    <w:p w14:paraId="14BF004D" w14:textId="77777777" w:rsidR="009A3A2E" w:rsidRDefault="009A3A2E">
      <w:pPr>
        <w:spacing w:after="300"/>
        <w:jc w:val="center"/>
        <w:rPr>
          <w:b/>
          <w:bCs/>
          <w:sz w:val="30"/>
          <w:szCs w:val="30"/>
        </w:rPr>
      </w:pPr>
    </w:p>
    <w:p w14:paraId="4C3FB374" w14:textId="77777777" w:rsidR="009A3A2E" w:rsidRDefault="009A3A2E" w:rsidP="00AC65E7">
      <w:pPr>
        <w:spacing w:after="300"/>
        <w:rPr>
          <w:b/>
          <w:bCs/>
          <w:sz w:val="30"/>
          <w:szCs w:val="30"/>
        </w:rPr>
      </w:pPr>
    </w:p>
    <w:p w14:paraId="65E65429" w14:textId="77777777" w:rsidR="009A3A2E" w:rsidRDefault="009A3A2E">
      <w:pPr>
        <w:spacing w:after="300"/>
        <w:jc w:val="center"/>
        <w:rPr>
          <w:b/>
          <w:bCs/>
          <w:sz w:val="30"/>
          <w:szCs w:val="30"/>
        </w:rPr>
      </w:pPr>
    </w:p>
    <w:p w14:paraId="0139C2F3" w14:textId="77777777" w:rsidR="009A3A2E" w:rsidRDefault="009A3A2E">
      <w:pPr>
        <w:spacing w:after="300"/>
        <w:jc w:val="center"/>
        <w:rPr>
          <w:b/>
          <w:bCs/>
          <w:sz w:val="30"/>
          <w:szCs w:val="30"/>
        </w:rPr>
      </w:pPr>
    </w:p>
    <w:p w14:paraId="1E921C69" w14:textId="77777777" w:rsidR="009A3A2E" w:rsidRDefault="009A3A2E">
      <w:pPr>
        <w:spacing w:after="300"/>
        <w:jc w:val="center"/>
        <w:rPr>
          <w:b/>
          <w:bCs/>
          <w:sz w:val="30"/>
          <w:szCs w:val="30"/>
        </w:rPr>
      </w:pPr>
    </w:p>
    <w:p w14:paraId="720A70D7" w14:textId="77777777" w:rsidR="009A3A2E" w:rsidRDefault="009A3A2E">
      <w:pPr>
        <w:spacing w:after="300"/>
        <w:jc w:val="center"/>
        <w:rPr>
          <w:b/>
          <w:bCs/>
          <w:sz w:val="30"/>
          <w:szCs w:val="30"/>
        </w:rPr>
      </w:pPr>
    </w:p>
    <w:sdt>
      <w:sdtPr>
        <w:rPr>
          <w:rFonts w:ascii="Calibri" w:eastAsia="Calibri" w:hAnsi="Calibri" w:cs="Calibri"/>
          <w:color w:val="auto"/>
          <w:sz w:val="24"/>
          <w:szCs w:val="24"/>
          <w:lang w:val="en-GB" w:eastAsia="en-GB"/>
        </w:rPr>
        <w:id w:val="-108513461"/>
        <w:docPartObj>
          <w:docPartGallery w:val="Table of Contents"/>
          <w:docPartUnique/>
        </w:docPartObj>
      </w:sdtPr>
      <w:sdtEndPr>
        <w:rPr>
          <w:b/>
          <w:bCs/>
          <w:noProof/>
        </w:rPr>
      </w:sdtEndPr>
      <w:sdtContent>
        <w:p w14:paraId="203AD95A" w14:textId="449755D4" w:rsidR="00A95CC7" w:rsidRDefault="00A95CC7">
          <w:pPr>
            <w:pStyle w:val="TOCHeading"/>
          </w:pPr>
          <w:r>
            <w:t>Contents</w:t>
          </w:r>
        </w:p>
        <w:p w14:paraId="61771089" w14:textId="2B0C307B" w:rsidR="004357F9" w:rsidRDefault="00A95CC7">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7347425" w:history="1">
            <w:r w:rsidR="004357F9" w:rsidRPr="00F17878">
              <w:rPr>
                <w:rStyle w:val="Hyperlink"/>
                <w:noProof/>
              </w:rPr>
              <w:t>1. Introduction</w:t>
            </w:r>
            <w:r w:rsidR="004357F9">
              <w:rPr>
                <w:noProof/>
                <w:webHidden/>
              </w:rPr>
              <w:tab/>
            </w:r>
            <w:r w:rsidR="004357F9">
              <w:rPr>
                <w:noProof/>
                <w:webHidden/>
              </w:rPr>
              <w:fldChar w:fldCharType="begin"/>
            </w:r>
            <w:r w:rsidR="004357F9">
              <w:rPr>
                <w:noProof/>
                <w:webHidden/>
              </w:rPr>
              <w:instrText xml:space="preserve"> PAGEREF _Toc237347425 \h </w:instrText>
            </w:r>
            <w:r w:rsidR="004357F9">
              <w:rPr>
                <w:noProof/>
                <w:webHidden/>
              </w:rPr>
            </w:r>
            <w:r w:rsidR="004357F9">
              <w:rPr>
                <w:noProof/>
                <w:webHidden/>
              </w:rPr>
              <w:fldChar w:fldCharType="separate"/>
            </w:r>
            <w:r w:rsidR="004357F9">
              <w:rPr>
                <w:noProof/>
                <w:webHidden/>
              </w:rPr>
              <w:t>2</w:t>
            </w:r>
            <w:r w:rsidR="004357F9">
              <w:rPr>
                <w:noProof/>
                <w:webHidden/>
              </w:rPr>
              <w:fldChar w:fldCharType="end"/>
            </w:r>
          </w:hyperlink>
        </w:p>
        <w:p w14:paraId="2FC22F70" w14:textId="32B1C693" w:rsidR="004357F9" w:rsidRDefault="004357F9">
          <w:pPr>
            <w:pStyle w:val="TOC1"/>
            <w:tabs>
              <w:tab w:val="right" w:leader="dot" w:pos="9016"/>
            </w:tabs>
            <w:rPr>
              <w:rFonts w:asciiTheme="minorHAnsi" w:eastAsiaTheme="minorEastAsia" w:hAnsiTheme="minorHAnsi" w:cstheme="minorBidi"/>
              <w:noProof/>
              <w:kern w:val="2"/>
              <w14:ligatures w14:val="standardContextual"/>
            </w:rPr>
          </w:pPr>
          <w:hyperlink w:anchor="_Toc237347426" w:history="1">
            <w:r w:rsidRPr="00F17878">
              <w:rPr>
                <w:rStyle w:val="Hyperlink"/>
                <w:noProof/>
              </w:rPr>
              <w:t>2. Internal and External Environment</w:t>
            </w:r>
            <w:r>
              <w:rPr>
                <w:noProof/>
                <w:webHidden/>
              </w:rPr>
              <w:tab/>
            </w:r>
            <w:r>
              <w:rPr>
                <w:noProof/>
                <w:webHidden/>
              </w:rPr>
              <w:fldChar w:fldCharType="begin"/>
            </w:r>
            <w:r>
              <w:rPr>
                <w:noProof/>
                <w:webHidden/>
              </w:rPr>
              <w:instrText xml:space="preserve"> PAGEREF _Toc237347426 \h </w:instrText>
            </w:r>
            <w:r>
              <w:rPr>
                <w:noProof/>
                <w:webHidden/>
              </w:rPr>
            </w:r>
            <w:r>
              <w:rPr>
                <w:noProof/>
                <w:webHidden/>
              </w:rPr>
              <w:fldChar w:fldCharType="separate"/>
            </w:r>
            <w:r>
              <w:rPr>
                <w:noProof/>
                <w:webHidden/>
              </w:rPr>
              <w:t>2</w:t>
            </w:r>
            <w:r>
              <w:rPr>
                <w:noProof/>
                <w:webHidden/>
              </w:rPr>
              <w:fldChar w:fldCharType="end"/>
            </w:r>
          </w:hyperlink>
        </w:p>
        <w:p w14:paraId="47A2A318" w14:textId="67721728" w:rsidR="004357F9" w:rsidRDefault="004357F9">
          <w:pPr>
            <w:pStyle w:val="TOC1"/>
            <w:tabs>
              <w:tab w:val="right" w:leader="dot" w:pos="9016"/>
            </w:tabs>
            <w:rPr>
              <w:rFonts w:asciiTheme="minorHAnsi" w:eastAsiaTheme="minorEastAsia" w:hAnsiTheme="minorHAnsi" w:cstheme="minorBidi"/>
              <w:noProof/>
              <w:kern w:val="2"/>
              <w14:ligatures w14:val="standardContextual"/>
            </w:rPr>
          </w:pPr>
          <w:hyperlink w:anchor="_Toc237347427" w:history="1">
            <w:r w:rsidRPr="00F17878">
              <w:rPr>
                <w:rStyle w:val="Hyperlink"/>
                <w:noProof/>
              </w:rPr>
              <w:t>3. Organisation Application: Marks &amp; Spencer Group plc</w:t>
            </w:r>
            <w:r>
              <w:rPr>
                <w:noProof/>
                <w:webHidden/>
              </w:rPr>
              <w:tab/>
            </w:r>
            <w:r>
              <w:rPr>
                <w:noProof/>
                <w:webHidden/>
              </w:rPr>
              <w:fldChar w:fldCharType="begin"/>
            </w:r>
            <w:r>
              <w:rPr>
                <w:noProof/>
                <w:webHidden/>
              </w:rPr>
              <w:instrText xml:space="preserve"> PAGEREF _Toc237347427 \h </w:instrText>
            </w:r>
            <w:r>
              <w:rPr>
                <w:noProof/>
                <w:webHidden/>
              </w:rPr>
            </w:r>
            <w:r>
              <w:rPr>
                <w:noProof/>
                <w:webHidden/>
              </w:rPr>
              <w:fldChar w:fldCharType="separate"/>
            </w:r>
            <w:r>
              <w:rPr>
                <w:noProof/>
                <w:webHidden/>
              </w:rPr>
              <w:t>4</w:t>
            </w:r>
            <w:r>
              <w:rPr>
                <w:noProof/>
                <w:webHidden/>
              </w:rPr>
              <w:fldChar w:fldCharType="end"/>
            </w:r>
          </w:hyperlink>
        </w:p>
        <w:p w14:paraId="4557AD87" w14:textId="5A9DE928" w:rsidR="004357F9" w:rsidRDefault="004357F9">
          <w:pPr>
            <w:pStyle w:val="TOC1"/>
            <w:tabs>
              <w:tab w:val="right" w:leader="dot" w:pos="9016"/>
            </w:tabs>
            <w:rPr>
              <w:rFonts w:asciiTheme="minorHAnsi" w:eastAsiaTheme="minorEastAsia" w:hAnsiTheme="minorHAnsi" w:cstheme="minorBidi"/>
              <w:noProof/>
              <w:kern w:val="2"/>
              <w14:ligatures w14:val="standardContextual"/>
            </w:rPr>
          </w:pPr>
          <w:hyperlink w:anchor="_Toc237347428" w:history="1">
            <w:r w:rsidRPr="00F17878">
              <w:rPr>
                <w:rStyle w:val="Hyperlink"/>
                <w:noProof/>
              </w:rPr>
              <w:t>4. Application of the PESTEL Model</w:t>
            </w:r>
            <w:r>
              <w:rPr>
                <w:noProof/>
                <w:webHidden/>
              </w:rPr>
              <w:tab/>
            </w:r>
            <w:r>
              <w:rPr>
                <w:noProof/>
                <w:webHidden/>
              </w:rPr>
              <w:fldChar w:fldCharType="begin"/>
            </w:r>
            <w:r>
              <w:rPr>
                <w:noProof/>
                <w:webHidden/>
              </w:rPr>
              <w:instrText xml:space="preserve"> PAGEREF _Toc237347428 \h </w:instrText>
            </w:r>
            <w:r>
              <w:rPr>
                <w:noProof/>
                <w:webHidden/>
              </w:rPr>
            </w:r>
            <w:r>
              <w:rPr>
                <w:noProof/>
                <w:webHidden/>
              </w:rPr>
              <w:fldChar w:fldCharType="separate"/>
            </w:r>
            <w:r>
              <w:rPr>
                <w:noProof/>
                <w:webHidden/>
              </w:rPr>
              <w:t>4</w:t>
            </w:r>
            <w:r>
              <w:rPr>
                <w:noProof/>
                <w:webHidden/>
              </w:rPr>
              <w:fldChar w:fldCharType="end"/>
            </w:r>
          </w:hyperlink>
        </w:p>
        <w:p w14:paraId="4FA8FDC4" w14:textId="4F019750" w:rsidR="004357F9" w:rsidRDefault="004357F9">
          <w:pPr>
            <w:pStyle w:val="TOC2"/>
            <w:tabs>
              <w:tab w:val="right" w:leader="dot" w:pos="9016"/>
            </w:tabs>
            <w:rPr>
              <w:rFonts w:asciiTheme="minorHAnsi" w:eastAsiaTheme="minorEastAsia" w:hAnsiTheme="minorHAnsi" w:cstheme="minorBidi"/>
              <w:noProof/>
              <w:kern w:val="2"/>
              <w14:ligatures w14:val="standardContextual"/>
            </w:rPr>
          </w:pPr>
          <w:hyperlink w:anchor="_Toc237347429" w:history="1">
            <w:r w:rsidRPr="00F17878">
              <w:rPr>
                <w:rStyle w:val="Hyperlink"/>
                <w:noProof/>
              </w:rPr>
              <w:t>Impact on HR Practices</w:t>
            </w:r>
            <w:r>
              <w:rPr>
                <w:noProof/>
                <w:webHidden/>
              </w:rPr>
              <w:tab/>
            </w:r>
            <w:r>
              <w:rPr>
                <w:noProof/>
                <w:webHidden/>
              </w:rPr>
              <w:fldChar w:fldCharType="begin"/>
            </w:r>
            <w:r>
              <w:rPr>
                <w:noProof/>
                <w:webHidden/>
              </w:rPr>
              <w:instrText xml:space="preserve"> PAGEREF _Toc237347429 \h </w:instrText>
            </w:r>
            <w:r>
              <w:rPr>
                <w:noProof/>
                <w:webHidden/>
              </w:rPr>
            </w:r>
            <w:r>
              <w:rPr>
                <w:noProof/>
                <w:webHidden/>
              </w:rPr>
              <w:fldChar w:fldCharType="separate"/>
            </w:r>
            <w:r>
              <w:rPr>
                <w:noProof/>
                <w:webHidden/>
              </w:rPr>
              <w:t>4</w:t>
            </w:r>
            <w:r>
              <w:rPr>
                <w:noProof/>
                <w:webHidden/>
              </w:rPr>
              <w:fldChar w:fldCharType="end"/>
            </w:r>
          </w:hyperlink>
        </w:p>
        <w:p w14:paraId="211C2D5C" w14:textId="01437621" w:rsidR="004357F9" w:rsidRDefault="004357F9">
          <w:pPr>
            <w:pStyle w:val="TOC2"/>
            <w:tabs>
              <w:tab w:val="right" w:leader="dot" w:pos="9016"/>
            </w:tabs>
            <w:rPr>
              <w:rFonts w:asciiTheme="minorHAnsi" w:eastAsiaTheme="minorEastAsia" w:hAnsiTheme="minorHAnsi" w:cstheme="minorBidi"/>
              <w:noProof/>
              <w:kern w:val="2"/>
              <w14:ligatures w14:val="standardContextual"/>
            </w:rPr>
          </w:pPr>
          <w:hyperlink w:anchor="_Toc237347430" w:history="1">
            <w:r w:rsidRPr="00F17878">
              <w:rPr>
                <w:rStyle w:val="Hyperlink"/>
                <w:noProof/>
              </w:rPr>
              <w:t>Country Differences</w:t>
            </w:r>
            <w:r>
              <w:rPr>
                <w:noProof/>
                <w:webHidden/>
              </w:rPr>
              <w:tab/>
            </w:r>
            <w:r>
              <w:rPr>
                <w:noProof/>
                <w:webHidden/>
              </w:rPr>
              <w:fldChar w:fldCharType="begin"/>
            </w:r>
            <w:r>
              <w:rPr>
                <w:noProof/>
                <w:webHidden/>
              </w:rPr>
              <w:instrText xml:space="preserve"> PAGEREF _Toc237347430 \h </w:instrText>
            </w:r>
            <w:r>
              <w:rPr>
                <w:noProof/>
                <w:webHidden/>
              </w:rPr>
            </w:r>
            <w:r>
              <w:rPr>
                <w:noProof/>
                <w:webHidden/>
              </w:rPr>
              <w:fldChar w:fldCharType="separate"/>
            </w:r>
            <w:r>
              <w:rPr>
                <w:noProof/>
                <w:webHidden/>
              </w:rPr>
              <w:t>6</w:t>
            </w:r>
            <w:r>
              <w:rPr>
                <w:noProof/>
                <w:webHidden/>
              </w:rPr>
              <w:fldChar w:fldCharType="end"/>
            </w:r>
          </w:hyperlink>
        </w:p>
        <w:p w14:paraId="5104DE24" w14:textId="62E7D740" w:rsidR="004357F9" w:rsidRDefault="004357F9">
          <w:pPr>
            <w:pStyle w:val="TOC1"/>
            <w:tabs>
              <w:tab w:val="right" w:leader="dot" w:pos="9016"/>
            </w:tabs>
            <w:rPr>
              <w:rFonts w:asciiTheme="minorHAnsi" w:eastAsiaTheme="minorEastAsia" w:hAnsiTheme="minorHAnsi" w:cstheme="minorBidi"/>
              <w:noProof/>
              <w:kern w:val="2"/>
              <w14:ligatures w14:val="standardContextual"/>
            </w:rPr>
          </w:pPr>
          <w:hyperlink w:anchor="_Toc237347431" w:history="1">
            <w:r w:rsidRPr="00F17878">
              <w:rPr>
                <w:rStyle w:val="Hyperlink"/>
                <w:noProof/>
              </w:rPr>
              <w:t>5. Conclusion</w:t>
            </w:r>
            <w:r>
              <w:rPr>
                <w:noProof/>
                <w:webHidden/>
              </w:rPr>
              <w:tab/>
            </w:r>
            <w:r>
              <w:rPr>
                <w:noProof/>
                <w:webHidden/>
              </w:rPr>
              <w:fldChar w:fldCharType="begin"/>
            </w:r>
            <w:r>
              <w:rPr>
                <w:noProof/>
                <w:webHidden/>
              </w:rPr>
              <w:instrText xml:space="preserve"> PAGEREF _Toc237347431 \h </w:instrText>
            </w:r>
            <w:r>
              <w:rPr>
                <w:noProof/>
                <w:webHidden/>
              </w:rPr>
            </w:r>
            <w:r>
              <w:rPr>
                <w:noProof/>
                <w:webHidden/>
              </w:rPr>
              <w:fldChar w:fldCharType="separate"/>
            </w:r>
            <w:r>
              <w:rPr>
                <w:noProof/>
                <w:webHidden/>
              </w:rPr>
              <w:t>7</w:t>
            </w:r>
            <w:r>
              <w:rPr>
                <w:noProof/>
                <w:webHidden/>
              </w:rPr>
              <w:fldChar w:fldCharType="end"/>
            </w:r>
          </w:hyperlink>
        </w:p>
        <w:p w14:paraId="42CADC00" w14:textId="03B8995F" w:rsidR="004357F9" w:rsidRDefault="004357F9">
          <w:pPr>
            <w:pStyle w:val="TOC1"/>
            <w:tabs>
              <w:tab w:val="right" w:leader="dot" w:pos="9016"/>
            </w:tabs>
            <w:rPr>
              <w:rFonts w:asciiTheme="minorHAnsi" w:eastAsiaTheme="minorEastAsia" w:hAnsiTheme="minorHAnsi" w:cstheme="minorBidi"/>
              <w:noProof/>
              <w:kern w:val="2"/>
              <w14:ligatures w14:val="standardContextual"/>
            </w:rPr>
          </w:pPr>
          <w:hyperlink w:anchor="_Toc237347432" w:history="1">
            <w:r w:rsidRPr="00F17878">
              <w:rPr>
                <w:rStyle w:val="Hyperlink"/>
                <w:noProof/>
              </w:rPr>
              <w:t>6. Reference List:</w:t>
            </w:r>
            <w:r>
              <w:rPr>
                <w:noProof/>
                <w:webHidden/>
              </w:rPr>
              <w:tab/>
            </w:r>
            <w:r>
              <w:rPr>
                <w:noProof/>
                <w:webHidden/>
              </w:rPr>
              <w:fldChar w:fldCharType="begin"/>
            </w:r>
            <w:r>
              <w:rPr>
                <w:noProof/>
                <w:webHidden/>
              </w:rPr>
              <w:instrText xml:space="preserve"> PAGEREF _Toc237347432 \h </w:instrText>
            </w:r>
            <w:r>
              <w:rPr>
                <w:noProof/>
                <w:webHidden/>
              </w:rPr>
            </w:r>
            <w:r>
              <w:rPr>
                <w:noProof/>
                <w:webHidden/>
              </w:rPr>
              <w:fldChar w:fldCharType="separate"/>
            </w:r>
            <w:r>
              <w:rPr>
                <w:noProof/>
                <w:webHidden/>
              </w:rPr>
              <w:t>9</w:t>
            </w:r>
            <w:r>
              <w:rPr>
                <w:noProof/>
                <w:webHidden/>
              </w:rPr>
              <w:fldChar w:fldCharType="end"/>
            </w:r>
          </w:hyperlink>
        </w:p>
        <w:p w14:paraId="0CB10373" w14:textId="7B66CC6E" w:rsidR="00A95CC7" w:rsidRDefault="00A95CC7">
          <w:r>
            <w:rPr>
              <w:b/>
              <w:bCs/>
              <w:noProof/>
            </w:rPr>
            <w:fldChar w:fldCharType="end"/>
          </w:r>
        </w:p>
      </w:sdtContent>
    </w:sdt>
    <w:p w14:paraId="7B31847C" w14:textId="77777777" w:rsidR="009A3A2E" w:rsidRDefault="009A3A2E">
      <w:pPr>
        <w:spacing w:after="300"/>
        <w:jc w:val="center"/>
        <w:rPr>
          <w:b/>
          <w:bCs/>
          <w:sz w:val="30"/>
          <w:szCs w:val="30"/>
        </w:rPr>
      </w:pPr>
    </w:p>
    <w:p w14:paraId="6B9D3B93" w14:textId="77777777" w:rsidR="009A3A2E" w:rsidRDefault="009A3A2E">
      <w:pPr>
        <w:spacing w:after="300"/>
        <w:jc w:val="center"/>
        <w:rPr>
          <w:b/>
          <w:bCs/>
          <w:sz w:val="30"/>
          <w:szCs w:val="30"/>
        </w:rPr>
      </w:pPr>
    </w:p>
    <w:p w14:paraId="41DB8AC7" w14:textId="77777777" w:rsidR="009A3A2E" w:rsidRDefault="009A3A2E">
      <w:pPr>
        <w:spacing w:after="300"/>
        <w:jc w:val="center"/>
        <w:rPr>
          <w:b/>
          <w:bCs/>
          <w:sz w:val="30"/>
          <w:szCs w:val="30"/>
        </w:rPr>
      </w:pPr>
    </w:p>
    <w:p w14:paraId="0EB7E766" w14:textId="77777777" w:rsidR="009A3A2E" w:rsidRDefault="009A3A2E">
      <w:pPr>
        <w:spacing w:after="300"/>
        <w:jc w:val="center"/>
        <w:rPr>
          <w:b/>
          <w:bCs/>
          <w:sz w:val="30"/>
          <w:szCs w:val="30"/>
        </w:rPr>
      </w:pPr>
    </w:p>
    <w:p w14:paraId="4946F6B5" w14:textId="77777777" w:rsidR="009A3A2E" w:rsidRDefault="009A3A2E">
      <w:pPr>
        <w:spacing w:after="300"/>
        <w:jc w:val="center"/>
        <w:rPr>
          <w:b/>
          <w:bCs/>
          <w:sz w:val="30"/>
          <w:szCs w:val="30"/>
        </w:rPr>
      </w:pPr>
    </w:p>
    <w:p w14:paraId="5D2DDCD0" w14:textId="77777777" w:rsidR="009A3A2E" w:rsidRDefault="009A3A2E">
      <w:pPr>
        <w:spacing w:after="300"/>
        <w:jc w:val="center"/>
        <w:rPr>
          <w:b/>
          <w:bCs/>
          <w:sz w:val="30"/>
          <w:szCs w:val="30"/>
        </w:rPr>
      </w:pPr>
    </w:p>
    <w:p w14:paraId="7AF3E178" w14:textId="77777777" w:rsidR="00824030" w:rsidRDefault="00824030" w:rsidP="00AC65E7">
      <w:pPr>
        <w:spacing w:after="300"/>
        <w:rPr>
          <w:b/>
          <w:bCs/>
          <w:sz w:val="30"/>
          <w:szCs w:val="30"/>
        </w:rPr>
      </w:pPr>
    </w:p>
    <w:p w14:paraId="4F414C75" w14:textId="77777777" w:rsidR="00AC65E7" w:rsidRDefault="00AC65E7" w:rsidP="00AC65E7">
      <w:pPr>
        <w:spacing w:after="300"/>
        <w:rPr>
          <w:b/>
          <w:bCs/>
          <w:sz w:val="30"/>
          <w:szCs w:val="30"/>
        </w:rPr>
      </w:pPr>
    </w:p>
    <w:p w14:paraId="13F50DE1" w14:textId="77777777" w:rsidR="00824030" w:rsidRDefault="00824030">
      <w:pPr>
        <w:spacing w:after="300"/>
        <w:jc w:val="center"/>
        <w:rPr>
          <w:b/>
          <w:bCs/>
          <w:sz w:val="30"/>
          <w:szCs w:val="30"/>
        </w:rPr>
      </w:pPr>
    </w:p>
    <w:p w14:paraId="666B4851" w14:textId="77777777" w:rsidR="009A3A2E" w:rsidRDefault="009A3A2E">
      <w:pPr>
        <w:spacing w:after="300"/>
        <w:jc w:val="center"/>
        <w:rPr>
          <w:b/>
          <w:bCs/>
          <w:sz w:val="30"/>
          <w:szCs w:val="30"/>
        </w:rPr>
      </w:pPr>
    </w:p>
    <w:p w14:paraId="02BCE99B" w14:textId="77777777" w:rsidR="009A3A2E" w:rsidRDefault="009A3A2E">
      <w:pPr>
        <w:spacing w:after="300"/>
        <w:jc w:val="center"/>
        <w:rPr>
          <w:b/>
          <w:bCs/>
          <w:sz w:val="30"/>
          <w:szCs w:val="30"/>
        </w:rPr>
      </w:pPr>
    </w:p>
    <w:p w14:paraId="6EA89465" w14:textId="77777777" w:rsidR="009A3A2E" w:rsidRDefault="009A3A2E">
      <w:pPr>
        <w:spacing w:after="300"/>
        <w:jc w:val="center"/>
        <w:rPr>
          <w:b/>
          <w:bCs/>
          <w:sz w:val="30"/>
          <w:szCs w:val="30"/>
        </w:rPr>
      </w:pPr>
    </w:p>
    <w:p w14:paraId="78140368" w14:textId="77777777" w:rsidR="009A3A2E" w:rsidRDefault="009A3A2E">
      <w:pPr>
        <w:spacing w:after="300"/>
        <w:jc w:val="center"/>
      </w:pPr>
    </w:p>
    <w:p w14:paraId="47BC1A11" w14:textId="77777777" w:rsidR="00F13459" w:rsidRPr="00CC52EF" w:rsidRDefault="00812214" w:rsidP="00CC52EF">
      <w:pPr>
        <w:pStyle w:val="Style1"/>
      </w:pPr>
      <w:bookmarkStart w:id="0" w:name="_Toc237347425"/>
      <w:r w:rsidRPr="00CC52EF">
        <w:lastRenderedPageBreak/>
        <w:t>1. Introduction</w:t>
      </w:r>
      <w:bookmarkEnd w:id="0"/>
    </w:p>
    <w:p w14:paraId="1640E20F" w14:textId="65706644" w:rsidR="00F13459" w:rsidRPr="00CC52EF" w:rsidRDefault="00304844" w:rsidP="00CC52EF">
      <w:pPr>
        <w:spacing w:before="120" w:after="120" w:line="360" w:lineRule="auto"/>
        <w:rPr>
          <w:rFonts w:ascii="Arial" w:hAnsi="Arial" w:cs="Arial"/>
        </w:rPr>
      </w:pPr>
      <w:r>
        <w:rPr>
          <w:rFonts w:ascii="Arial" w:hAnsi="Arial" w:cs="Arial"/>
        </w:rPr>
        <w:t xml:space="preserve">Human Resource Management (HRM) involves the processes </w:t>
      </w:r>
      <w:r w:rsidR="00EB2BEF">
        <w:rPr>
          <w:rFonts w:ascii="Arial" w:hAnsi="Arial" w:cs="Arial"/>
        </w:rPr>
        <w:t>by which organisations plan, attract, develop, and retain personnel essential to</w:t>
      </w:r>
      <w:r>
        <w:rPr>
          <w:rFonts w:ascii="Arial" w:hAnsi="Arial" w:cs="Arial"/>
        </w:rPr>
        <w:t xml:space="preserve"> achieving strategic goals (Armstrong, 2020; Dessler, 2017). Four primary HR functions underpin this role. Recruitment and selection ensure the </w:t>
      </w:r>
      <w:r w:rsidR="00EB2BEF">
        <w:rPr>
          <w:rFonts w:ascii="Arial" w:hAnsi="Arial" w:cs="Arial"/>
        </w:rPr>
        <w:t>organisation</w:t>
      </w:r>
      <w:r>
        <w:rPr>
          <w:rFonts w:ascii="Arial" w:hAnsi="Arial" w:cs="Arial"/>
        </w:rPr>
        <w:t xml:space="preserve"> has the right capabilities by identifying and hiring suitable candidates; without this, other HR activities lack a solid foundation (Boxall and Purcell, 2022). Training and development help employees' skills stay current with evolving business and technological needs. Performance management connects individual efforts </w:t>
      </w:r>
      <w:r w:rsidR="00EB2BEF">
        <w:rPr>
          <w:rFonts w:ascii="Arial" w:hAnsi="Arial" w:cs="Arial"/>
        </w:rPr>
        <w:t xml:space="preserve">to organisational objectives through ongoing </w:t>
      </w:r>
      <w:proofErr w:type="gramStart"/>
      <w:r w:rsidR="002E67B6">
        <w:rPr>
          <w:rFonts w:ascii="Arial" w:hAnsi="Arial" w:cs="Arial"/>
        </w:rPr>
        <w:t>goal-setting</w:t>
      </w:r>
      <w:proofErr w:type="gramEnd"/>
      <w:r w:rsidR="002E67B6">
        <w:rPr>
          <w:rFonts w:ascii="Arial" w:hAnsi="Arial" w:cs="Arial"/>
        </w:rPr>
        <w:t>, feedback, and reviews,</w:t>
      </w:r>
      <w:r w:rsidR="00EB2BEF">
        <w:rPr>
          <w:rFonts w:ascii="Arial" w:hAnsi="Arial" w:cs="Arial"/>
        </w:rPr>
        <w:t xml:space="preserve"> rather than</w:t>
      </w:r>
      <w:r>
        <w:rPr>
          <w:rFonts w:ascii="Arial" w:hAnsi="Arial" w:cs="Arial"/>
        </w:rPr>
        <w:t xml:space="preserve"> a single annual appraisal (Armstrong, 2020). Employee relations </w:t>
      </w:r>
      <w:r w:rsidR="007D4F7B">
        <w:rPr>
          <w:rFonts w:ascii="Arial" w:hAnsi="Arial" w:cs="Arial"/>
        </w:rPr>
        <w:t>oversee</w:t>
      </w:r>
      <w:r w:rsidR="00EB2BEF">
        <w:rPr>
          <w:rFonts w:ascii="Arial" w:hAnsi="Arial" w:cs="Arial"/>
        </w:rPr>
        <w:t xml:space="preserve"> the employer-employee relationship, focusing on communication, conflict resolution, and employment law compliance, and fostering trust during organisational</w:t>
      </w:r>
      <w:r>
        <w:rPr>
          <w:rFonts w:ascii="Arial" w:hAnsi="Arial" w:cs="Arial"/>
        </w:rPr>
        <w:t xml:space="preserve"> changes. These functions collectively influence whether the workforce is capable, motivated, and </w:t>
      </w:r>
      <w:r w:rsidR="00EB2BEF">
        <w:rPr>
          <w:rFonts w:ascii="Arial" w:hAnsi="Arial" w:cs="Arial"/>
        </w:rPr>
        <w:t>legally protected, highlighting why HR managers play a key role in organisational</w:t>
      </w:r>
      <w:r>
        <w:rPr>
          <w:rFonts w:ascii="Arial" w:hAnsi="Arial" w:cs="Arial"/>
        </w:rPr>
        <w:t xml:space="preserve"> performance beyond administrative tasks (CIPD, 2021).</w:t>
      </w:r>
    </w:p>
    <w:p w14:paraId="522D11CB" w14:textId="54025645" w:rsidR="00F13459" w:rsidRPr="00CC52EF" w:rsidRDefault="00527AF6" w:rsidP="00CC52EF">
      <w:pPr>
        <w:spacing w:before="120" w:after="120" w:line="360" w:lineRule="auto"/>
        <w:rPr>
          <w:rFonts w:ascii="Arial" w:hAnsi="Arial" w:cs="Arial"/>
        </w:rPr>
      </w:pPr>
      <w:r>
        <w:rPr>
          <w:rFonts w:ascii="Arial" w:hAnsi="Arial" w:cs="Arial"/>
        </w:rPr>
        <w:t>This report analyses the impact of internal and external environmental factors on HR managers' effectiveness, using the PESTEL model and focusing on Marks &amp; Spencer Group plc (M&amp;S) as the case organisation. M&amp;S is appropriate for this study because it has a large UK workforce directly employed by the company and an extensive international franchise network, providing a meaningful basis for assessing how environmental forces influence HR through its ownership structure and geographic location. The report covers the Internal and External Environment, explains the PESTEL model, introduces M&amp;S and its HR practices, applies PESTEL to M&amp;S, including the effects of the AI era on HR, compares the UK and UAE contexts, and concludes with future implications for HR managers.</w:t>
      </w:r>
    </w:p>
    <w:p w14:paraId="2610895D" w14:textId="77777777" w:rsidR="00F13459" w:rsidRPr="00CC52EF" w:rsidRDefault="00812214" w:rsidP="00CC52EF">
      <w:pPr>
        <w:pStyle w:val="Style2"/>
      </w:pPr>
      <w:bookmarkStart w:id="1" w:name="_Toc237347426"/>
      <w:r w:rsidRPr="00CC52EF">
        <w:t>2. Internal and External Environment</w:t>
      </w:r>
      <w:bookmarkEnd w:id="1"/>
    </w:p>
    <w:p w14:paraId="63728ED9" w14:textId="1BD6C80D" w:rsidR="00F13459" w:rsidRPr="00CC52EF" w:rsidRDefault="00EB2BEF" w:rsidP="00CC52EF">
      <w:pPr>
        <w:spacing w:before="120" w:after="120" w:line="360" w:lineRule="auto"/>
        <w:rPr>
          <w:rFonts w:ascii="Arial" w:hAnsi="Arial" w:cs="Arial"/>
        </w:rPr>
      </w:pPr>
      <w:r>
        <w:rPr>
          <w:rFonts w:ascii="Arial" w:hAnsi="Arial" w:cs="Arial"/>
        </w:rPr>
        <w:t>Organisations</w:t>
      </w:r>
      <w:r w:rsidR="00320A23">
        <w:rPr>
          <w:rFonts w:ascii="Arial" w:hAnsi="Arial" w:cs="Arial"/>
        </w:rPr>
        <w:t xml:space="preserve"> do not operate in isolation; their strategic and operational choices, including HR decisions, are influenced by both internal and external forces (Johnson, Scholes and Whittington, 2007). The internal environment encompasses factors </w:t>
      </w:r>
      <w:r>
        <w:rPr>
          <w:rFonts w:ascii="Arial" w:hAnsi="Arial" w:cs="Arial"/>
        </w:rPr>
        <w:t>such as culture, leadership style, and resources, while the external environment encompasses</w:t>
      </w:r>
      <w:r w:rsidR="00320A23">
        <w:rPr>
          <w:rFonts w:ascii="Arial" w:hAnsi="Arial" w:cs="Arial"/>
        </w:rPr>
        <w:t xml:space="preserve"> forces beyond managerial control, such as the economy, technology, law, and social change (Hunger, 2020). This assessment highlights PESTEL as the </w:t>
      </w:r>
      <w:r w:rsidR="00320A23">
        <w:rPr>
          <w:rFonts w:ascii="Arial" w:hAnsi="Arial" w:cs="Arial"/>
        </w:rPr>
        <w:lastRenderedPageBreak/>
        <w:t xml:space="preserve">suitable analytical model for M&amp;S: unlike an </w:t>
      </w:r>
      <w:r w:rsidR="00A10870">
        <w:rPr>
          <w:rFonts w:ascii="Arial" w:hAnsi="Arial" w:cs="Arial"/>
        </w:rPr>
        <w:t>internally focused</w:t>
      </w:r>
      <w:r w:rsidR="00320A23">
        <w:rPr>
          <w:rFonts w:ascii="Arial" w:hAnsi="Arial" w:cs="Arial"/>
        </w:rPr>
        <w:t xml:space="preserve"> tool like SWOT, PESTEL examines external forces, which is crucial for a global retailer like M&amp;S operating in over thirty markets, exposing it to diverse macro-environmental influences that an </w:t>
      </w:r>
      <w:r>
        <w:rPr>
          <w:rFonts w:ascii="Arial" w:hAnsi="Arial" w:cs="Arial"/>
        </w:rPr>
        <w:t>internally focused</w:t>
      </w:r>
      <w:r w:rsidR="00320A23">
        <w:rPr>
          <w:rFonts w:ascii="Arial" w:hAnsi="Arial" w:cs="Arial"/>
        </w:rPr>
        <w:t xml:space="preserve"> tool alone would miss.</w:t>
      </w:r>
    </w:p>
    <w:p w14:paraId="3CDF0169" w14:textId="44594EF3" w:rsidR="00F13459" w:rsidRPr="00CC52EF" w:rsidRDefault="00123324" w:rsidP="00CC52EF">
      <w:pPr>
        <w:spacing w:before="120" w:after="120" w:line="360" w:lineRule="auto"/>
        <w:rPr>
          <w:rFonts w:ascii="Arial" w:hAnsi="Arial" w:cs="Arial"/>
        </w:rPr>
      </w:pPr>
      <w:r>
        <w:rPr>
          <w:rFonts w:ascii="Arial" w:hAnsi="Arial" w:cs="Arial"/>
        </w:rPr>
        <w:t xml:space="preserve">PESTEL analyses six external factors: Political, Economic, Social, Technological, Environmental, and Legal. The framework was derived from Aguilar's (1967) </w:t>
      </w:r>
      <w:r w:rsidR="004357F9">
        <w:rPr>
          <w:rFonts w:ascii="Arial" w:hAnsi="Arial" w:cs="Arial"/>
        </w:rPr>
        <w:t>concept of environmental scanning, later evolving into PEST and then</w:t>
      </w:r>
      <w:r>
        <w:rPr>
          <w:rFonts w:ascii="Arial" w:hAnsi="Arial" w:cs="Arial"/>
        </w:rPr>
        <w:t xml:space="preserve"> PESTEL to include environmental and legal issues. Its main benefit is </w:t>
      </w:r>
      <w:r w:rsidR="00EB2BEF">
        <w:rPr>
          <w:rFonts w:ascii="Arial" w:hAnsi="Arial" w:cs="Arial"/>
        </w:rPr>
        <w:t>that it offers HR managers a structured, comprehensive approach to macro-environment scanning, enabling proactive rather than</w:t>
      </w:r>
      <w:r>
        <w:rPr>
          <w:rFonts w:ascii="Arial" w:hAnsi="Arial" w:cs="Arial"/>
        </w:rPr>
        <w:t xml:space="preserve"> reactive workforce planning. This aligns with the “environmental scanning” phase that begins Hunger's (2020) strategic management process, of which HR strategy is a part.</w:t>
      </w:r>
    </w:p>
    <w:p w14:paraId="5245E62C" w14:textId="425312AD" w:rsidR="00F13459" w:rsidRPr="00CC52EF" w:rsidRDefault="00160E69" w:rsidP="00CC52EF">
      <w:pPr>
        <w:spacing w:before="120" w:after="120" w:line="360" w:lineRule="auto"/>
        <w:rPr>
          <w:rFonts w:ascii="Arial" w:hAnsi="Arial" w:cs="Arial"/>
        </w:rPr>
      </w:pPr>
      <w:r>
        <w:rPr>
          <w:rFonts w:ascii="Arial" w:hAnsi="Arial" w:cs="Arial"/>
        </w:rPr>
        <w:t xml:space="preserve">PESTEL has </w:t>
      </w:r>
      <w:r w:rsidR="00EB2BEF">
        <w:rPr>
          <w:rFonts w:ascii="Arial" w:hAnsi="Arial" w:cs="Arial"/>
        </w:rPr>
        <w:t>recognised</w:t>
      </w:r>
      <w:r>
        <w:rPr>
          <w:rFonts w:ascii="Arial" w:hAnsi="Arial" w:cs="Arial"/>
        </w:rPr>
        <w:t xml:space="preserve"> limitations. Yuksel (2012) contends that it treats all six factors as equally important</w:t>
      </w:r>
      <w:r w:rsidR="00EB2BEF">
        <w:rPr>
          <w:rFonts w:ascii="Arial" w:hAnsi="Arial" w:cs="Arial"/>
        </w:rPr>
        <w:t xml:space="preserve"> and lacks a mechanism to prioritise those most relevant to a specific organisation</w:t>
      </w:r>
      <w:r>
        <w:rPr>
          <w:rFonts w:ascii="Arial" w:hAnsi="Arial" w:cs="Arial"/>
        </w:rPr>
        <w:t>. Since it mainly functions as a listing exercise, it does not generate solutions or forecast how quickly factors will change. Additionally, PESTEL provides a static snapshot</w:t>
      </w:r>
      <w:r w:rsidR="00EB2BEF">
        <w:rPr>
          <w:rFonts w:ascii="Arial" w:hAnsi="Arial" w:cs="Arial"/>
        </w:rPr>
        <w:t xml:space="preserve"> that can become outdated in fast-evolving environments, such as</w:t>
      </w:r>
      <w:r>
        <w:rPr>
          <w:rFonts w:ascii="Arial" w:hAnsi="Arial" w:cs="Arial"/>
        </w:rPr>
        <w:t xml:space="preserve"> AI adoption in HR technology. It also ignores interactions among factors, as demonstrated later in this report where M&amp;S's technological, legal, and social forces are </w:t>
      </w:r>
      <w:r w:rsidR="00023C43">
        <w:rPr>
          <w:rFonts w:ascii="Arial" w:hAnsi="Arial" w:cs="Arial"/>
        </w:rPr>
        <w:t>connected</w:t>
      </w:r>
      <w:r>
        <w:rPr>
          <w:rFonts w:ascii="Arial" w:hAnsi="Arial" w:cs="Arial"/>
        </w:rPr>
        <w:t>. Therefore, PESTEL is best used as an initial framework for discussion rather than a standalone decision-making tool.</w:t>
      </w:r>
    </w:p>
    <w:p w14:paraId="5E9BF555" w14:textId="3A2B8EE5" w:rsidR="00F13459" w:rsidRPr="00CC52EF" w:rsidRDefault="006D45F9" w:rsidP="00CC52EF">
      <w:pPr>
        <w:spacing w:before="120" w:after="120" w:line="360" w:lineRule="auto"/>
        <w:rPr>
          <w:rFonts w:ascii="Arial" w:hAnsi="Arial" w:cs="Arial"/>
        </w:rPr>
      </w:pPr>
      <w:r>
        <w:rPr>
          <w:rFonts w:ascii="Arial" w:hAnsi="Arial" w:cs="Arial"/>
        </w:rPr>
        <w:t xml:space="preserve">Each PESTEL factor has a corresponding HR application. Political and Legal aspects influence compliance with employment laws, immigration policies for recruitment, and reward systems. Economic factors impact salary budgets and retention strategies amid rising living costs. Social factors shape policies on equality, diversity, and inclusion (EDI), as well as employer branding. Technological factors increasingly determine HR system implementation and workforce analytics, notably with the rise of artificial intelligence (AI) in HR decision-making (Sivathanu and Pillai, 2018). Environmental considerations are becoming more significant for </w:t>
      </w:r>
      <w:r w:rsidR="00EB2BEF">
        <w:rPr>
          <w:rFonts w:ascii="Arial" w:hAnsi="Arial" w:cs="Arial"/>
        </w:rPr>
        <w:t xml:space="preserve">employers' reputations and for </w:t>
      </w:r>
      <w:r>
        <w:rPr>
          <w:rFonts w:ascii="Arial" w:hAnsi="Arial" w:cs="Arial"/>
        </w:rPr>
        <w:t>attracting younger candidates. This macro-to-HR translation, explored in the next sections, begins with an overview of M&amp;S and then applies each PESTEL factor to real M&amp;S evidence.</w:t>
      </w:r>
    </w:p>
    <w:p w14:paraId="201FA56F" w14:textId="77777777" w:rsidR="00F13459" w:rsidRPr="00CC52EF" w:rsidRDefault="00812214" w:rsidP="00CC52EF">
      <w:pPr>
        <w:pStyle w:val="Style2"/>
      </w:pPr>
      <w:bookmarkStart w:id="2" w:name="_Toc237347427"/>
      <w:r w:rsidRPr="00CC52EF">
        <w:lastRenderedPageBreak/>
        <w:t>3. Organisation Application: Marks &amp; Spencer Group plc</w:t>
      </w:r>
      <w:bookmarkEnd w:id="2"/>
    </w:p>
    <w:p w14:paraId="791A47D9" w14:textId="6364AEB8" w:rsidR="00F13459" w:rsidRPr="00CC52EF" w:rsidRDefault="00B02E77" w:rsidP="00CC52EF">
      <w:pPr>
        <w:spacing w:before="120" w:after="120" w:line="360" w:lineRule="auto"/>
        <w:rPr>
          <w:rFonts w:ascii="Arial" w:hAnsi="Arial" w:cs="Arial"/>
        </w:rPr>
      </w:pPr>
      <w:r>
        <w:rPr>
          <w:rFonts w:ascii="Arial" w:hAnsi="Arial" w:cs="Arial"/>
        </w:rPr>
        <w:t xml:space="preserve">Marks &amp; Spencer Group plc is a British multinational retailer founded in 1884, with three main segments: Clothing &amp; Home, Food, and International. It also has a joint venture stake in the online grocery business Ocado (Marks &amp; Spencer Group plc, 2025a). The Group employs over 63,000 people worldwide (Marks and Spencer plc, 2025 — the Group's primary UK trading subsidiary). Statista's (2026) data </w:t>
      </w:r>
      <w:r w:rsidR="00361017">
        <w:rPr>
          <w:rFonts w:ascii="Arial" w:hAnsi="Arial" w:cs="Arial"/>
        </w:rPr>
        <w:t>confirm</w:t>
      </w:r>
      <w:r>
        <w:rPr>
          <w:rFonts w:ascii="Arial" w:hAnsi="Arial" w:cs="Arial"/>
        </w:rPr>
        <w:t xml:space="preserve"> this number has decreased from over 85,000 in 2017 as the business restructured towards a smaller, more digitally focused store estate. In the UK, M&amp;S owns and franchises approximately 1,053 stores, with recruitment, rewards, and employee relations managed directly. Internationally, M&amp;S increasingly adopts a “capital-light” franchise model: its largest partner, Al-Futtaim, operates over 80 stores across ten Middle Eastern and Asian markets, employing about 2,400 people directly (Al-Futtaim, 2026).</w:t>
      </w:r>
    </w:p>
    <w:p w14:paraId="00433657" w14:textId="736EC51B" w:rsidR="00F13459" w:rsidRPr="00CC52EF" w:rsidRDefault="00361017" w:rsidP="00CC52EF">
      <w:pPr>
        <w:spacing w:before="120" w:after="120" w:line="360" w:lineRule="auto"/>
        <w:rPr>
          <w:rFonts w:ascii="Arial" w:hAnsi="Arial" w:cs="Arial"/>
        </w:rPr>
      </w:pPr>
      <w:r>
        <w:rPr>
          <w:rFonts w:ascii="Arial" w:hAnsi="Arial" w:cs="Arial"/>
        </w:rPr>
        <w:t>M&amp;S's HR practices are guided by its 'People Principles,</w:t>
      </w:r>
      <w:r w:rsidR="00EB2BEF">
        <w:rPr>
          <w:rFonts w:ascii="Arial" w:hAnsi="Arial" w:cs="Arial"/>
        </w:rPr>
        <w:t>'</w:t>
      </w:r>
      <w:r>
        <w:rPr>
          <w:rFonts w:ascii="Arial" w:hAnsi="Arial" w:cs="Arial"/>
        </w:rPr>
        <w:t xml:space="preserve"> which establish broad recruitment and workforce standards across the group. These principles are supported by leadership development and succession planning efforts aimed at cultivating internal talent. While training and development are centrally managed in the UK, they need to be </w:t>
      </w:r>
      <w:r w:rsidR="00EB2BEF">
        <w:rPr>
          <w:rFonts w:ascii="Arial" w:hAnsi="Arial" w:cs="Arial"/>
        </w:rPr>
        <w:t>customised</w:t>
      </w:r>
      <w:r>
        <w:rPr>
          <w:rFonts w:ascii="Arial" w:hAnsi="Arial" w:cs="Arial"/>
        </w:rPr>
        <w:t xml:space="preserve"> for international contexts. In franchise markets, daily recruitment, onboarding, and performance management are </w:t>
      </w:r>
      <w:r w:rsidR="00023C43">
        <w:rPr>
          <w:rFonts w:ascii="Arial" w:hAnsi="Arial" w:cs="Arial"/>
        </w:rPr>
        <w:t>managed</w:t>
      </w:r>
      <w:r>
        <w:rPr>
          <w:rFonts w:ascii="Arial" w:hAnsi="Arial" w:cs="Arial"/>
        </w:rPr>
        <w:t xml:space="preserve"> by local franchise partners rather than M&amp;S directly. Consequently, employee relations follow two pathways: a unified UK framework managed centrally and a </w:t>
      </w:r>
      <w:r w:rsidR="00EB2BEF">
        <w:rPr>
          <w:rFonts w:ascii="Arial" w:hAnsi="Arial" w:cs="Arial"/>
        </w:rPr>
        <w:t>decentralised</w:t>
      </w:r>
      <w:r>
        <w:rPr>
          <w:rFonts w:ascii="Arial" w:hAnsi="Arial" w:cs="Arial"/>
        </w:rPr>
        <w:t>, partnership-based model abroad, where M&amp;S sets brand standards but depends on local partners to ensure compliance with local employment laws. This difference between owned and franchised HR responsibilities is key to the later country-specific comparison in this report.</w:t>
      </w:r>
    </w:p>
    <w:p w14:paraId="2D88474D" w14:textId="77777777" w:rsidR="00F13459" w:rsidRPr="00CC52EF" w:rsidRDefault="00812214" w:rsidP="00CC52EF">
      <w:pPr>
        <w:pStyle w:val="Style2"/>
      </w:pPr>
      <w:bookmarkStart w:id="3" w:name="_Toc237347428"/>
      <w:r w:rsidRPr="00CC52EF">
        <w:t>4. Application of the PESTEL Model</w:t>
      </w:r>
      <w:bookmarkEnd w:id="3"/>
    </w:p>
    <w:p w14:paraId="60242871" w14:textId="78C34B81" w:rsidR="00F13459" w:rsidRPr="00CC52EF" w:rsidRDefault="00F31ADE" w:rsidP="00CC52EF">
      <w:pPr>
        <w:spacing w:before="120" w:after="120" w:line="360" w:lineRule="auto"/>
        <w:rPr>
          <w:rFonts w:ascii="Arial" w:hAnsi="Arial" w:cs="Arial"/>
        </w:rPr>
      </w:pPr>
      <w:r>
        <w:rPr>
          <w:rFonts w:ascii="Arial" w:hAnsi="Arial" w:cs="Arial"/>
        </w:rPr>
        <w:t>Using PESTEL analysis for M&amp;S shows how external forces significantly influence HR managers' effectiveness, with the impact changing depending on the specific factor and the business area involved.</w:t>
      </w:r>
    </w:p>
    <w:p w14:paraId="66306C9C" w14:textId="77777777" w:rsidR="00F13459" w:rsidRPr="00CC52EF" w:rsidRDefault="00812214" w:rsidP="00CC52EF">
      <w:pPr>
        <w:pStyle w:val="Style4"/>
      </w:pPr>
      <w:bookmarkStart w:id="4" w:name="_Toc237347429"/>
      <w:r w:rsidRPr="00CC52EF">
        <w:t>Impact on HR Practices</w:t>
      </w:r>
      <w:bookmarkEnd w:id="4"/>
    </w:p>
    <w:p w14:paraId="6AC39CA6" w14:textId="41A4C73A" w:rsidR="00F13459" w:rsidRPr="00CC52EF" w:rsidRDefault="008C3884" w:rsidP="00CC52EF">
      <w:pPr>
        <w:spacing w:before="120" w:after="120" w:line="360" w:lineRule="auto"/>
        <w:rPr>
          <w:rFonts w:ascii="Arial" w:hAnsi="Arial" w:cs="Arial"/>
        </w:rPr>
      </w:pPr>
      <w:r>
        <w:rPr>
          <w:rFonts w:ascii="Arial" w:hAnsi="Arial" w:cs="Arial"/>
        </w:rPr>
        <w:t xml:space="preserve">Brexit brought significant legal and political shifts in workforce mobility for UK retailers. Employment of EU nationals in wholesale and retail sectors dropped by roughly 3% after free movement ended (Personnel Today, 2023), leading to a </w:t>
      </w:r>
      <w:r>
        <w:rPr>
          <w:rFonts w:ascii="Arial" w:hAnsi="Arial" w:cs="Arial"/>
        </w:rPr>
        <w:lastRenderedPageBreak/>
        <w:t>smaller pool of lower-paid staff for stores and logistics, which M&amp;S depends on heavily. Consequently, HR at M&amp;S had to update recruitment documents and right-to-work checks, incurring additional costs and delays that were not faced when hiring solely from the UK. This example highlights a limitation of the PESTEL analysis</w:t>
      </w:r>
      <w:r w:rsidR="00791069">
        <w:rPr>
          <w:rFonts w:ascii="Arial" w:hAnsi="Arial" w:cs="Arial"/>
        </w:rPr>
        <w:t>. While</w:t>
      </w:r>
      <w:r>
        <w:rPr>
          <w:rFonts w:ascii="Arial" w:hAnsi="Arial" w:cs="Arial"/>
        </w:rPr>
        <w:t xml:space="preserve"> it detects legal changes, it cannot alone determine the specific impact on an employer's recruitment</w:t>
      </w:r>
      <w:r w:rsidR="00791069">
        <w:rPr>
          <w:rFonts w:ascii="Arial" w:hAnsi="Arial" w:cs="Arial"/>
        </w:rPr>
        <w:t>;</w:t>
      </w:r>
      <w:r w:rsidR="004B648E">
        <w:rPr>
          <w:rFonts w:ascii="Arial" w:hAnsi="Arial" w:cs="Arial"/>
        </w:rPr>
        <w:t xml:space="preserve"> </w:t>
      </w:r>
      <w:r>
        <w:rPr>
          <w:rFonts w:ascii="Arial" w:hAnsi="Arial" w:cs="Arial"/>
        </w:rPr>
        <w:t>such understanding requires sector-specific evidence.</w:t>
      </w:r>
    </w:p>
    <w:p w14:paraId="6D5D6F6F" w14:textId="31855E4F" w:rsidR="00F13459" w:rsidRPr="00CC52EF" w:rsidRDefault="008C3884" w:rsidP="00CC52EF">
      <w:pPr>
        <w:spacing w:before="120" w:after="120" w:line="360" w:lineRule="auto"/>
        <w:rPr>
          <w:rFonts w:ascii="Arial" w:hAnsi="Arial" w:cs="Arial"/>
        </w:rPr>
      </w:pPr>
      <w:r>
        <w:rPr>
          <w:rFonts w:ascii="Arial" w:hAnsi="Arial" w:cs="Arial"/>
        </w:rPr>
        <w:t xml:space="preserve">Economically, widespread cost pressures across the UK compelled M&amp;S to act: from April 2025, the National Living Wage increased by 6.7% to £12.21 per hour (UK Parliament, 2025), and employer National Insurance contributions rose from 13.8% to 15%, impacting retail and hospitality sectors most (Bishop Fleming, 2025). In response, HR implemented a 5% pay increase for UK store staff to £12.60 an hour, representing a £95 million investment that brought the total pay expenditure over three years close to £300 million, despite M&amp;S's chief executive openly </w:t>
      </w:r>
      <w:r w:rsidR="00212A46">
        <w:rPr>
          <w:rFonts w:ascii="Arial" w:hAnsi="Arial" w:cs="Arial"/>
        </w:rPr>
        <w:t>recognising</w:t>
      </w:r>
      <w:r>
        <w:rPr>
          <w:rFonts w:ascii="Arial" w:hAnsi="Arial" w:cs="Arial"/>
        </w:rPr>
        <w:t xml:space="preserve"> the resulting ‘cost headwinds’ (Marks &amp; Spencer Group plc, 2025b). This decision reflects a genuine HR trade-off, </w:t>
      </w:r>
      <w:r w:rsidR="00212A46">
        <w:rPr>
          <w:rFonts w:ascii="Arial" w:hAnsi="Arial" w:cs="Arial"/>
        </w:rPr>
        <w:t>prioritising</w:t>
      </w:r>
      <w:r>
        <w:rPr>
          <w:rFonts w:ascii="Arial" w:hAnsi="Arial" w:cs="Arial"/>
        </w:rPr>
        <w:t xml:space="preserve"> frontline rewards over short-term margins</w:t>
      </w:r>
      <w:r w:rsidR="00212A46">
        <w:rPr>
          <w:rFonts w:ascii="Arial" w:hAnsi="Arial" w:cs="Arial"/>
        </w:rPr>
        <w:t xml:space="preserve">, </w:t>
      </w:r>
      <w:r>
        <w:rPr>
          <w:rFonts w:ascii="Arial" w:hAnsi="Arial" w:cs="Arial"/>
        </w:rPr>
        <w:t>an external pressure highlighted by PESTEL, though HR managers must independently navigate this challenge.</w:t>
      </w:r>
    </w:p>
    <w:p w14:paraId="3488DB14" w14:textId="726A85B7" w:rsidR="00F13459" w:rsidRPr="00CC52EF" w:rsidRDefault="00212A46" w:rsidP="00CC52EF">
      <w:pPr>
        <w:spacing w:before="120" w:after="120" w:line="360" w:lineRule="auto"/>
        <w:rPr>
          <w:rFonts w:ascii="Arial" w:hAnsi="Arial" w:cs="Arial"/>
        </w:rPr>
      </w:pPr>
      <w:r>
        <w:rPr>
          <w:rFonts w:ascii="Arial" w:hAnsi="Arial" w:cs="Arial"/>
        </w:rPr>
        <w:t>The technological factor is currently the most significant aspect for M&amp;S HR, highlighting both the strengths and vulnerabilities of the AI era within the company. On the positive side, M&amp;S collaborated with TCS to upgrade its Oracle-based Human Capital Management (HCM) platform, transitioning from a disjointed system to a unified self-service portal that manages HR functions for over 80,000 employees (TCS, 2025). According to Human Capital Theory (Becker, 1964), this represents a strategic investment in managing people as key assets, aligning with the “Opportunity” component of the AMO model (Appelbaum et al., 2000). Improved workforce data allows managers to access faster, more reliable information for fairer promotion, training, and development decisions, which supports evidence that AI-driven HR analytics can facilitate more equitable recruitment and performance assessments when properly governed (Sivathanu and Pillai, 2018; Chowdhury et al., 2023).</w:t>
      </w:r>
    </w:p>
    <w:p w14:paraId="01495B85" w14:textId="33D4823A" w:rsidR="00F13459" w:rsidRPr="00CC52EF" w:rsidRDefault="00FB7386" w:rsidP="00CC52EF">
      <w:pPr>
        <w:spacing w:before="120" w:after="120" w:line="360" w:lineRule="auto"/>
        <w:rPr>
          <w:rFonts w:ascii="Arial" w:hAnsi="Arial" w:cs="Arial"/>
        </w:rPr>
      </w:pPr>
      <w:r>
        <w:rPr>
          <w:rFonts w:ascii="Arial" w:hAnsi="Arial" w:cs="Arial"/>
        </w:rPr>
        <w:t xml:space="preserve">However, the same digital reliance created a notable vulnerability: in April 2025, M&amp;S experienced a major cyber-attack attributed to the Scattered Spider group. This breach exploited a third-party service-desk process rather than a direct technical </w:t>
      </w:r>
      <w:r>
        <w:rPr>
          <w:rFonts w:ascii="Arial" w:hAnsi="Arial" w:cs="Arial"/>
        </w:rPr>
        <w:lastRenderedPageBreak/>
        <w:t xml:space="preserve">flaw, aligning with DSIT and the Home Office's (2026) conclusion that supply-chain vulnerabilities are increasingly driving UK cyber incidents. The attack disrupted online sales for weeks, forced a shift to manual stock management, and resulted in an estimated £300 million loss in operating profit, with confirmed direct costs of £136 million (Bloomberg, 2025; Computer Weekly, 2025). HR had to quickly reassure over 80,000 employees, </w:t>
      </w:r>
      <w:r w:rsidR="00023C43">
        <w:rPr>
          <w:rFonts w:ascii="Arial" w:hAnsi="Arial" w:cs="Arial"/>
        </w:rPr>
        <w:t>manage</w:t>
      </w:r>
      <w:r>
        <w:rPr>
          <w:rFonts w:ascii="Arial" w:hAnsi="Arial" w:cs="Arial"/>
        </w:rPr>
        <w:t xml:space="preserve"> stolen staff data, and support staff through unfamiliar manual procedures</w:t>
      </w:r>
      <w:r w:rsidR="004D66FC">
        <w:rPr>
          <w:rFonts w:ascii="Arial" w:hAnsi="Arial" w:cs="Arial"/>
        </w:rPr>
        <w:t xml:space="preserve">, </w:t>
      </w:r>
      <w:r>
        <w:rPr>
          <w:rFonts w:ascii="Arial" w:hAnsi="Arial" w:cs="Arial"/>
        </w:rPr>
        <w:t>potentially weakening AMO's “Motivation” element</w:t>
      </w:r>
      <w:r w:rsidR="004D66FC">
        <w:rPr>
          <w:rFonts w:ascii="Arial" w:hAnsi="Arial" w:cs="Arial"/>
        </w:rPr>
        <w:t>, even as the HCM system enhanced</w:t>
      </w:r>
      <w:r>
        <w:rPr>
          <w:rFonts w:ascii="Arial" w:hAnsi="Arial" w:cs="Arial"/>
        </w:rPr>
        <w:t xml:space="preserve"> “Opportunity.” These cost estimates are preliminary: they were published within a year of the incident, before assessing long-term impacts on turnover or recruitment appeal, so actual HR costs might be higher or lower than reported. A recent review warns that AI can reinforce bias in HR decisions when governance is weak (Naoum, Szakadáti and Balogh, 2026), a real risk given M&amp;S's 2025-26 gender pay gap data, showing women's median hourly pay is 5.5% lower than men's, or 94p for every £1 earned by men (GOV.UK Gender Pay Gap Service, 2026). Sector-wide, ONS (2026) data indicate that UK retail remains relatively slow in adopting AI, suggesting M&amp;S may </w:t>
      </w:r>
      <w:r w:rsidR="004D66FC">
        <w:rPr>
          <w:rFonts w:ascii="Arial" w:hAnsi="Arial" w:cs="Arial"/>
        </w:rPr>
        <w:t>lag</w:t>
      </w:r>
      <w:r>
        <w:rPr>
          <w:rFonts w:ascii="Arial" w:hAnsi="Arial" w:cs="Arial"/>
        </w:rPr>
        <w:t xml:space="preserve"> more digitally advanced sectors in applying AI to HR decisions.</w:t>
      </w:r>
    </w:p>
    <w:p w14:paraId="7648BB34" w14:textId="240E70C5" w:rsidR="00F13459" w:rsidRPr="00CC52EF" w:rsidRDefault="00133393" w:rsidP="00CC52EF">
      <w:pPr>
        <w:spacing w:before="120" w:after="120" w:line="360" w:lineRule="auto"/>
        <w:rPr>
          <w:rFonts w:ascii="Arial" w:hAnsi="Arial" w:cs="Arial"/>
        </w:rPr>
      </w:pPr>
      <w:r>
        <w:rPr>
          <w:rFonts w:ascii="Arial" w:hAnsi="Arial" w:cs="Arial"/>
        </w:rPr>
        <w:t>Socially, EDI has shifted from a mere compliance requirement to a key HR strategy, reflecting a broader change in diversity management that emphasises individual contributions over a narrow business rationale (Syed and Özbilgin, 2016). M&amp;S's gender pay gap data exemplifies this dual aspect</w:t>
      </w:r>
      <w:r w:rsidR="00EB2BEF">
        <w:rPr>
          <w:rFonts w:ascii="Arial" w:hAnsi="Arial" w:cs="Arial"/>
        </w:rPr>
        <w:t>. While</w:t>
      </w:r>
      <w:r>
        <w:rPr>
          <w:rFonts w:ascii="Arial" w:hAnsi="Arial" w:cs="Arial"/>
        </w:rPr>
        <w:t xml:space="preserve"> transparent reporting fosters accountability, the persistent 5.5% gap highlights ongoing structural challenges, especially if AI tools are integrated into processes that already have historical biases.</w:t>
      </w:r>
    </w:p>
    <w:p w14:paraId="5F42BB71" w14:textId="5152C0D1" w:rsidR="00F13459" w:rsidRPr="00CC52EF" w:rsidRDefault="004628CF" w:rsidP="00CC52EF">
      <w:pPr>
        <w:spacing w:before="120" w:after="120" w:line="360" w:lineRule="auto"/>
        <w:rPr>
          <w:rFonts w:ascii="Arial" w:hAnsi="Arial" w:cs="Arial"/>
        </w:rPr>
      </w:pPr>
      <w:r>
        <w:rPr>
          <w:rFonts w:ascii="Arial" w:hAnsi="Arial" w:cs="Arial"/>
        </w:rPr>
        <w:t xml:space="preserve">This environmental shift aligns with M&amp;S's Plan A, </w:t>
      </w:r>
      <w:r w:rsidR="00EB2BEF">
        <w:rPr>
          <w:rFonts w:ascii="Arial" w:hAnsi="Arial" w:cs="Arial"/>
        </w:rPr>
        <w:t>which aims to achieve</w:t>
      </w:r>
      <w:r>
        <w:rPr>
          <w:rFonts w:ascii="Arial" w:hAnsi="Arial" w:cs="Arial"/>
        </w:rPr>
        <w:t xml:space="preserve"> net-zero emissions across its value chain by 2040. HR is increasingly supporting this goal </w:t>
      </w:r>
      <w:r w:rsidR="00EB2BEF">
        <w:rPr>
          <w:rFonts w:ascii="Arial" w:hAnsi="Arial" w:cs="Arial"/>
        </w:rPr>
        <w:t>by providing specialised</w:t>
      </w:r>
      <w:r>
        <w:rPr>
          <w:rFonts w:ascii="Arial" w:hAnsi="Arial" w:cs="Arial"/>
        </w:rPr>
        <w:t xml:space="preserve"> sustainability training for product and sourcing teams (Marks &amp; Spencer Group plc, 2025a). This 'green skills' initiative is competing for the same limited L&amp;D budget as AI literacy.</w:t>
      </w:r>
    </w:p>
    <w:p w14:paraId="1E1DC5AE" w14:textId="77777777" w:rsidR="00F13459" w:rsidRPr="00CC52EF" w:rsidRDefault="00812214" w:rsidP="00CC52EF">
      <w:pPr>
        <w:pStyle w:val="Style4"/>
      </w:pPr>
      <w:bookmarkStart w:id="5" w:name="_Toc237347430"/>
      <w:r w:rsidRPr="00CC52EF">
        <w:t>Country Differences</w:t>
      </w:r>
      <w:bookmarkEnd w:id="5"/>
    </w:p>
    <w:p w14:paraId="77355FB3" w14:textId="3B71CFFA" w:rsidR="00F13459" w:rsidRPr="00CC52EF" w:rsidRDefault="002005B2" w:rsidP="00CC52EF">
      <w:pPr>
        <w:spacing w:before="120" w:after="120" w:line="360" w:lineRule="auto"/>
        <w:rPr>
          <w:rFonts w:ascii="Arial" w:hAnsi="Arial" w:cs="Arial"/>
        </w:rPr>
      </w:pPr>
      <w:r>
        <w:rPr>
          <w:rFonts w:ascii="Arial" w:hAnsi="Arial" w:cs="Arial"/>
        </w:rPr>
        <w:t xml:space="preserve">Country-specific differences further complicate HR effectiveness. In the UK, M&amp;S directly employs its staff, enabling a unified policy, grievance process, and reward system. In the UAE, stores run by Al-Futtaim under franchise arrangements mean M&amp;S is not the direct employer. Additionally, UAE employers with 50+ staff must </w:t>
      </w:r>
      <w:r>
        <w:rPr>
          <w:rFonts w:ascii="Arial" w:hAnsi="Arial" w:cs="Arial"/>
        </w:rPr>
        <w:lastRenderedPageBreak/>
        <w:t xml:space="preserve">meet Emiratisation targets </w:t>
      </w:r>
      <w:r w:rsidR="00EB2BEF">
        <w:rPr>
          <w:rFonts w:ascii="Arial" w:hAnsi="Arial" w:cs="Arial"/>
        </w:rPr>
        <w:t xml:space="preserve">through MOHRE's Nafis program, aiming to raise Emirati participation in skilled roles to 10% by the end of 2026, with penalties of AED 9,000 per unfilled position per month </w:t>
      </w:r>
      <w:r>
        <w:rPr>
          <w:rFonts w:ascii="Arial" w:hAnsi="Arial" w:cs="Arial"/>
        </w:rPr>
        <w:t xml:space="preserve">(UAE Government, 2026). Hofstede's (1991) “onion model,” which shows surface symbols and rituals around core values, suggests </w:t>
      </w:r>
      <w:r w:rsidR="00EB2BEF">
        <w:rPr>
          <w:rFonts w:ascii="Arial" w:hAnsi="Arial" w:cs="Arial"/>
        </w:rPr>
        <w:t xml:space="preserve">that UAE workplaces have a higher power distance than those in </w:t>
      </w:r>
      <w:r>
        <w:rPr>
          <w:rFonts w:ascii="Arial" w:hAnsi="Arial" w:cs="Arial"/>
        </w:rPr>
        <w:t>the UK. This indicates that a flatter, UK-style management approach cannot be directly applied (Tarique, Briscoe, and Schuler, 2016). However, caution is advised: McSweeney (2002) notes that treating national culture as a single, stable variable overstates its consistency</w:t>
      </w:r>
      <w:r w:rsidR="00EB2BEF">
        <w:rPr>
          <w:rFonts w:ascii="Arial" w:hAnsi="Arial" w:cs="Arial"/>
        </w:rPr>
        <w:t xml:space="preserve"> while overlooking subnational</w:t>
      </w:r>
      <w:r>
        <w:rPr>
          <w:rFonts w:ascii="Arial" w:hAnsi="Arial" w:cs="Arial"/>
        </w:rPr>
        <w:t xml:space="preserve"> diversity and change over time. HR managers should thus view Hofstede's dimensions as a heuristic rather than a precise predictor of behaviour. For a franchise-heavy retailer, the key HR consideration is</w:t>
      </w:r>
      <w:r w:rsidR="00A10870">
        <w:rPr>
          <w:rFonts w:ascii="Arial" w:hAnsi="Arial" w:cs="Arial"/>
        </w:rPr>
        <w:t xml:space="preserve"> </w:t>
      </w:r>
      <w:r>
        <w:rPr>
          <w:rFonts w:ascii="Arial" w:hAnsi="Arial" w:cs="Arial"/>
        </w:rPr>
        <w:t>n</w:t>
      </w:r>
      <w:r w:rsidR="00A10870">
        <w:rPr>
          <w:rFonts w:ascii="Arial" w:hAnsi="Arial" w:cs="Arial"/>
        </w:rPr>
        <w:t>o</w:t>
      </w:r>
      <w:r>
        <w:rPr>
          <w:rFonts w:ascii="Arial" w:hAnsi="Arial" w:cs="Arial"/>
        </w:rPr>
        <w:t>t simply adapting policies country-by-country</w:t>
      </w:r>
      <w:r w:rsidR="00EB2BEF">
        <w:rPr>
          <w:rFonts w:ascii="Arial" w:hAnsi="Arial" w:cs="Arial"/>
        </w:rPr>
        <w:t>, but rather adopting</w:t>
      </w:r>
      <w:r>
        <w:rPr>
          <w:rFonts w:ascii="Arial" w:hAnsi="Arial" w:cs="Arial"/>
        </w:rPr>
        <w:t xml:space="preserve"> a Resource-Based View (Barney, 1991): choosing reliable partners capable of implementing compliant, culturally appropriate HR locally. This limits M&amp;S's direct control abroad and aligns with international HRM scholarship on AI-supported coordination across dispersed operations (Budhwar et al., 2022), a pattern </w:t>
      </w:r>
      <w:r w:rsidR="00EB2BEF">
        <w:rPr>
          <w:rFonts w:ascii="Arial" w:hAnsi="Arial" w:cs="Arial"/>
        </w:rPr>
        <w:t>summarised</w:t>
      </w:r>
      <w:r>
        <w:rPr>
          <w:rFonts w:ascii="Arial" w:hAnsi="Arial" w:cs="Arial"/>
        </w:rPr>
        <w:t xml:space="preserve"> by the five factors this conclusion addresses.</w:t>
      </w:r>
    </w:p>
    <w:p w14:paraId="55A55EC5" w14:textId="77777777" w:rsidR="00F13459" w:rsidRPr="00CC52EF" w:rsidRDefault="00812214" w:rsidP="00CC52EF">
      <w:pPr>
        <w:pStyle w:val="Style2"/>
      </w:pPr>
      <w:bookmarkStart w:id="6" w:name="_Toc237347431"/>
      <w:r w:rsidRPr="00CC52EF">
        <w:t>5. Conclusion</w:t>
      </w:r>
      <w:bookmarkEnd w:id="6"/>
    </w:p>
    <w:p w14:paraId="44319870" w14:textId="08C26C11" w:rsidR="00F13459" w:rsidRPr="00CC52EF" w:rsidRDefault="00B007A8" w:rsidP="00CC52EF">
      <w:pPr>
        <w:spacing w:before="120" w:after="120" w:line="360" w:lineRule="auto"/>
        <w:rPr>
          <w:rFonts w:ascii="Arial" w:hAnsi="Arial" w:cs="Arial"/>
        </w:rPr>
      </w:pPr>
      <w:r>
        <w:rPr>
          <w:rFonts w:ascii="Arial" w:hAnsi="Arial" w:cs="Arial"/>
        </w:rPr>
        <w:t xml:space="preserve">This report examines how internal and external environmental factors </w:t>
      </w:r>
      <w:r w:rsidR="00EB2BEF">
        <w:rPr>
          <w:rFonts w:ascii="Arial" w:hAnsi="Arial" w:cs="Arial"/>
        </w:rPr>
        <w:t xml:space="preserve">affect HR managers' effectiveness, using PESTEL analysis of Marks &amp; Spencer as a case study </w:t>
      </w:r>
      <w:r>
        <w:rPr>
          <w:rFonts w:ascii="Arial" w:hAnsi="Arial" w:cs="Arial"/>
        </w:rPr>
        <w:t xml:space="preserve">of a global retailer. Environmental influences affect HR in </w:t>
      </w:r>
      <w:r w:rsidR="00EB2BEF">
        <w:rPr>
          <w:rFonts w:ascii="Arial" w:hAnsi="Arial" w:cs="Arial"/>
        </w:rPr>
        <w:t>various ways: political shifts alter recruitment compliance, economic pressures constrain rewards, and social changes prioritise</w:t>
      </w:r>
      <w:r>
        <w:rPr>
          <w:rFonts w:ascii="Arial" w:hAnsi="Arial" w:cs="Arial"/>
        </w:rPr>
        <w:t xml:space="preserve"> EDI initiatives. Currently, technological and AI factors have the most significant influence, transforming HR at M&amp;S in two ways: enhancing administration and workforce data via the HCM platform, aligned with Human Capital Theory's view of employees as strategic assets, while also introducing substantial operational and reputational risks, exemplified by the potential 2025 cyber-attack. The UK-UAE comparison highlights that the same global company can face identical PESTEL factors </w:t>
      </w:r>
      <w:r w:rsidR="00EB2BEF">
        <w:rPr>
          <w:rFonts w:ascii="Arial" w:hAnsi="Arial" w:cs="Arial"/>
        </w:rPr>
        <w:t xml:space="preserve">in </w:t>
      </w:r>
      <w:r w:rsidR="00184BB3">
        <w:rPr>
          <w:rFonts w:ascii="Arial" w:hAnsi="Arial" w:cs="Arial"/>
        </w:rPr>
        <w:t>quite different</w:t>
      </w:r>
      <w:r w:rsidR="00EB2BEF">
        <w:rPr>
          <w:rFonts w:ascii="Arial" w:hAnsi="Arial" w:cs="Arial"/>
        </w:rPr>
        <w:t xml:space="preserve"> ways depending on its</w:t>
      </w:r>
      <w:r>
        <w:rPr>
          <w:rFonts w:ascii="Arial" w:hAnsi="Arial" w:cs="Arial"/>
        </w:rPr>
        <w:t xml:space="preserve"> ownership structure, indicating that a single strategy is rarely effective across all markets of a multinational retailer.</w:t>
      </w:r>
    </w:p>
    <w:p w14:paraId="3DB1D79B" w14:textId="7C72FCB9" w:rsidR="00F13459" w:rsidRPr="00CC52EF" w:rsidRDefault="00E74593" w:rsidP="00CC52EF">
      <w:pPr>
        <w:spacing w:before="120" w:after="120" w:line="360" w:lineRule="auto"/>
        <w:rPr>
          <w:rFonts w:ascii="Arial" w:hAnsi="Arial" w:cs="Arial"/>
        </w:rPr>
      </w:pPr>
      <w:r>
        <w:rPr>
          <w:rFonts w:ascii="Arial" w:hAnsi="Arial" w:cs="Arial"/>
        </w:rPr>
        <w:t xml:space="preserve">Looking ahead, the technological aspect will likely be the most significant for M&amp;S HR over the next two to three years, as it increasingly overlaps with other PESTEL </w:t>
      </w:r>
      <w:r>
        <w:rPr>
          <w:rFonts w:ascii="Arial" w:hAnsi="Arial" w:cs="Arial"/>
        </w:rPr>
        <w:lastRenderedPageBreak/>
        <w:t xml:space="preserve">factors. AI-driven HR systems </w:t>
      </w:r>
      <w:r w:rsidR="00EB2BEF">
        <w:rPr>
          <w:rFonts w:ascii="Arial" w:hAnsi="Arial" w:cs="Arial"/>
        </w:rPr>
        <w:t>raise legal issues around data privacy, social concerns about fairness in hiring, and economic questions about</w:t>
      </w:r>
      <w:r>
        <w:rPr>
          <w:rFonts w:ascii="Arial" w:hAnsi="Arial" w:cs="Arial"/>
        </w:rPr>
        <w:t xml:space="preserve"> the return on investment in HCM. Since AI adoption in UK retail remains relatively limited (ONS, 2026), M&amp;S has real opportunities to enhance HR analytics, provided it adopts stronger third-party governance than what was evident after the 2025 cyber-attack. HR managers working internationally need to view environmental scanning as a continuous process, developing the flexibility to adapt to technological, legal, and cultural shifts simultaneously.</w:t>
      </w:r>
    </w:p>
    <w:p w14:paraId="6AA923C2" w14:textId="77777777" w:rsidR="00F13459" w:rsidRPr="00CC52EF" w:rsidRDefault="00812214" w:rsidP="00CC52EF">
      <w:pPr>
        <w:spacing w:before="120" w:after="120" w:line="360" w:lineRule="auto"/>
        <w:rPr>
          <w:rFonts w:ascii="Arial" w:hAnsi="Arial" w:cs="Arial"/>
        </w:rPr>
      </w:pPr>
      <w:r w:rsidRPr="00CC52EF">
        <w:rPr>
          <w:rFonts w:ascii="Arial" w:hAnsi="Arial" w:cs="Arial"/>
        </w:rPr>
        <w:br w:type="page"/>
      </w:r>
    </w:p>
    <w:p w14:paraId="681D43D8" w14:textId="04143688" w:rsidR="00C841DD" w:rsidRDefault="004357F9" w:rsidP="00CC52EF">
      <w:pPr>
        <w:pStyle w:val="Style2"/>
      </w:pPr>
      <w:bookmarkStart w:id="7" w:name="_Toc237347432"/>
      <w:r>
        <w:lastRenderedPageBreak/>
        <w:t xml:space="preserve">6. </w:t>
      </w:r>
      <w:r w:rsidR="00812214" w:rsidRPr="00CC52EF">
        <w:t>Reference List</w:t>
      </w:r>
      <w:r w:rsidR="00C841DD">
        <w:t>:</w:t>
      </w:r>
      <w:bookmarkEnd w:id="7"/>
      <w:r w:rsidR="00C841DD">
        <w:t xml:space="preserve"> </w:t>
      </w:r>
    </w:p>
    <w:p w14:paraId="66B2098C" w14:textId="77777777" w:rsidR="009355A3" w:rsidRPr="00CC52EF" w:rsidRDefault="009355A3" w:rsidP="00CC52EF">
      <w:pPr>
        <w:pStyle w:val="Style2"/>
      </w:pPr>
    </w:p>
    <w:p w14:paraId="3BC46D76" w14:textId="77777777" w:rsidR="00C841DD" w:rsidRDefault="00C841DD" w:rsidP="009355A3">
      <w:pPr>
        <w:spacing w:before="120" w:after="120" w:line="360" w:lineRule="auto"/>
        <w:ind w:left="720" w:hanging="720"/>
        <w:rPr>
          <w:rFonts w:ascii="Arial" w:hAnsi="Arial" w:cs="Arial"/>
        </w:rPr>
      </w:pPr>
      <w:r w:rsidRPr="0050530C">
        <w:rPr>
          <w:rFonts w:ascii="Arial" w:hAnsi="Arial" w:cs="Arial"/>
        </w:rPr>
        <w:t xml:space="preserve">Aguilar, F.J. (1967) </w:t>
      </w:r>
      <w:r w:rsidRPr="0050530C">
        <w:rPr>
          <w:rFonts w:ascii="Arial" w:hAnsi="Arial" w:cs="Arial"/>
          <w:i/>
          <w:iCs/>
        </w:rPr>
        <w:t>Scanning the business environment</w:t>
      </w:r>
      <w:r w:rsidRPr="0050530C">
        <w:rPr>
          <w:rFonts w:ascii="Arial" w:hAnsi="Arial" w:cs="Arial"/>
        </w:rPr>
        <w:t>. New York: Macmillan.</w:t>
      </w:r>
    </w:p>
    <w:p w14:paraId="6F577C73" w14:textId="16E9C923" w:rsidR="008576B2" w:rsidRPr="008576B2" w:rsidRDefault="008576B2" w:rsidP="008576B2">
      <w:pPr>
        <w:spacing w:before="120" w:after="120" w:line="360" w:lineRule="auto"/>
        <w:ind w:left="720" w:hanging="720"/>
        <w:rPr>
          <w:rFonts w:ascii="Arial" w:hAnsi="Arial" w:cs="Arial"/>
        </w:rPr>
      </w:pPr>
      <w:r w:rsidRPr="008576B2">
        <w:rPr>
          <w:rFonts w:ascii="Arial" w:hAnsi="Arial" w:cs="Arial"/>
        </w:rPr>
        <w:t>Al-Futtaim</w:t>
      </w:r>
      <w:r w:rsidR="000868DF">
        <w:rPr>
          <w:rFonts w:ascii="Arial" w:hAnsi="Arial" w:cs="Arial"/>
        </w:rPr>
        <w:t xml:space="preserve"> </w:t>
      </w:r>
      <w:r w:rsidRPr="008576B2">
        <w:rPr>
          <w:rFonts w:ascii="Arial" w:hAnsi="Arial" w:cs="Arial"/>
        </w:rPr>
        <w:t xml:space="preserve">(2026) </w:t>
      </w:r>
      <w:r w:rsidRPr="008576B2">
        <w:rPr>
          <w:rFonts w:ascii="Arial" w:hAnsi="Arial" w:cs="Arial"/>
          <w:i/>
          <w:iCs/>
        </w:rPr>
        <w:t>Marks &amp; Spencer British Fashion, Food &amp; Home</w:t>
      </w:r>
      <w:r w:rsidR="00E46746">
        <w:rPr>
          <w:rFonts w:ascii="Arial" w:hAnsi="Arial" w:cs="Arial"/>
          <w:i/>
          <w:iCs/>
        </w:rPr>
        <w:t xml:space="preserve">. </w:t>
      </w:r>
      <w:r w:rsidRPr="008576B2">
        <w:rPr>
          <w:rFonts w:ascii="Arial" w:hAnsi="Arial" w:cs="Arial"/>
        </w:rPr>
        <w:t xml:space="preserve">Available at: </w:t>
      </w:r>
      <w:hyperlink r:id="rId9" w:history="1">
        <w:r w:rsidR="00FF19A6" w:rsidRPr="00A54DF7">
          <w:rPr>
            <w:rStyle w:val="Hyperlink"/>
            <w:rFonts w:ascii="Arial" w:hAnsi="Arial" w:cs="Arial"/>
          </w:rPr>
          <w:t>https://www.alfuttaim.com/en/our-brands/marks-spencer/</w:t>
        </w:r>
      </w:hyperlink>
      <w:r w:rsidR="00FF19A6" w:rsidRPr="00FF19A6">
        <w:rPr>
          <w:rFonts w:ascii="Arial" w:hAnsi="Arial" w:cs="Arial"/>
        </w:rPr>
        <w:t>(Accessed: 2 August 2026).</w:t>
      </w:r>
      <w:r w:rsidR="00FF19A6">
        <w:rPr>
          <w:rFonts w:ascii="Arial" w:hAnsi="Arial" w:cs="Arial"/>
        </w:rPr>
        <w:t xml:space="preserve"> </w:t>
      </w:r>
    </w:p>
    <w:p w14:paraId="41197A53"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Appelbaum, E., Bailey, T., Berg, P. and Kalleberg, A. (2000) </w:t>
      </w:r>
      <w:r w:rsidRPr="0050530C">
        <w:rPr>
          <w:rFonts w:ascii="Arial" w:hAnsi="Arial" w:cs="Arial"/>
          <w:i/>
          <w:iCs/>
        </w:rPr>
        <w:t>Manufacturing advantage: why high-performance work systems pay off</w:t>
      </w:r>
      <w:r w:rsidRPr="0050530C">
        <w:rPr>
          <w:rFonts w:ascii="Arial" w:hAnsi="Arial" w:cs="Arial"/>
        </w:rPr>
        <w:t>. Ithaca, NY: Cornell University Press.</w:t>
      </w:r>
    </w:p>
    <w:p w14:paraId="09769733"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Armstrong, M. (2020) </w:t>
      </w:r>
      <w:r w:rsidRPr="0050530C">
        <w:rPr>
          <w:rFonts w:ascii="Arial" w:hAnsi="Arial" w:cs="Arial"/>
          <w:i/>
          <w:iCs/>
        </w:rPr>
        <w:t>Armstrong's handbook of human resource management practice</w:t>
      </w:r>
      <w:r w:rsidRPr="0050530C">
        <w:rPr>
          <w:rFonts w:ascii="Arial" w:hAnsi="Arial" w:cs="Arial"/>
        </w:rPr>
        <w:t>. 15th edn. London: Kogan Page.</w:t>
      </w:r>
    </w:p>
    <w:p w14:paraId="25933939"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Barney, J. (1991) 'Firm resources and sustained competitive advantage', </w:t>
      </w:r>
      <w:r w:rsidRPr="0050530C">
        <w:rPr>
          <w:rFonts w:ascii="Arial" w:hAnsi="Arial" w:cs="Arial"/>
          <w:i/>
          <w:iCs/>
        </w:rPr>
        <w:t>Journal of Management</w:t>
      </w:r>
      <w:r w:rsidRPr="0050530C">
        <w:rPr>
          <w:rFonts w:ascii="Arial" w:hAnsi="Arial" w:cs="Arial"/>
        </w:rPr>
        <w:t>, 17(1), pp. 99–120.</w:t>
      </w:r>
    </w:p>
    <w:p w14:paraId="1C07144E"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Becker, G.S. (1964) </w:t>
      </w:r>
      <w:r w:rsidRPr="0050530C">
        <w:rPr>
          <w:rFonts w:ascii="Arial" w:hAnsi="Arial" w:cs="Arial"/>
          <w:i/>
          <w:iCs/>
        </w:rPr>
        <w:t>Human capital: a theoretical and empirical analysis, with special reference to education</w:t>
      </w:r>
      <w:r w:rsidRPr="0050530C">
        <w:rPr>
          <w:rFonts w:ascii="Arial" w:hAnsi="Arial" w:cs="Arial"/>
        </w:rPr>
        <w:t>. New York: National Bureau of Economic Research.</w:t>
      </w:r>
    </w:p>
    <w:p w14:paraId="56A2AA95" w14:textId="27025978"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Bishop Fleming (2025) </w:t>
      </w:r>
      <w:r w:rsidRPr="0050530C">
        <w:rPr>
          <w:rFonts w:ascii="Arial" w:hAnsi="Arial" w:cs="Arial"/>
          <w:i/>
          <w:iCs/>
        </w:rPr>
        <w:t>National Minimum Wage to rise in April 2025: what employers need to know</w:t>
      </w:r>
      <w:r w:rsidRPr="0050530C">
        <w:rPr>
          <w:rFonts w:ascii="Arial" w:hAnsi="Arial" w:cs="Arial"/>
        </w:rPr>
        <w:t xml:space="preserve">. Available at: </w:t>
      </w:r>
      <w:hyperlink r:id="rId10" w:history="1">
        <w:r w:rsidR="00545002" w:rsidRPr="00A54DF7">
          <w:rPr>
            <w:rStyle w:val="Hyperlink"/>
            <w:rFonts w:ascii="Arial" w:hAnsi="Arial" w:cs="Arial"/>
          </w:rPr>
          <w:t>https://www.bishopfleming.co.uk/insights/national-minimum-wage-rise-april-2025-what-employers-need-know</w:t>
        </w:r>
      </w:hyperlink>
      <w:r w:rsidR="00545002">
        <w:rPr>
          <w:rFonts w:ascii="Arial" w:hAnsi="Arial" w:cs="Arial"/>
        </w:rPr>
        <w:t xml:space="preserve"> </w:t>
      </w:r>
      <w:r w:rsidRPr="0050530C">
        <w:rPr>
          <w:rFonts w:ascii="Arial" w:hAnsi="Arial" w:cs="Arial"/>
        </w:rPr>
        <w:t>(Accessed: 6 August 2026).</w:t>
      </w:r>
    </w:p>
    <w:p w14:paraId="39770373" w14:textId="186172C2"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Bloomberg (2025) 'Marks &amp; Spencer says </w:t>
      </w:r>
      <w:proofErr w:type="spellStart"/>
      <w:r w:rsidRPr="0050530C">
        <w:rPr>
          <w:rFonts w:ascii="Arial" w:hAnsi="Arial" w:cs="Arial"/>
        </w:rPr>
        <w:t>cyber attack</w:t>
      </w:r>
      <w:proofErr w:type="spellEnd"/>
      <w:r w:rsidRPr="0050530C">
        <w:rPr>
          <w:rFonts w:ascii="Arial" w:hAnsi="Arial" w:cs="Arial"/>
        </w:rPr>
        <w:t xml:space="preserve"> to cost business £300 million', </w:t>
      </w:r>
      <w:r w:rsidRPr="0050530C">
        <w:rPr>
          <w:rFonts w:ascii="Arial" w:hAnsi="Arial" w:cs="Arial"/>
          <w:i/>
          <w:iCs/>
        </w:rPr>
        <w:t>Bloomberg</w:t>
      </w:r>
      <w:r w:rsidRPr="0050530C">
        <w:rPr>
          <w:rFonts w:ascii="Arial" w:hAnsi="Arial" w:cs="Arial"/>
        </w:rPr>
        <w:t>, 21 May. Available at:</w:t>
      </w:r>
      <w:r w:rsidR="00D1239A" w:rsidRPr="00D1239A">
        <w:t xml:space="preserve"> </w:t>
      </w:r>
      <w:hyperlink r:id="rId11" w:history="1">
        <w:r w:rsidR="00D1239A" w:rsidRPr="00A54DF7">
          <w:rPr>
            <w:rStyle w:val="Hyperlink"/>
            <w:rFonts w:ascii="Arial" w:hAnsi="Arial" w:cs="Arial"/>
          </w:rPr>
          <w:t>https://www.bloomberg.com/search?query=%27Marks%20%26%20Spencer%20says%20cyber%20attack%20to%20cost%20business%20%C2%A3300%20million%27%20</w:t>
        </w:r>
      </w:hyperlink>
      <w:r w:rsidR="00D1239A">
        <w:rPr>
          <w:rFonts w:ascii="Arial" w:hAnsi="Arial" w:cs="Arial"/>
        </w:rPr>
        <w:t xml:space="preserve"> </w:t>
      </w:r>
      <w:r w:rsidRPr="0050530C">
        <w:rPr>
          <w:rFonts w:ascii="Arial" w:hAnsi="Arial" w:cs="Arial"/>
        </w:rPr>
        <w:t>(Accessed: 6 August 2026).</w:t>
      </w:r>
    </w:p>
    <w:p w14:paraId="25CC2D25"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Boxall, P. and Purcell, J. (2022) </w:t>
      </w:r>
      <w:r w:rsidRPr="0050530C">
        <w:rPr>
          <w:rFonts w:ascii="Arial" w:hAnsi="Arial" w:cs="Arial"/>
          <w:i/>
          <w:iCs/>
        </w:rPr>
        <w:t>Strategy and human resource management</w:t>
      </w:r>
      <w:r w:rsidRPr="0050530C">
        <w:rPr>
          <w:rFonts w:ascii="Arial" w:hAnsi="Arial" w:cs="Arial"/>
        </w:rPr>
        <w:t>. 5th edn. London: Bloomsbury Academic.</w:t>
      </w:r>
    </w:p>
    <w:p w14:paraId="24EC9A2B"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Budhwar, P., Malik, A., De Silva, M.T.T. and Thevisuthan, P. (2022) 'Artificial intelligence – challenges and opportunities for international HRM: a review and research agenda', </w:t>
      </w:r>
      <w:r w:rsidRPr="0050530C">
        <w:rPr>
          <w:rFonts w:ascii="Arial" w:hAnsi="Arial" w:cs="Arial"/>
          <w:i/>
          <w:iCs/>
        </w:rPr>
        <w:t>The International Journal of Human Resource Management</w:t>
      </w:r>
      <w:r w:rsidRPr="0050530C">
        <w:rPr>
          <w:rFonts w:ascii="Arial" w:hAnsi="Arial" w:cs="Arial"/>
        </w:rPr>
        <w:t>, 33(6), pp. 1065–1097.</w:t>
      </w:r>
    </w:p>
    <w:p w14:paraId="23E3202A"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lastRenderedPageBreak/>
        <w:t xml:space="preserve">Chowdhury, S., Dey, P., Joel-Edgar, S., Bhattacharya, S., Rodriguez-Espindola, O., Abadie, A. and Truong, L. (2023) 'Unlocking the value of artificial intelligence in human resource management through AI capability framework', </w:t>
      </w:r>
      <w:r w:rsidRPr="0050530C">
        <w:rPr>
          <w:rFonts w:ascii="Arial" w:hAnsi="Arial" w:cs="Arial"/>
          <w:i/>
          <w:iCs/>
        </w:rPr>
        <w:t>Human Resource Management Review</w:t>
      </w:r>
      <w:r w:rsidRPr="0050530C">
        <w:rPr>
          <w:rFonts w:ascii="Arial" w:hAnsi="Arial" w:cs="Arial"/>
        </w:rPr>
        <w:t>, 33(1), 100899.</w:t>
      </w:r>
    </w:p>
    <w:p w14:paraId="5B55BC1B" w14:textId="33B30272"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CIPD (2021) </w:t>
      </w:r>
      <w:r w:rsidRPr="0050530C">
        <w:rPr>
          <w:rFonts w:ascii="Arial" w:hAnsi="Arial" w:cs="Arial"/>
          <w:i/>
          <w:iCs/>
        </w:rPr>
        <w:t>Performance management: an introduction</w:t>
      </w:r>
      <w:r w:rsidRPr="0050530C">
        <w:rPr>
          <w:rFonts w:ascii="Arial" w:hAnsi="Arial" w:cs="Arial"/>
        </w:rPr>
        <w:t xml:space="preserve">. Factsheet. Available at: </w:t>
      </w:r>
      <w:hyperlink r:id="rId12" w:history="1">
        <w:r w:rsidR="00A802FB" w:rsidRPr="00A54DF7">
          <w:rPr>
            <w:rStyle w:val="Hyperlink"/>
            <w:rFonts w:ascii="Arial" w:hAnsi="Arial" w:cs="Arial"/>
          </w:rPr>
          <w:t>https://www.cipd.org/en/knowledge/factsheets/performance-factsheet/</w:t>
        </w:r>
      </w:hyperlink>
      <w:r w:rsidR="00A802FB">
        <w:rPr>
          <w:rFonts w:ascii="Arial" w:hAnsi="Arial" w:cs="Arial"/>
        </w:rPr>
        <w:t xml:space="preserve"> </w:t>
      </w:r>
      <w:r w:rsidRPr="0050530C">
        <w:rPr>
          <w:rFonts w:ascii="Arial" w:hAnsi="Arial" w:cs="Arial"/>
        </w:rPr>
        <w:t xml:space="preserve">(Accessed: </w:t>
      </w:r>
      <w:r w:rsidR="00B742DB">
        <w:rPr>
          <w:rFonts w:ascii="Arial" w:hAnsi="Arial" w:cs="Arial"/>
        </w:rPr>
        <w:t>2</w:t>
      </w:r>
      <w:r w:rsidRPr="0050530C">
        <w:rPr>
          <w:rFonts w:ascii="Arial" w:hAnsi="Arial" w:cs="Arial"/>
        </w:rPr>
        <w:t xml:space="preserve"> August 2026).</w:t>
      </w:r>
    </w:p>
    <w:p w14:paraId="031E3147" w14:textId="1AF89B96"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Computer Weekly (2025) 'M&amp;S profits tumble after </w:t>
      </w:r>
      <w:proofErr w:type="spellStart"/>
      <w:r w:rsidRPr="0050530C">
        <w:rPr>
          <w:rFonts w:ascii="Arial" w:hAnsi="Arial" w:cs="Arial"/>
        </w:rPr>
        <w:t>cyber attack</w:t>
      </w:r>
      <w:proofErr w:type="spellEnd"/>
      <w:r w:rsidRPr="0050530C">
        <w:rPr>
          <w:rFonts w:ascii="Arial" w:hAnsi="Arial" w:cs="Arial"/>
        </w:rPr>
        <w:t xml:space="preserve">', </w:t>
      </w:r>
      <w:r w:rsidRPr="0050530C">
        <w:rPr>
          <w:rFonts w:ascii="Arial" w:hAnsi="Arial" w:cs="Arial"/>
          <w:i/>
          <w:iCs/>
        </w:rPr>
        <w:t>Computer Weekly</w:t>
      </w:r>
      <w:r w:rsidRPr="0050530C">
        <w:rPr>
          <w:rFonts w:ascii="Arial" w:hAnsi="Arial" w:cs="Arial"/>
        </w:rPr>
        <w:t xml:space="preserve">, 6 November. Available at: </w:t>
      </w:r>
      <w:hyperlink r:id="rId13" w:history="1">
        <w:r w:rsidR="00992109" w:rsidRPr="00A54DF7">
          <w:rPr>
            <w:rStyle w:val="Hyperlink"/>
            <w:rFonts w:ascii="Arial" w:hAnsi="Arial" w:cs="Arial"/>
          </w:rPr>
          <w:t>https://www.computerweekly.com/news/366634121/MS-profits-tumble-after-cyber-attack</w:t>
        </w:r>
      </w:hyperlink>
      <w:r w:rsidR="00992109">
        <w:rPr>
          <w:rFonts w:ascii="Arial" w:hAnsi="Arial" w:cs="Arial"/>
        </w:rPr>
        <w:t xml:space="preserve"> </w:t>
      </w:r>
      <w:r w:rsidRPr="0050530C">
        <w:rPr>
          <w:rFonts w:ascii="Arial" w:hAnsi="Arial" w:cs="Arial"/>
        </w:rPr>
        <w:t xml:space="preserve">(Accessed: </w:t>
      </w:r>
      <w:r w:rsidR="00A802FB">
        <w:rPr>
          <w:rFonts w:ascii="Arial" w:hAnsi="Arial" w:cs="Arial"/>
        </w:rPr>
        <w:t>2</w:t>
      </w:r>
      <w:r w:rsidRPr="0050530C">
        <w:rPr>
          <w:rFonts w:ascii="Arial" w:hAnsi="Arial" w:cs="Arial"/>
        </w:rPr>
        <w:t xml:space="preserve"> August 2026).</w:t>
      </w:r>
    </w:p>
    <w:p w14:paraId="38551FA0"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Dessler, G. (2017) </w:t>
      </w:r>
      <w:r w:rsidRPr="0050530C">
        <w:rPr>
          <w:rFonts w:ascii="Arial" w:hAnsi="Arial" w:cs="Arial"/>
          <w:i/>
          <w:iCs/>
        </w:rPr>
        <w:t>Human resource management</w:t>
      </w:r>
      <w:r w:rsidRPr="0050530C">
        <w:rPr>
          <w:rFonts w:ascii="Arial" w:hAnsi="Arial" w:cs="Arial"/>
        </w:rPr>
        <w:t>. 15th edn. Harlow: Pearson.</w:t>
      </w:r>
    </w:p>
    <w:p w14:paraId="34AB04C3" w14:textId="46F21C8E"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DSIT and Home Office (2026) </w:t>
      </w:r>
      <w:r w:rsidRPr="0050530C">
        <w:rPr>
          <w:rFonts w:ascii="Arial" w:hAnsi="Arial" w:cs="Arial"/>
          <w:i/>
          <w:iCs/>
        </w:rPr>
        <w:t>Cyber security breaches survey 2025/2026</w:t>
      </w:r>
      <w:r w:rsidRPr="0050530C">
        <w:rPr>
          <w:rFonts w:ascii="Arial" w:hAnsi="Arial" w:cs="Arial"/>
        </w:rPr>
        <w:t xml:space="preserve">. Available at: </w:t>
      </w:r>
      <w:hyperlink r:id="rId14" w:history="1">
        <w:r w:rsidR="00A802FB" w:rsidRPr="00A54DF7">
          <w:rPr>
            <w:rStyle w:val="Hyperlink"/>
            <w:rFonts w:ascii="Arial" w:hAnsi="Arial" w:cs="Arial"/>
          </w:rPr>
          <w:t>https://www.gov.uk/government/statistics/cyber-security-breaches-survey-20252026</w:t>
        </w:r>
      </w:hyperlink>
      <w:r w:rsidR="00A802FB">
        <w:rPr>
          <w:rFonts w:ascii="Arial" w:hAnsi="Arial" w:cs="Arial"/>
        </w:rPr>
        <w:t xml:space="preserve"> </w:t>
      </w:r>
      <w:r w:rsidRPr="0050530C">
        <w:rPr>
          <w:rFonts w:ascii="Arial" w:hAnsi="Arial" w:cs="Arial"/>
        </w:rPr>
        <w:t>(Accessed: 6 August 2026).</w:t>
      </w:r>
    </w:p>
    <w:p w14:paraId="1FE269D5" w14:textId="7E5AC1CE"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GOV.UK Gender Pay Gap Service (2026) </w:t>
      </w:r>
      <w:r w:rsidRPr="0050530C">
        <w:rPr>
          <w:rFonts w:ascii="Arial" w:hAnsi="Arial" w:cs="Arial"/>
          <w:i/>
          <w:iCs/>
        </w:rPr>
        <w:t>Marks and Spencer P.L.C. gender pay gap report for the 2025-26 reporting year</w:t>
      </w:r>
      <w:r w:rsidRPr="0050530C">
        <w:rPr>
          <w:rFonts w:ascii="Arial" w:hAnsi="Arial" w:cs="Arial"/>
        </w:rPr>
        <w:t xml:space="preserve">. Available at: </w:t>
      </w:r>
      <w:hyperlink r:id="rId15" w:history="1">
        <w:r w:rsidR="00A802FB" w:rsidRPr="00A54DF7">
          <w:rPr>
            <w:rStyle w:val="Hyperlink"/>
            <w:rFonts w:ascii="Arial" w:hAnsi="Arial" w:cs="Arial"/>
          </w:rPr>
          <w:t>https://gender-pay-gap.service.gov.uk/employers/8118</w:t>
        </w:r>
      </w:hyperlink>
      <w:r w:rsidR="00A802FB">
        <w:rPr>
          <w:rFonts w:ascii="Arial" w:hAnsi="Arial" w:cs="Arial"/>
        </w:rPr>
        <w:t xml:space="preserve"> </w:t>
      </w:r>
      <w:r w:rsidRPr="0050530C">
        <w:rPr>
          <w:rFonts w:ascii="Arial" w:hAnsi="Arial" w:cs="Arial"/>
        </w:rPr>
        <w:t xml:space="preserve">(Accessed: </w:t>
      </w:r>
      <w:r w:rsidR="00A802FB">
        <w:rPr>
          <w:rFonts w:ascii="Arial" w:hAnsi="Arial" w:cs="Arial"/>
        </w:rPr>
        <w:t>4</w:t>
      </w:r>
      <w:r w:rsidRPr="0050530C">
        <w:rPr>
          <w:rFonts w:ascii="Arial" w:hAnsi="Arial" w:cs="Arial"/>
        </w:rPr>
        <w:t xml:space="preserve"> August 2026).</w:t>
      </w:r>
    </w:p>
    <w:p w14:paraId="4C02E4AC"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Hofstede, G. (1991) </w:t>
      </w:r>
      <w:r w:rsidRPr="0050530C">
        <w:rPr>
          <w:rFonts w:ascii="Arial" w:hAnsi="Arial" w:cs="Arial"/>
          <w:i/>
          <w:iCs/>
        </w:rPr>
        <w:t>Cultures and organizations: software of the mind</w:t>
      </w:r>
      <w:r w:rsidRPr="0050530C">
        <w:rPr>
          <w:rFonts w:ascii="Arial" w:hAnsi="Arial" w:cs="Arial"/>
        </w:rPr>
        <w:t>. London: McGraw-Hill.</w:t>
      </w:r>
    </w:p>
    <w:p w14:paraId="260B8196"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Hunger, J.D. (2020) </w:t>
      </w:r>
      <w:r w:rsidRPr="0050530C">
        <w:rPr>
          <w:rFonts w:ascii="Arial" w:hAnsi="Arial" w:cs="Arial"/>
          <w:i/>
          <w:iCs/>
        </w:rPr>
        <w:t>Essentials of strategic management</w:t>
      </w:r>
      <w:r w:rsidRPr="0050530C">
        <w:rPr>
          <w:rFonts w:ascii="Arial" w:hAnsi="Arial" w:cs="Arial"/>
        </w:rPr>
        <w:t>. 7th edn. Harlow: Pearson.</w:t>
      </w:r>
    </w:p>
    <w:p w14:paraId="22772EF0"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Johnson, G., Scholes, K. and Whittington, R. (2007) </w:t>
      </w:r>
      <w:r w:rsidRPr="0050530C">
        <w:rPr>
          <w:rFonts w:ascii="Arial" w:hAnsi="Arial" w:cs="Arial"/>
          <w:i/>
          <w:iCs/>
        </w:rPr>
        <w:t>Exploring corporate strategy</w:t>
      </w:r>
      <w:r w:rsidRPr="0050530C">
        <w:rPr>
          <w:rFonts w:ascii="Arial" w:hAnsi="Arial" w:cs="Arial"/>
        </w:rPr>
        <w:t>. 8th edn. Harlow: Financial Times Prentice Hall.</w:t>
      </w:r>
    </w:p>
    <w:p w14:paraId="51505FB0" w14:textId="3ECDBDDE"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Marks &amp; Spencer Group plc (2025a) </w:t>
      </w:r>
      <w:r w:rsidRPr="0050530C">
        <w:rPr>
          <w:rFonts w:ascii="Arial" w:hAnsi="Arial" w:cs="Arial"/>
          <w:i/>
          <w:iCs/>
        </w:rPr>
        <w:t>M&amp;S strategic report 2025</w:t>
      </w:r>
      <w:r w:rsidRPr="0050530C">
        <w:rPr>
          <w:rFonts w:ascii="Arial" w:hAnsi="Arial" w:cs="Arial"/>
        </w:rPr>
        <w:t xml:space="preserve">. Available at: </w:t>
      </w:r>
      <w:hyperlink r:id="rId16" w:history="1">
        <w:r w:rsidR="009311A9" w:rsidRPr="00A54DF7">
          <w:rPr>
            <w:rStyle w:val="Hyperlink"/>
            <w:rFonts w:ascii="Arial" w:hAnsi="Arial" w:cs="Arial"/>
          </w:rPr>
          <w:t>https://corporate.marksandspencer.com</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4</w:t>
      </w:r>
      <w:r w:rsidRPr="0050530C">
        <w:rPr>
          <w:rFonts w:ascii="Arial" w:hAnsi="Arial" w:cs="Arial"/>
        </w:rPr>
        <w:t xml:space="preserve"> August 2026).</w:t>
      </w:r>
    </w:p>
    <w:p w14:paraId="1373CD1D" w14:textId="1D0ECBBE"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Marks &amp; Spencer Group plc (2025b) </w:t>
      </w:r>
      <w:r w:rsidRPr="0050530C">
        <w:rPr>
          <w:rFonts w:ascii="Arial" w:hAnsi="Arial" w:cs="Arial"/>
          <w:i/>
          <w:iCs/>
        </w:rPr>
        <w:t>M&amp;S announces biggest ever investment in retail pay</w:t>
      </w:r>
      <w:r w:rsidRPr="0050530C">
        <w:rPr>
          <w:rFonts w:ascii="Arial" w:hAnsi="Arial" w:cs="Arial"/>
        </w:rPr>
        <w:t xml:space="preserve">. Press release, 5 March. Available at: </w:t>
      </w:r>
      <w:hyperlink r:id="rId17" w:history="1">
        <w:r w:rsidR="009311A9" w:rsidRPr="00A54DF7">
          <w:rPr>
            <w:rStyle w:val="Hyperlink"/>
            <w:rFonts w:ascii="Arial" w:hAnsi="Arial" w:cs="Arial"/>
          </w:rPr>
          <w:t>https://corporate.marksandspencer.com/newsroom/press-releases/ms-announces-biggest-ever-investment-retail-pay</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4</w:t>
      </w:r>
      <w:r w:rsidRPr="0050530C">
        <w:rPr>
          <w:rFonts w:ascii="Arial" w:hAnsi="Arial" w:cs="Arial"/>
        </w:rPr>
        <w:t xml:space="preserve"> August 2026).</w:t>
      </w:r>
    </w:p>
    <w:p w14:paraId="5C9093C5" w14:textId="473758B9"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lastRenderedPageBreak/>
        <w:t xml:space="preserve">Marks and Spencer plc (2025) </w:t>
      </w:r>
      <w:r w:rsidRPr="0050530C">
        <w:rPr>
          <w:rFonts w:ascii="Arial" w:hAnsi="Arial" w:cs="Arial"/>
          <w:i/>
          <w:iCs/>
        </w:rPr>
        <w:t>Financial statements 2025</w:t>
      </w:r>
      <w:r w:rsidRPr="0050530C">
        <w:rPr>
          <w:rFonts w:ascii="Arial" w:hAnsi="Arial" w:cs="Arial"/>
        </w:rPr>
        <w:t xml:space="preserve"> (Registered Number 00214436). Available at: </w:t>
      </w:r>
      <w:hyperlink r:id="rId18" w:history="1">
        <w:r w:rsidR="009311A9" w:rsidRPr="00A54DF7">
          <w:rPr>
            <w:rStyle w:val="Hyperlink"/>
            <w:rFonts w:ascii="Arial" w:hAnsi="Arial" w:cs="Arial"/>
          </w:rPr>
          <w:t>https://corporate.marksandspencer.com</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4</w:t>
      </w:r>
      <w:r w:rsidRPr="0050530C">
        <w:rPr>
          <w:rFonts w:ascii="Arial" w:hAnsi="Arial" w:cs="Arial"/>
        </w:rPr>
        <w:t xml:space="preserve"> August 2026).</w:t>
      </w:r>
    </w:p>
    <w:p w14:paraId="3181DC49"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McSweeney, B. (2002) 'Hofstede's model of national cultural differences and their consequences: a triumph of faith – a failure of analysis', </w:t>
      </w:r>
      <w:r w:rsidRPr="0050530C">
        <w:rPr>
          <w:rFonts w:ascii="Arial" w:hAnsi="Arial" w:cs="Arial"/>
          <w:i/>
          <w:iCs/>
        </w:rPr>
        <w:t>Human Relations</w:t>
      </w:r>
      <w:r w:rsidRPr="0050530C">
        <w:rPr>
          <w:rFonts w:ascii="Arial" w:hAnsi="Arial" w:cs="Arial"/>
        </w:rPr>
        <w:t>, 55(1), pp. 89–118.</w:t>
      </w:r>
    </w:p>
    <w:p w14:paraId="5DECAFB0" w14:textId="187A05E2"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Naoum, R.F., Szakadáti, T. and Balogh, G. (2026) 'Artificial intelligence (AI) in human resource management (HRM): a systematic review of its dual impact on diversity, equity, and inclusion (DEI)', </w:t>
      </w:r>
      <w:r w:rsidRPr="0050530C">
        <w:rPr>
          <w:rFonts w:ascii="Arial" w:hAnsi="Arial" w:cs="Arial"/>
          <w:i/>
          <w:iCs/>
        </w:rPr>
        <w:t>Management Review Quarterly</w:t>
      </w:r>
      <w:r w:rsidRPr="0050530C">
        <w:rPr>
          <w:rFonts w:ascii="Arial" w:hAnsi="Arial" w:cs="Arial"/>
        </w:rPr>
        <w:t xml:space="preserve">. Available at: </w:t>
      </w:r>
      <w:hyperlink r:id="rId19" w:history="1">
        <w:r w:rsidR="009311A9" w:rsidRPr="00A54DF7">
          <w:rPr>
            <w:rStyle w:val="Hyperlink"/>
            <w:rFonts w:ascii="Arial" w:hAnsi="Arial" w:cs="Arial"/>
          </w:rPr>
          <w:t>https://doi.org/10.1007/s11301-025-00580-y</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7</w:t>
      </w:r>
      <w:r w:rsidRPr="0050530C">
        <w:rPr>
          <w:rFonts w:ascii="Arial" w:hAnsi="Arial" w:cs="Arial"/>
        </w:rPr>
        <w:t xml:space="preserve"> August 2026).</w:t>
      </w:r>
    </w:p>
    <w:p w14:paraId="5C1CE49A" w14:textId="5574B6DE"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Office for National Statistics (ONS) (2026) </w:t>
      </w:r>
      <w:r w:rsidRPr="0050530C">
        <w:rPr>
          <w:rFonts w:ascii="Arial" w:hAnsi="Arial" w:cs="Arial"/>
          <w:i/>
          <w:iCs/>
        </w:rPr>
        <w:t>Artificial intelligence in UK businesses: 2023 to 2026</w:t>
      </w:r>
      <w:r w:rsidRPr="0050530C">
        <w:rPr>
          <w:rFonts w:ascii="Arial" w:hAnsi="Arial" w:cs="Arial"/>
        </w:rPr>
        <w:t>. Available at:</w:t>
      </w:r>
      <w:r w:rsidR="009311A9">
        <w:rPr>
          <w:rFonts w:ascii="Arial" w:hAnsi="Arial" w:cs="Arial"/>
        </w:rPr>
        <w:t xml:space="preserve"> </w:t>
      </w:r>
      <w:hyperlink r:id="rId20" w:history="1">
        <w:r w:rsidR="00D50777" w:rsidRPr="00A54DF7">
          <w:rPr>
            <w:rStyle w:val="Hyperlink"/>
            <w:rFonts w:ascii="Arial" w:hAnsi="Arial" w:cs="Arial"/>
          </w:rPr>
          <w:t>https://www.ons.gov.uk/businessindustryandtrade/business/businessservices/articles/artificialintelligenceinukbusinesses/2023to2026</w:t>
        </w:r>
      </w:hyperlink>
      <w:r w:rsidR="00D50777">
        <w:rPr>
          <w:rFonts w:ascii="Arial" w:hAnsi="Arial" w:cs="Arial"/>
        </w:rPr>
        <w:t xml:space="preserve"> </w:t>
      </w:r>
      <w:r w:rsidRPr="0050530C">
        <w:rPr>
          <w:rFonts w:ascii="Arial" w:hAnsi="Arial" w:cs="Arial"/>
        </w:rPr>
        <w:t xml:space="preserve">(Accessed: </w:t>
      </w:r>
      <w:r w:rsidR="009311A9">
        <w:rPr>
          <w:rFonts w:ascii="Arial" w:hAnsi="Arial" w:cs="Arial"/>
        </w:rPr>
        <w:t>7</w:t>
      </w:r>
      <w:r w:rsidRPr="0050530C">
        <w:rPr>
          <w:rFonts w:ascii="Arial" w:hAnsi="Arial" w:cs="Arial"/>
        </w:rPr>
        <w:t xml:space="preserve"> August 2026).</w:t>
      </w:r>
    </w:p>
    <w:p w14:paraId="5B7AD6D6" w14:textId="374BC76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Personnel Today (2023) </w:t>
      </w:r>
      <w:r w:rsidRPr="0050530C">
        <w:rPr>
          <w:rFonts w:ascii="Arial" w:hAnsi="Arial" w:cs="Arial"/>
          <w:i/>
          <w:iCs/>
        </w:rPr>
        <w:t>Right to work: how Brexit has impacted the workforce</w:t>
      </w:r>
      <w:r w:rsidRPr="0050530C">
        <w:rPr>
          <w:rFonts w:ascii="Arial" w:hAnsi="Arial" w:cs="Arial"/>
        </w:rPr>
        <w:t xml:space="preserve">. Available at: </w:t>
      </w:r>
      <w:hyperlink r:id="rId21" w:history="1">
        <w:r w:rsidR="009311A9" w:rsidRPr="00A54DF7">
          <w:rPr>
            <w:rStyle w:val="Hyperlink"/>
            <w:rFonts w:ascii="Arial" w:hAnsi="Arial" w:cs="Arial"/>
          </w:rPr>
          <w:t>https://www.personneltoday.com/hr/right-to-work-brexit/</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4</w:t>
      </w:r>
      <w:r w:rsidRPr="0050530C">
        <w:rPr>
          <w:rFonts w:ascii="Arial" w:hAnsi="Arial" w:cs="Arial"/>
        </w:rPr>
        <w:t xml:space="preserve"> August 2026).</w:t>
      </w:r>
    </w:p>
    <w:p w14:paraId="1290C95B"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Sivathanu, B. and Pillai, R. (2018) 'Smart HR 4.0 – how industry 4.0 is disrupting HR', </w:t>
      </w:r>
      <w:r w:rsidRPr="0050530C">
        <w:rPr>
          <w:rFonts w:ascii="Arial" w:hAnsi="Arial" w:cs="Arial"/>
          <w:i/>
          <w:iCs/>
        </w:rPr>
        <w:t>Human Resource Management International Digest</w:t>
      </w:r>
      <w:r w:rsidRPr="0050530C">
        <w:rPr>
          <w:rFonts w:ascii="Arial" w:hAnsi="Arial" w:cs="Arial"/>
        </w:rPr>
        <w:t>, 26(4), pp. 7–11.</w:t>
      </w:r>
    </w:p>
    <w:p w14:paraId="578953F7" w14:textId="1B6794EF"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Statista (2026) </w:t>
      </w:r>
      <w:r w:rsidRPr="0050530C">
        <w:rPr>
          <w:rFonts w:ascii="Arial" w:hAnsi="Arial" w:cs="Arial"/>
          <w:i/>
          <w:iCs/>
        </w:rPr>
        <w:t>Marks and Spencer – statistics &amp; facts</w:t>
      </w:r>
      <w:r w:rsidRPr="0050530C">
        <w:rPr>
          <w:rFonts w:ascii="Arial" w:hAnsi="Arial" w:cs="Arial"/>
        </w:rPr>
        <w:t xml:space="preserve">. Available at: </w:t>
      </w:r>
      <w:hyperlink r:id="rId22" w:history="1">
        <w:r w:rsidR="009311A9" w:rsidRPr="00A54DF7">
          <w:rPr>
            <w:rStyle w:val="Hyperlink"/>
            <w:rFonts w:ascii="Arial" w:hAnsi="Arial" w:cs="Arial"/>
          </w:rPr>
          <w:t>https://www.statista.com/topics/3707/marks-and-spencer</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11</w:t>
      </w:r>
      <w:r w:rsidRPr="0050530C">
        <w:rPr>
          <w:rFonts w:ascii="Arial" w:hAnsi="Arial" w:cs="Arial"/>
        </w:rPr>
        <w:t xml:space="preserve"> August 2026)</w:t>
      </w:r>
    </w:p>
    <w:p w14:paraId="4A671581"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Syed, J. and Özbilgin, M. (eds.) (2016) </w:t>
      </w:r>
      <w:r w:rsidRPr="0050530C">
        <w:rPr>
          <w:rFonts w:ascii="Arial" w:hAnsi="Arial" w:cs="Arial"/>
          <w:i/>
          <w:iCs/>
        </w:rPr>
        <w:t>Managing diversity and inclusion: an international perspective</w:t>
      </w:r>
      <w:r w:rsidRPr="0050530C">
        <w:rPr>
          <w:rFonts w:ascii="Arial" w:hAnsi="Arial" w:cs="Arial"/>
        </w:rPr>
        <w:t>. 2nd edn. London: Sage.</w:t>
      </w:r>
    </w:p>
    <w:p w14:paraId="6FB0C97B"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Tarique, I., Briscoe, D. and Schuler, R. (2016) </w:t>
      </w:r>
      <w:r w:rsidRPr="0050530C">
        <w:rPr>
          <w:rFonts w:ascii="Arial" w:hAnsi="Arial" w:cs="Arial"/>
          <w:i/>
          <w:iCs/>
        </w:rPr>
        <w:t>International human resource management: policies and practices for multinational enterprises</w:t>
      </w:r>
      <w:r w:rsidRPr="0050530C">
        <w:rPr>
          <w:rFonts w:ascii="Arial" w:hAnsi="Arial" w:cs="Arial"/>
        </w:rPr>
        <w:t>. 5th edn. New York: Routledge.</w:t>
      </w:r>
    </w:p>
    <w:p w14:paraId="6C2E68CB" w14:textId="477A42B1"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TCS (2025) </w:t>
      </w:r>
      <w:r w:rsidRPr="0050530C">
        <w:rPr>
          <w:rFonts w:ascii="Arial" w:hAnsi="Arial" w:cs="Arial"/>
          <w:i/>
          <w:iCs/>
        </w:rPr>
        <w:t>Marks &amp; Spencer upgrades HCM platform to improve HR processes</w:t>
      </w:r>
      <w:r w:rsidRPr="0050530C">
        <w:rPr>
          <w:rFonts w:ascii="Arial" w:hAnsi="Arial" w:cs="Arial"/>
        </w:rPr>
        <w:t>. Case study. Available at:</w:t>
      </w:r>
      <w:r w:rsidR="00FE176D" w:rsidRPr="00FE176D">
        <w:t xml:space="preserve"> </w:t>
      </w:r>
      <w:hyperlink r:id="rId23" w:history="1">
        <w:r w:rsidR="00FE176D" w:rsidRPr="00A54DF7">
          <w:rPr>
            <w:rStyle w:val="Hyperlink"/>
            <w:rFonts w:ascii="Arial" w:hAnsi="Arial" w:cs="Arial"/>
          </w:rPr>
          <w:t>https://www.tcs.com/what-we-</w:t>
        </w:r>
        <w:r w:rsidR="00FE176D" w:rsidRPr="00A54DF7">
          <w:rPr>
            <w:rStyle w:val="Hyperlink"/>
            <w:rFonts w:ascii="Arial" w:hAnsi="Arial" w:cs="Arial"/>
          </w:rPr>
          <w:lastRenderedPageBreak/>
          <w:t>do/industries/retail/case-study/marks-spencer-human-capital-management</w:t>
        </w:r>
      </w:hyperlink>
      <w:r w:rsidR="00FE176D">
        <w:rPr>
          <w:rFonts w:ascii="Arial" w:hAnsi="Arial" w:cs="Arial"/>
        </w:rPr>
        <w:t xml:space="preserve"> </w:t>
      </w:r>
      <w:r w:rsidRPr="0050530C">
        <w:rPr>
          <w:rFonts w:ascii="Arial" w:hAnsi="Arial" w:cs="Arial"/>
        </w:rPr>
        <w:t xml:space="preserve">(Accessed: </w:t>
      </w:r>
      <w:r w:rsidR="009311A9">
        <w:rPr>
          <w:rFonts w:ascii="Arial" w:hAnsi="Arial" w:cs="Arial"/>
        </w:rPr>
        <w:t>11</w:t>
      </w:r>
      <w:r w:rsidRPr="0050530C">
        <w:rPr>
          <w:rFonts w:ascii="Arial" w:hAnsi="Arial" w:cs="Arial"/>
        </w:rPr>
        <w:t xml:space="preserve"> August 2026).</w:t>
      </w:r>
    </w:p>
    <w:p w14:paraId="4B77305A" w14:textId="4CCFD525"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UK Parliament (2025) </w:t>
      </w:r>
      <w:r w:rsidRPr="0050530C">
        <w:rPr>
          <w:rFonts w:ascii="Arial" w:hAnsi="Arial" w:cs="Arial"/>
          <w:i/>
          <w:iCs/>
        </w:rPr>
        <w:t>National Minimum Wage (Amendment) Regulations 2025: Grand Committee</w:t>
      </w:r>
      <w:r w:rsidRPr="0050530C">
        <w:rPr>
          <w:rFonts w:ascii="Arial" w:hAnsi="Arial" w:cs="Arial"/>
        </w:rPr>
        <w:t xml:space="preserve">. Hansard, House of Lords, 17 March. Available at: </w:t>
      </w:r>
      <w:hyperlink r:id="rId24" w:history="1">
        <w:r w:rsidR="009311A9" w:rsidRPr="00A54DF7">
          <w:rPr>
            <w:rStyle w:val="Hyperlink"/>
            <w:rFonts w:ascii="Arial" w:hAnsi="Arial" w:cs="Arial"/>
          </w:rPr>
          <w:t>https://hansard.parliament.uk/lords/2025-03-17/debates/66D0DEDB-4EF3-4702-B97E-3997996C6556/NationalMinimumWage(Amendment)Regulations2025</w:t>
        </w:r>
      </w:hyperlink>
      <w:r w:rsidR="009311A9">
        <w:rPr>
          <w:rFonts w:ascii="Arial" w:hAnsi="Arial" w:cs="Arial"/>
        </w:rPr>
        <w:t xml:space="preserve"> </w:t>
      </w:r>
      <w:r w:rsidRPr="0050530C">
        <w:rPr>
          <w:rFonts w:ascii="Arial" w:hAnsi="Arial" w:cs="Arial"/>
        </w:rPr>
        <w:t xml:space="preserve">(Accessed: </w:t>
      </w:r>
      <w:r w:rsidR="009311A9">
        <w:rPr>
          <w:rFonts w:ascii="Arial" w:hAnsi="Arial" w:cs="Arial"/>
        </w:rPr>
        <w:t>8</w:t>
      </w:r>
      <w:r w:rsidRPr="0050530C">
        <w:rPr>
          <w:rFonts w:ascii="Arial" w:hAnsi="Arial" w:cs="Arial"/>
        </w:rPr>
        <w:t xml:space="preserve"> August 2026).</w:t>
      </w:r>
    </w:p>
    <w:p w14:paraId="3686C93C" w14:textId="19193046"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 xml:space="preserve">UAE Government (2026) </w:t>
      </w:r>
      <w:r w:rsidRPr="0050530C">
        <w:rPr>
          <w:rFonts w:ascii="Arial" w:hAnsi="Arial" w:cs="Arial"/>
          <w:i/>
          <w:iCs/>
        </w:rPr>
        <w:t>Employing Emiratis in the private sector</w:t>
      </w:r>
      <w:r w:rsidRPr="0050530C">
        <w:rPr>
          <w:rFonts w:ascii="Arial" w:hAnsi="Arial" w:cs="Arial"/>
        </w:rPr>
        <w:t>. The Official Portal of the UAE Government. Available at:</w:t>
      </w:r>
      <w:r w:rsidR="007F6339" w:rsidRPr="007F6339">
        <w:t xml:space="preserve"> </w:t>
      </w:r>
      <w:hyperlink r:id="rId25" w:history="1">
        <w:r w:rsidR="007F6339" w:rsidRPr="00A54DF7">
          <w:rPr>
            <w:rStyle w:val="Hyperlink"/>
            <w:rFonts w:ascii="Arial" w:hAnsi="Arial" w:cs="Arial"/>
          </w:rPr>
          <w:t>https://u.ae/en/search-result?q=Employing%20Emiratis%20in%20the%20private%20sector</w:t>
        </w:r>
      </w:hyperlink>
      <w:r w:rsidR="007F6339">
        <w:rPr>
          <w:rFonts w:ascii="Arial" w:hAnsi="Arial" w:cs="Arial"/>
        </w:rPr>
        <w:t xml:space="preserve"> </w:t>
      </w:r>
      <w:r w:rsidRPr="0050530C">
        <w:rPr>
          <w:rFonts w:ascii="Arial" w:hAnsi="Arial" w:cs="Arial"/>
        </w:rPr>
        <w:t>(Accessed: 6 August 2026).</w:t>
      </w:r>
    </w:p>
    <w:p w14:paraId="6BE2C2C9" w14:textId="77777777" w:rsidR="00C841DD" w:rsidRPr="0050530C" w:rsidRDefault="00C841DD" w:rsidP="009355A3">
      <w:pPr>
        <w:spacing w:before="120" w:after="120" w:line="360" w:lineRule="auto"/>
        <w:ind w:left="720" w:hanging="720"/>
        <w:rPr>
          <w:rFonts w:ascii="Arial" w:hAnsi="Arial" w:cs="Arial"/>
        </w:rPr>
      </w:pPr>
      <w:r w:rsidRPr="0050530C">
        <w:rPr>
          <w:rFonts w:ascii="Arial" w:hAnsi="Arial" w:cs="Arial"/>
        </w:rPr>
        <w:t>Yuksel, I. (2012) 'Developing a multi-</w:t>
      </w:r>
      <w:proofErr w:type="gramStart"/>
      <w:r w:rsidRPr="0050530C">
        <w:rPr>
          <w:rFonts w:ascii="Arial" w:hAnsi="Arial" w:cs="Arial"/>
        </w:rPr>
        <w:t>criteria decision making</w:t>
      </w:r>
      <w:proofErr w:type="gramEnd"/>
      <w:r w:rsidRPr="0050530C">
        <w:rPr>
          <w:rFonts w:ascii="Arial" w:hAnsi="Arial" w:cs="Arial"/>
        </w:rPr>
        <w:t xml:space="preserve"> model for PESTEL analysis', </w:t>
      </w:r>
      <w:r w:rsidRPr="0050530C">
        <w:rPr>
          <w:rFonts w:ascii="Arial" w:hAnsi="Arial" w:cs="Arial"/>
          <w:i/>
          <w:iCs/>
        </w:rPr>
        <w:t>International Journal of Business and Management</w:t>
      </w:r>
      <w:r w:rsidRPr="0050530C">
        <w:rPr>
          <w:rFonts w:ascii="Arial" w:hAnsi="Arial" w:cs="Arial"/>
        </w:rPr>
        <w:t>, 7(24), pp. 52–66.</w:t>
      </w:r>
    </w:p>
    <w:p w14:paraId="1797F355" w14:textId="7B5FDF97" w:rsidR="00F13459" w:rsidRPr="00CC52EF" w:rsidRDefault="00F13459" w:rsidP="009355A3">
      <w:pPr>
        <w:spacing w:before="120" w:after="120" w:line="360" w:lineRule="auto"/>
        <w:ind w:left="720" w:hanging="720"/>
        <w:rPr>
          <w:rFonts w:ascii="Arial" w:hAnsi="Arial" w:cs="Arial"/>
        </w:rPr>
      </w:pPr>
    </w:p>
    <w:sectPr w:rsidR="00F13459" w:rsidRPr="00CC52EF" w:rsidSect="007B2E12">
      <w:footerReference w:type="default" r:id="rId26"/>
      <w:pgSz w:w="11906" w:h="16838"/>
      <w:pgMar w:top="1440" w:right="1440" w:bottom="1440" w:left="1440" w:header="708" w:footer="708"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88A36" w14:textId="77777777" w:rsidR="001359CE" w:rsidRDefault="001359CE" w:rsidP="007B2E12">
      <w:r>
        <w:separator/>
      </w:r>
    </w:p>
  </w:endnote>
  <w:endnote w:type="continuationSeparator" w:id="0">
    <w:p w14:paraId="44F901D7" w14:textId="77777777" w:rsidR="001359CE" w:rsidRDefault="001359CE" w:rsidP="007B2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864653"/>
      <w:docPartObj>
        <w:docPartGallery w:val="Page Numbers (Bottom of Page)"/>
        <w:docPartUnique/>
      </w:docPartObj>
    </w:sdtPr>
    <w:sdtEndPr>
      <w:rPr>
        <w:color w:val="7F7F7F" w:themeColor="background1" w:themeShade="7F"/>
        <w:spacing w:val="60"/>
      </w:rPr>
    </w:sdtEndPr>
    <w:sdtContent>
      <w:p w14:paraId="220368D4" w14:textId="6A25FBAA" w:rsidR="007B2E12" w:rsidRDefault="007B2E1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308C05C" w14:textId="77777777" w:rsidR="007B2E12" w:rsidRDefault="007B2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C494F" w14:textId="77777777" w:rsidR="001359CE" w:rsidRDefault="001359CE" w:rsidP="007B2E12">
      <w:r>
        <w:separator/>
      </w:r>
    </w:p>
  </w:footnote>
  <w:footnote w:type="continuationSeparator" w:id="0">
    <w:p w14:paraId="50694662" w14:textId="77777777" w:rsidR="001359CE" w:rsidRDefault="001359CE" w:rsidP="007B2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6C4317"/>
    <w:multiLevelType w:val="hybridMultilevel"/>
    <w:tmpl w:val="22DA746A"/>
    <w:lvl w:ilvl="0" w:tplc="74C2A40A">
      <w:start w:val="1"/>
      <w:numFmt w:val="bullet"/>
      <w:lvlText w:val="●"/>
      <w:lvlJc w:val="left"/>
      <w:pPr>
        <w:ind w:left="720" w:hanging="360"/>
      </w:pPr>
    </w:lvl>
    <w:lvl w:ilvl="1" w:tplc="8DC423F8">
      <w:start w:val="1"/>
      <w:numFmt w:val="bullet"/>
      <w:lvlText w:val="○"/>
      <w:lvlJc w:val="left"/>
      <w:pPr>
        <w:ind w:left="1440" w:hanging="360"/>
      </w:pPr>
    </w:lvl>
    <w:lvl w:ilvl="2" w:tplc="4E52F91A">
      <w:start w:val="1"/>
      <w:numFmt w:val="bullet"/>
      <w:lvlText w:val="■"/>
      <w:lvlJc w:val="left"/>
      <w:pPr>
        <w:ind w:left="2160" w:hanging="360"/>
      </w:pPr>
    </w:lvl>
    <w:lvl w:ilvl="3" w:tplc="25F8FC94">
      <w:start w:val="1"/>
      <w:numFmt w:val="bullet"/>
      <w:lvlText w:val="●"/>
      <w:lvlJc w:val="left"/>
      <w:pPr>
        <w:ind w:left="2880" w:hanging="360"/>
      </w:pPr>
    </w:lvl>
    <w:lvl w:ilvl="4" w:tplc="762C0382">
      <w:start w:val="1"/>
      <w:numFmt w:val="bullet"/>
      <w:lvlText w:val="○"/>
      <w:lvlJc w:val="left"/>
      <w:pPr>
        <w:ind w:left="3600" w:hanging="360"/>
      </w:pPr>
    </w:lvl>
    <w:lvl w:ilvl="5" w:tplc="FCFA88C4">
      <w:start w:val="1"/>
      <w:numFmt w:val="bullet"/>
      <w:lvlText w:val="■"/>
      <w:lvlJc w:val="left"/>
      <w:pPr>
        <w:ind w:left="4320" w:hanging="360"/>
      </w:pPr>
    </w:lvl>
    <w:lvl w:ilvl="6" w:tplc="6D40A0D4">
      <w:start w:val="1"/>
      <w:numFmt w:val="bullet"/>
      <w:lvlText w:val="●"/>
      <w:lvlJc w:val="left"/>
      <w:pPr>
        <w:ind w:left="5040" w:hanging="360"/>
      </w:pPr>
    </w:lvl>
    <w:lvl w:ilvl="7" w:tplc="68A28B76">
      <w:start w:val="1"/>
      <w:numFmt w:val="bullet"/>
      <w:lvlText w:val="●"/>
      <w:lvlJc w:val="left"/>
      <w:pPr>
        <w:ind w:left="5760" w:hanging="360"/>
      </w:pPr>
    </w:lvl>
    <w:lvl w:ilvl="8" w:tplc="ACF0E1F2">
      <w:start w:val="1"/>
      <w:numFmt w:val="bullet"/>
      <w:lvlText w:val="●"/>
      <w:lvlJc w:val="left"/>
      <w:pPr>
        <w:ind w:left="6480" w:hanging="360"/>
      </w:pPr>
    </w:lvl>
  </w:abstractNum>
  <w:num w:numId="1" w16cid:durableId="10109851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459"/>
    <w:rsid w:val="00023C43"/>
    <w:rsid w:val="000868DF"/>
    <w:rsid w:val="000C4C8E"/>
    <w:rsid w:val="00123324"/>
    <w:rsid w:val="00133393"/>
    <w:rsid w:val="001359CE"/>
    <w:rsid w:val="00160E69"/>
    <w:rsid w:val="00184BB3"/>
    <w:rsid w:val="002005B2"/>
    <w:rsid w:val="00212A46"/>
    <w:rsid w:val="002A5D0A"/>
    <w:rsid w:val="002B6867"/>
    <w:rsid w:val="002E316B"/>
    <w:rsid w:val="002E67B6"/>
    <w:rsid w:val="00304844"/>
    <w:rsid w:val="00320A23"/>
    <w:rsid w:val="00361017"/>
    <w:rsid w:val="00390CE7"/>
    <w:rsid w:val="003C2E7F"/>
    <w:rsid w:val="004357F9"/>
    <w:rsid w:val="004628CF"/>
    <w:rsid w:val="004B648E"/>
    <w:rsid w:val="004D66FC"/>
    <w:rsid w:val="00516492"/>
    <w:rsid w:val="00527AF6"/>
    <w:rsid w:val="00545002"/>
    <w:rsid w:val="005551F1"/>
    <w:rsid w:val="005D4B18"/>
    <w:rsid w:val="006D45F9"/>
    <w:rsid w:val="006F4E3C"/>
    <w:rsid w:val="007508C9"/>
    <w:rsid w:val="00765CAB"/>
    <w:rsid w:val="007843B7"/>
    <w:rsid w:val="00791069"/>
    <w:rsid w:val="007B2E12"/>
    <w:rsid w:val="007D4F7B"/>
    <w:rsid w:val="007F6339"/>
    <w:rsid w:val="00812214"/>
    <w:rsid w:val="00824030"/>
    <w:rsid w:val="008576B2"/>
    <w:rsid w:val="008C3884"/>
    <w:rsid w:val="009254F1"/>
    <w:rsid w:val="009311A9"/>
    <w:rsid w:val="009355A3"/>
    <w:rsid w:val="00992109"/>
    <w:rsid w:val="009A3A2E"/>
    <w:rsid w:val="00A10870"/>
    <w:rsid w:val="00A802FB"/>
    <w:rsid w:val="00A95CC7"/>
    <w:rsid w:val="00AC657C"/>
    <w:rsid w:val="00AC65E7"/>
    <w:rsid w:val="00B007A8"/>
    <w:rsid w:val="00B02E77"/>
    <w:rsid w:val="00B742DB"/>
    <w:rsid w:val="00BC57C4"/>
    <w:rsid w:val="00C2567A"/>
    <w:rsid w:val="00C841DD"/>
    <w:rsid w:val="00CC52EF"/>
    <w:rsid w:val="00CF22AD"/>
    <w:rsid w:val="00D1239A"/>
    <w:rsid w:val="00D50777"/>
    <w:rsid w:val="00DE72D9"/>
    <w:rsid w:val="00E46746"/>
    <w:rsid w:val="00E74593"/>
    <w:rsid w:val="00EB1B7B"/>
    <w:rsid w:val="00EB2BEF"/>
    <w:rsid w:val="00ED5BA1"/>
    <w:rsid w:val="00F00E50"/>
    <w:rsid w:val="00F13459"/>
    <w:rsid w:val="00F31ADE"/>
    <w:rsid w:val="00F87A05"/>
    <w:rsid w:val="00FB7386"/>
    <w:rsid w:val="00FD3E05"/>
    <w:rsid w:val="00FE176D"/>
    <w:rsid w:val="00FF19A6"/>
    <w:rsid w:val="00FF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E443"/>
  <w15:docId w15:val="{10E88B82-8D03-48C2-BD38-DFEE476E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2EF"/>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Style1">
    <w:name w:val="Style1"/>
    <w:basedOn w:val="Heading1"/>
    <w:qFormat/>
    <w:rsid w:val="00CC52EF"/>
    <w:rPr>
      <w:rFonts w:ascii="Arial" w:hAnsi="Arial"/>
      <w:b/>
      <w:color w:val="auto"/>
      <w:sz w:val="28"/>
    </w:rPr>
  </w:style>
  <w:style w:type="paragraph" w:customStyle="1" w:styleId="Style2">
    <w:name w:val="Style2"/>
    <w:basedOn w:val="Heading1"/>
    <w:qFormat/>
    <w:rsid w:val="00CC52EF"/>
    <w:rPr>
      <w:rFonts w:ascii="Arial" w:hAnsi="Arial"/>
      <w:b/>
      <w:color w:val="000000" w:themeColor="text1"/>
      <w:sz w:val="28"/>
    </w:rPr>
  </w:style>
  <w:style w:type="paragraph" w:customStyle="1" w:styleId="Style3">
    <w:name w:val="Style3"/>
    <w:basedOn w:val="Heading2"/>
    <w:qFormat/>
    <w:rsid w:val="00CC52EF"/>
    <w:rPr>
      <w:rFonts w:ascii="Arial" w:hAnsi="Arial"/>
      <w:i/>
      <w:color w:val="auto"/>
      <w:sz w:val="24"/>
    </w:rPr>
  </w:style>
  <w:style w:type="paragraph" w:customStyle="1" w:styleId="Style4">
    <w:name w:val="Style4"/>
    <w:basedOn w:val="Style3"/>
    <w:qFormat/>
    <w:rsid w:val="00CC52EF"/>
    <w:rPr>
      <w:b/>
    </w:rPr>
  </w:style>
  <w:style w:type="character" w:styleId="UnresolvedMention">
    <w:name w:val="Unresolved Mention"/>
    <w:basedOn w:val="DefaultParagraphFont"/>
    <w:uiPriority w:val="99"/>
    <w:semiHidden/>
    <w:unhideWhenUsed/>
    <w:rsid w:val="00184BB3"/>
    <w:rPr>
      <w:color w:val="605E5C"/>
      <w:shd w:val="clear" w:color="auto" w:fill="E1DFDD"/>
    </w:rPr>
  </w:style>
  <w:style w:type="paragraph" w:styleId="TOCHeading">
    <w:name w:val="TOC Heading"/>
    <w:basedOn w:val="Heading1"/>
    <w:next w:val="Normal"/>
    <w:uiPriority w:val="39"/>
    <w:unhideWhenUsed/>
    <w:qFormat/>
    <w:rsid w:val="00F00E50"/>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F00E50"/>
    <w:pPr>
      <w:spacing w:after="100"/>
    </w:pPr>
  </w:style>
  <w:style w:type="paragraph" w:styleId="TOC2">
    <w:name w:val="toc 2"/>
    <w:basedOn w:val="Normal"/>
    <w:next w:val="Normal"/>
    <w:autoRedefine/>
    <w:uiPriority w:val="39"/>
    <w:unhideWhenUsed/>
    <w:rsid w:val="00F00E50"/>
    <w:pPr>
      <w:spacing w:after="100"/>
      <w:ind w:left="240"/>
    </w:pPr>
  </w:style>
  <w:style w:type="character" w:styleId="FollowedHyperlink">
    <w:name w:val="FollowedHyperlink"/>
    <w:basedOn w:val="DefaultParagraphFont"/>
    <w:uiPriority w:val="99"/>
    <w:semiHidden/>
    <w:unhideWhenUsed/>
    <w:rsid w:val="009311A9"/>
    <w:rPr>
      <w:color w:val="96607D" w:themeColor="followedHyperlink"/>
      <w:u w:val="single"/>
    </w:rPr>
  </w:style>
  <w:style w:type="character" w:customStyle="1" w:styleId="Heading1Char">
    <w:name w:val="Heading 1 Char"/>
    <w:basedOn w:val="DefaultParagraphFont"/>
    <w:link w:val="Heading1"/>
    <w:uiPriority w:val="9"/>
    <w:rsid w:val="00FF6E75"/>
    <w:rPr>
      <w:color w:val="2E74B5"/>
      <w:sz w:val="32"/>
      <w:szCs w:val="32"/>
    </w:rPr>
  </w:style>
  <w:style w:type="paragraph" w:styleId="Header">
    <w:name w:val="header"/>
    <w:basedOn w:val="Normal"/>
    <w:link w:val="HeaderChar"/>
    <w:uiPriority w:val="99"/>
    <w:unhideWhenUsed/>
    <w:rsid w:val="007B2E12"/>
    <w:pPr>
      <w:tabs>
        <w:tab w:val="center" w:pos="4513"/>
        <w:tab w:val="right" w:pos="9026"/>
      </w:tabs>
    </w:pPr>
  </w:style>
  <w:style w:type="character" w:customStyle="1" w:styleId="HeaderChar">
    <w:name w:val="Header Char"/>
    <w:basedOn w:val="DefaultParagraphFont"/>
    <w:link w:val="Header"/>
    <w:uiPriority w:val="99"/>
    <w:rsid w:val="007B2E12"/>
  </w:style>
  <w:style w:type="paragraph" w:styleId="Footer">
    <w:name w:val="footer"/>
    <w:basedOn w:val="Normal"/>
    <w:link w:val="FooterChar"/>
    <w:uiPriority w:val="99"/>
    <w:unhideWhenUsed/>
    <w:rsid w:val="007B2E12"/>
    <w:pPr>
      <w:tabs>
        <w:tab w:val="center" w:pos="4513"/>
        <w:tab w:val="right" w:pos="9026"/>
      </w:tabs>
    </w:pPr>
  </w:style>
  <w:style w:type="character" w:customStyle="1" w:styleId="FooterChar">
    <w:name w:val="Footer Char"/>
    <w:basedOn w:val="DefaultParagraphFont"/>
    <w:link w:val="Footer"/>
    <w:uiPriority w:val="99"/>
    <w:rsid w:val="007B2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puterweekly.com/news/366634121/MS-profits-tumble-after-cyber-attack" TargetMode="External"/><Relationship Id="rId18" Type="http://schemas.openxmlformats.org/officeDocument/2006/relationships/hyperlink" Target="https://corporate.marksandspencer.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ersonneltoday.com/hr/right-to-work-brexit/" TargetMode="External"/><Relationship Id="rId7" Type="http://schemas.openxmlformats.org/officeDocument/2006/relationships/endnotes" Target="endnotes.xml"/><Relationship Id="rId12" Type="http://schemas.openxmlformats.org/officeDocument/2006/relationships/hyperlink" Target="https://www.cipd.org/en/knowledge/factsheets/performance-factsheet/" TargetMode="External"/><Relationship Id="rId17" Type="http://schemas.openxmlformats.org/officeDocument/2006/relationships/hyperlink" Target="https://corporate.marksandspencer.com/newsroom/press-releases/ms-announces-biggest-ever-investment-retail-pay" TargetMode="External"/><Relationship Id="rId25" Type="http://schemas.openxmlformats.org/officeDocument/2006/relationships/hyperlink" Target="https://u.ae/en/search-result?q=Employing%20Emiratis%20in%20the%20private%20sector" TargetMode="External"/><Relationship Id="rId2" Type="http://schemas.openxmlformats.org/officeDocument/2006/relationships/numbering" Target="numbering.xml"/><Relationship Id="rId16" Type="http://schemas.openxmlformats.org/officeDocument/2006/relationships/hyperlink" Target="https://corporate.marksandspencer.com" TargetMode="External"/><Relationship Id="rId20" Type="http://schemas.openxmlformats.org/officeDocument/2006/relationships/hyperlink" Target="https://www.ons.gov.uk/businessindustryandtrade/business/businessservices/articles/artificialintelligenceinukbusinesses/2023to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berg.com/search?query=%27Marks%20%26%20Spencer%20says%20cyber%20attack%20to%20cost%20business%20%C2%A3300%20million%27%20" TargetMode="External"/><Relationship Id="rId24" Type="http://schemas.openxmlformats.org/officeDocument/2006/relationships/hyperlink" Target="https://hansard.parliament.uk/lords/2025-03-17/debates/66D0DEDB-4EF3-4702-B97E-3997996C6556/NationalMinimumWage(Amendment)Regulations2025" TargetMode="External"/><Relationship Id="rId5" Type="http://schemas.openxmlformats.org/officeDocument/2006/relationships/webSettings" Target="webSettings.xml"/><Relationship Id="rId15" Type="http://schemas.openxmlformats.org/officeDocument/2006/relationships/hyperlink" Target="https://gender-pay-gap.service.gov.uk/employers/8118" TargetMode="External"/><Relationship Id="rId23" Type="http://schemas.openxmlformats.org/officeDocument/2006/relationships/hyperlink" Target="https://www.tcs.com/what-we-do/industries/retail/case-study/marks-spencer-human-capital-management" TargetMode="External"/><Relationship Id="rId28" Type="http://schemas.openxmlformats.org/officeDocument/2006/relationships/theme" Target="theme/theme1.xml"/><Relationship Id="rId10" Type="http://schemas.openxmlformats.org/officeDocument/2006/relationships/hyperlink" Target="https://www.bishopfleming.co.uk/insights/national-minimum-wage-rise-april-2025-what-employers-need-know" TargetMode="External"/><Relationship Id="rId19" Type="http://schemas.openxmlformats.org/officeDocument/2006/relationships/hyperlink" Target="https://doi.org/10.1007/s11301-025-00580-y" TargetMode="External"/><Relationship Id="rId4" Type="http://schemas.openxmlformats.org/officeDocument/2006/relationships/settings" Target="settings.xml"/><Relationship Id="rId9" Type="http://schemas.openxmlformats.org/officeDocument/2006/relationships/hyperlink" Target="https://www.alfuttaim.com/en/our-brands/marks-spencer/" TargetMode="External"/><Relationship Id="rId14" Type="http://schemas.openxmlformats.org/officeDocument/2006/relationships/hyperlink" Target="https://www.gov.uk/government/statistics/cyber-security-breaches-survey-20252026" TargetMode="External"/><Relationship Id="rId22" Type="http://schemas.openxmlformats.org/officeDocument/2006/relationships/hyperlink" Target="https://www.statista.com/topics/3707/marks-and-spenc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5672E8-4DE2-4041-BF4C-7EA65A97D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13</Pages>
  <Words>3286</Words>
  <Characters>21129</Characters>
  <Application>Microsoft Office Word</Application>
  <DocSecurity>0</DocSecurity>
  <Lines>391</Lines>
  <Paragraphs>93</Paragraphs>
  <ScaleCrop>false</ScaleCrop>
  <Company/>
  <LinksUpToDate>false</LinksUpToDate>
  <CharactersWithSpaces>24322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Ala Uzun</cp:lastModifiedBy>
  <cp:revision>70</cp:revision>
  <dcterms:created xsi:type="dcterms:W3CDTF">2026-08-06T16:26:00Z</dcterms:created>
  <dcterms:modified xsi:type="dcterms:W3CDTF">2026-08-11T12:30:00Z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bbe48437-60ea-440f-b12a-626222277db9</vt:lpwstr>
  </property>
</Properties>
</file>