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4BCF" w:rsidRPr="00394BCF" w:rsidRDefault="00394BCF" w:rsidP="00394BCF">
      <w:pPr>
        <w:pStyle w:val="NormalWeb"/>
        <w:spacing w:before="0" w:beforeAutospacing="0" w:after="240" w:afterAutospacing="0"/>
      </w:pPr>
      <w:r>
        <w:t>v</w:t>
      </w:r>
      <w:r>
        <w:rPr>
          <w:rFonts w:ascii="Calibri" w:hAnsi="Calibri" w:cs="Calibri"/>
          <w:noProof/>
          <w:color w:val="000000"/>
          <w:sz w:val="22"/>
          <w:szCs w:val="22"/>
          <w:bdr w:val="none" w:sz="0" w:space="0" w:color="auto" w:frame="1"/>
        </w:rPr>
        <w:drawing>
          <wp:inline distT="0" distB="0" distL="0" distR="0">
            <wp:extent cx="5715000" cy="38100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r w:rsidRPr="00394BCF">
        <w:rPr>
          <w:rFonts w:ascii="Arial" w:hAnsi="Arial" w:cs="Arial"/>
          <w:color w:val="000000"/>
          <w:sz w:val="22"/>
          <w:szCs w:val="22"/>
        </w:rPr>
        <w:br/>
      </w:r>
      <w:r w:rsidRPr="00394BCF">
        <w:rPr>
          <w:rFonts w:ascii="Arial" w:hAnsi="Arial" w:cs="Arial"/>
          <w:color w:val="000000"/>
          <w:sz w:val="22"/>
          <w:szCs w:val="22"/>
        </w:rPr>
        <w:br/>
      </w:r>
      <w:r w:rsidRPr="00394BCF">
        <w:rPr>
          <w:rFonts w:ascii="Calibri" w:hAnsi="Calibri" w:cs="Calibri"/>
          <w:color w:val="000000"/>
          <w:sz w:val="22"/>
          <w:szCs w:val="22"/>
        </w:rPr>
        <w:t>                                                                              </w:t>
      </w:r>
    </w:p>
    <w:p w:rsidR="00394BCF" w:rsidRPr="00394BCF" w:rsidRDefault="00394BCF" w:rsidP="00394BCF">
      <w:pPr>
        <w:spacing w:after="240" w:line="240" w:lineRule="auto"/>
        <w:ind w:left="2880" w:firstLine="720"/>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      Assessment 1</w:t>
      </w:r>
    </w:p>
    <w:p w:rsidR="00394BCF" w:rsidRPr="00394BCF" w:rsidRDefault="00394BCF" w:rsidP="00394BCF">
      <w:pPr>
        <w:spacing w:after="240" w:line="240" w:lineRule="auto"/>
        <w:rPr>
          <w:rFonts w:ascii="Times New Roman" w:eastAsia="Times New Roman" w:hAnsi="Times New Roman" w:cs="Times New Roman"/>
          <w:sz w:val="24"/>
          <w:szCs w:val="24"/>
          <w:lang w:eastAsia="en-GB"/>
        </w:rPr>
      </w:pPr>
      <w:r w:rsidRPr="00394BCF">
        <w:rPr>
          <w:rFonts w:ascii="Times New Roman" w:eastAsia="Times New Roman" w:hAnsi="Times New Roman" w:cs="Times New Roman"/>
          <w:sz w:val="24"/>
          <w:szCs w:val="24"/>
          <w:lang w:eastAsia="en-GB"/>
        </w:rPr>
        <w:br/>
      </w:r>
    </w:p>
    <w:p w:rsidR="00394BCF" w:rsidRPr="00394BCF" w:rsidRDefault="00394BCF" w:rsidP="00394BCF">
      <w:pPr>
        <w:spacing w:after="240" w:line="240" w:lineRule="auto"/>
        <w:ind w:left="3600"/>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      Digital Literacy</w:t>
      </w:r>
    </w:p>
    <w:p w:rsidR="00394BCF" w:rsidRPr="00394BCF" w:rsidRDefault="00394BCF" w:rsidP="00394BCF">
      <w:pPr>
        <w:spacing w:after="240" w:line="240" w:lineRule="auto"/>
        <w:rPr>
          <w:rFonts w:ascii="Times New Roman" w:eastAsia="Times New Roman" w:hAnsi="Times New Roman" w:cs="Times New Roman"/>
          <w:sz w:val="24"/>
          <w:szCs w:val="24"/>
          <w:lang w:eastAsia="en-GB"/>
        </w:rPr>
      </w:pPr>
      <w:r w:rsidRPr="00394BCF">
        <w:rPr>
          <w:rFonts w:ascii="Times New Roman" w:eastAsia="Times New Roman" w:hAnsi="Times New Roman" w:cs="Times New Roman"/>
          <w:sz w:val="24"/>
          <w:szCs w:val="24"/>
          <w:lang w:eastAsia="en-GB"/>
        </w:rPr>
        <w:br/>
      </w:r>
    </w:p>
    <w:p w:rsidR="00394BCF" w:rsidRPr="00394BCF" w:rsidRDefault="00394BCF" w:rsidP="00394BCF">
      <w:pPr>
        <w:spacing w:after="240" w:line="240" w:lineRule="auto"/>
        <w:ind w:left="2880" w:firstLine="720"/>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     </w:t>
      </w:r>
      <w:r w:rsidRPr="00394BCF">
        <w:rPr>
          <w:rFonts w:ascii="Arial" w:eastAsia="Times New Roman" w:hAnsi="Arial" w:cs="Arial"/>
          <w:b/>
          <w:bCs/>
          <w:color w:val="000000"/>
          <w:lang w:eastAsia="en-GB"/>
        </w:rPr>
        <w:t>Student ID: 2018581</w:t>
      </w:r>
    </w:p>
    <w:p w:rsidR="00394BCF" w:rsidRPr="00394BCF" w:rsidRDefault="00394BCF" w:rsidP="00394BCF">
      <w:pPr>
        <w:spacing w:after="240" w:line="240" w:lineRule="auto"/>
        <w:rPr>
          <w:rFonts w:ascii="Times New Roman" w:eastAsia="Times New Roman" w:hAnsi="Times New Roman" w:cs="Times New Roman"/>
          <w:sz w:val="24"/>
          <w:szCs w:val="24"/>
          <w:lang w:eastAsia="en-GB"/>
        </w:rPr>
      </w:pPr>
      <w:r w:rsidRPr="00394BCF">
        <w:rPr>
          <w:rFonts w:ascii="Times New Roman" w:eastAsia="Times New Roman" w:hAnsi="Times New Roman" w:cs="Times New Roman"/>
          <w:sz w:val="24"/>
          <w:szCs w:val="24"/>
          <w:lang w:eastAsia="en-GB"/>
        </w:rPr>
        <w:br/>
      </w:r>
    </w:p>
    <w:p w:rsidR="00394BCF" w:rsidRPr="00394BCF" w:rsidRDefault="00394BCF" w:rsidP="00394BCF">
      <w:pPr>
        <w:spacing w:after="160" w:line="240" w:lineRule="auto"/>
        <w:ind w:left="2160" w:firstLine="720"/>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      Lecturer’s Name: Alfred Mensah</w:t>
      </w:r>
    </w:p>
    <w:p w:rsidR="00394BCF" w:rsidRPr="00394BCF" w:rsidRDefault="00394BCF" w:rsidP="00394BCF">
      <w:pPr>
        <w:spacing w:after="0" w:line="240" w:lineRule="auto"/>
        <w:rPr>
          <w:rFonts w:ascii="Times New Roman" w:eastAsia="Times New Roman" w:hAnsi="Times New Roman" w:cs="Times New Roman"/>
          <w:sz w:val="24"/>
          <w:szCs w:val="24"/>
          <w:lang w:eastAsia="en-GB"/>
        </w:rPr>
      </w:pPr>
    </w:p>
    <w:p w:rsidR="00394BCF" w:rsidRPr="00394BCF" w:rsidRDefault="00394BCF" w:rsidP="00394BCF">
      <w:pPr>
        <w:spacing w:after="160" w:line="240" w:lineRule="auto"/>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Introduction</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The digital skills assessment (DSA) is a framework that helps individuals in evaluating their current levels of digital capability, reflecting on their development needs, planning the</w:t>
      </w:r>
      <w:r>
        <w:rPr>
          <w:rFonts w:ascii="Arial" w:eastAsia="Times New Roman" w:hAnsi="Arial" w:cs="Arial"/>
          <w:color w:val="000000"/>
          <w:lang w:eastAsia="en-GB"/>
        </w:rPr>
        <w:t>ir development path and finding</w:t>
      </w:r>
      <w:bookmarkStart w:id="0" w:name="_GoBack"/>
      <w:bookmarkEnd w:id="0"/>
      <w:r w:rsidRPr="00394BCF">
        <w:rPr>
          <w:rFonts w:ascii="Arial" w:eastAsia="Times New Roman" w:hAnsi="Arial" w:cs="Arial"/>
          <w:color w:val="000000"/>
          <w:lang w:eastAsia="en-GB"/>
        </w:rPr>
        <w:t xml:space="preserve"> resources that help to develop the skills further. Bashir and Miyamoto (2020) highlighted the DSA is considered to be an important aspect in organisations because it helps in ensuring that individuals are able to use digital means to carry out their operations on a day-to-day basis. With the rapid implementation of technology </w:t>
      </w:r>
      <w:r w:rsidRPr="00394BCF">
        <w:rPr>
          <w:rFonts w:ascii="Arial" w:eastAsia="Times New Roman" w:hAnsi="Arial" w:cs="Arial"/>
          <w:color w:val="000000"/>
          <w:lang w:eastAsia="en-GB"/>
        </w:rPr>
        <w:lastRenderedPageBreak/>
        <w:t>in diverse organisations, it has become important that individuals improve their digital literacy as well.</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The purpose of writing this assignment is to assess the way technological advancements and digital literacy has helped the health sector to further develop itself. It is imperative to note that with the implementation of technology and people becoming more digitally aware, the health care services has significantly improved for the end-users. The healthcare practitioners and professionals working in the health care sector have been able to ensure that they are able to participate and thrive in a digital society.</w:t>
      </w:r>
    </w:p>
    <w:p w:rsidR="00394BCF" w:rsidRPr="00394BCF" w:rsidRDefault="00394BCF" w:rsidP="00394BCF">
      <w:pPr>
        <w:spacing w:after="160" w:line="240" w:lineRule="auto"/>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Paragraph 1</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For health practitioners and professionals, the aspect of digital literacy has become significantly important in the current times. MacLure and Stewart (2016) suggested that digital literacy in the area of health care sector helps in diverse ways, which can be communication, collaboration, learning new skills as well as handling data in an effective way. The authors further demonstrated that the key aspect is to ensure that through the use of technology, patient engagement and education are significantly increase at every point of the health plan. The final result is that comprehensive medical records are created and the quality care is of a higher rate. The use of digital literacy also helps with the professional career development of people in health care. It was mentioned by Holt et al. (2020) that digital literacy helps with e-learning as well as self-development. E-learning is a system that is based on formalised teaching and carried out with the help of electronic resources. With the help of e-learning, health care professionals are able to speed up their work process and work in flexible hours that would be suitable for them. Moreover, Mohammadyari and Singh (2015) stated that it also helps with cutting down costs, which incurs in hiring a trainer or changing shift timings of staff to attend training. With e-learning, the aforementioned aspects are all streamlined. It should be noted that apart from e-learning, self-development is also an aspect that occurs owing to the use of technology. Sherwood (2017) suggested that digital literacy helps with self-learning, in the sense, that it ensure professionals become capable to handle any technological-related tasks in an effective way.</w:t>
      </w:r>
    </w:p>
    <w:p w:rsidR="00394BCF" w:rsidRPr="00394BCF" w:rsidRDefault="00394BCF" w:rsidP="00394BCF">
      <w:pPr>
        <w:spacing w:after="160" w:line="240" w:lineRule="auto"/>
        <w:jc w:val="both"/>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Paragraph 2</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According to Kennedy and Yaldren (2017), digital literacy also helps with communication, collaboration and participation for health practitioners and professionals. The authors further stated that digital communication helps with reducing any patient-related barriers by ensuring that a level of anonymity is provided as well as patients have the benefit to not have to consult an interpreter every time, they need a consult. Apart from digital communication, digital collaboration helps with ensuring that all data systems are secured and Health Insurance Portability and Accountability Act (HIPAA) compliant. The health care professionals and practitioners must make certain that apart from keeping patient data confidential; it should be easily accessible by specialists across the globe so that patient care is not compromised (Rafi, JianMing and Ahmad, 2019). </w:t>
      </w:r>
    </w:p>
    <w:p w:rsidR="00394BCF" w:rsidRPr="00394BCF" w:rsidRDefault="00394BCF" w:rsidP="00394BCF">
      <w:pPr>
        <w:spacing w:after="160" w:line="240" w:lineRule="auto"/>
        <w:jc w:val="both"/>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Paragraph 3</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 xml:space="preserve">Digital participation in the health care sector helps with keeping patient information safe and a digital identity is created which allows health care professionals and practitioners to easily access any patient’s data from anywhere (Julien, 2018). It is imperative to note that with digital literacy in place, professionals and practitioners would have developed the technical proficiency that would allow them to handle data in a way that it is not compromised or distorted in any way. Supporting the notion, Donelle and Rootman (2021) suggested that health care professionals and practitioners should take initiatives in improving their technical proficiency to provide better service to patients as well as be able to help out their own colleagues. Once the health care professionals and practitioners are able </w:t>
      </w:r>
      <w:r w:rsidRPr="00394BCF">
        <w:rPr>
          <w:rFonts w:ascii="Arial" w:eastAsia="Times New Roman" w:hAnsi="Arial" w:cs="Arial"/>
          <w:color w:val="000000"/>
          <w:lang w:eastAsia="en-GB"/>
        </w:rPr>
        <w:lastRenderedPageBreak/>
        <w:t>to improve their digital literacy, they would be able to thrive in a digital society in a successful manner. </w:t>
      </w:r>
    </w:p>
    <w:p w:rsidR="00394BCF" w:rsidRPr="00394BCF" w:rsidRDefault="00394BCF" w:rsidP="00394BCF">
      <w:pPr>
        <w:spacing w:after="160" w:line="240" w:lineRule="auto"/>
        <w:jc w:val="both"/>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Paragraph 4</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Health care professionals and practitioners that are able to improve their digital literacy, it eventually reflects in their living, learning, working and participating aspects as well in a digital society. A prime example of the aforementioned aspect can be seen currently, during the COVID-19 pandemic, the way health care professionals and practitioners have made use of technology to not only improve their service but adapt accordingly to the current situation. Singh et al. (2020) highlighted during the current station of the COVID-19 outbreak, technology became a key factor in the health care sector. One of the aspects that were highlighted was telemedicine. Telemedicine has been known to be an effective tool in controlling the spread of COVID-19 for health care professionals and practitioners. Health care professionals and practitioners were able to conduct video calls through which relevant medicines were prescribed as they took place in Canada (Narwani, 2020). On the other hand, in United Arab Emirates (UAE), a virtual doctor chatbot was launched by the UAE Ministry of Health and Prevention (MOHAP) to assess the potential coronavirus cases that were taking place in the country (Narwani, 2020). </w:t>
      </w:r>
    </w:p>
    <w:p w:rsidR="00394BCF" w:rsidRPr="00394BCF" w:rsidRDefault="00394BCF" w:rsidP="00394BCF">
      <w:pPr>
        <w:spacing w:after="160" w:line="240" w:lineRule="auto"/>
        <w:jc w:val="both"/>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Paragraph 5</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Technology also helped the health care professionals and practitioners during COVID-19 through the use of artificial intelligence (AI) in diagnostics. Golinelli et al. (2020) suggested that AI helped with rapid diagnosis and risk prediction related to COVID-19. An example was seen in China, where a cloud-based AI-assisted CT service was used to help in detecting the COVID-19 pneumonia cases. This particular technology helped health care professionals and practitioners in obtaining CT images in seconds, differentiating COVID-19 symptoms from other lung diseases and sped up the diagnostic process significantly (Narwani, 2020). </w:t>
      </w:r>
    </w:p>
    <w:p w:rsidR="00394BCF" w:rsidRPr="00394BCF" w:rsidRDefault="00394BCF" w:rsidP="00394BCF">
      <w:pPr>
        <w:spacing w:after="160" w:line="240" w:lineRule="auto"/>
        <w:jc w:val="both"/>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Paragraph 6</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In order to further improve the health care sector, the use of contemporary technology is the need for health care professionals and practitioners. It is imperative to note that with the rapid rise in technology, the health care sector needs to develop itself on a technological aspect. The three main aspects that need to be developed through the use of contemporary technology in healthcare are diagnostic, administrative and care support. Jutel and Lupton (2015) demonstrated that to improve the diagnostic aspect in the health care sector, a contemporary technology that can be used is the use of computerised provider order entry, along with medical imaging information systems. The use of computerised provider order entry would help the practitioners and professionals in the health care sector to maintain all records digitally. This would mean that any practitioner and professional would be able to access the data of any patient and make a diagnosis immediately, without having to wait for files. For the administrative purpose, the contemporary technology that can be implemented is developing safer medical procedures in a way that it would be cost-effective and require less time to carry out (Wager, Lee and Glaser, 2017). This would help in saving the time of patients as well as of practitioners and professionals. The practitioners and professionals would be able to cater to more patients in a short time, as well. In the area of care support, Archibald and Barnard (2018) mentioned that the contemporary technology that can be used is virtual care. Virtual care is a form of telehealth that offers a convenient way through which care providers’ focus on different health issues, condition management and specialty services. The health care professionals can evaluate different services that need to be provided to patients in the form of care and support. </w:t>
      </w:r>
    </w:p>
    <w:p w:rsidR="00394BCF" w:rsidRPr="00394BCF" w:rsidRDefault="00394BCF" w:rsidP="00394BCF">
      <w:pPr>
        <w:spacing w:after="160" w:line="240" w:lineRule="auto"/>
        <w:jc w:val="both"/>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Conclusion</w:t>
      </w:r>
    </w:p>
    <w:p w:rsidR="00394BCF" w:rsidRPr="00394BCF" w:rsidRDefault="00394BCF" w:rsidP="00394BCF">
      <w:pPr>
        <w:spacing w:after="160" w:line="240" w:lineRule="auto"/>
        <w:ind w:firstLine="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lastRenderedPageBreak/>
        <w:t>Technology has become a major part of every field, with the health care sector not being an exception. Health care practitioners and professionals have to make use of technology in their day-to-day operations, in order to make the sector further effective. There is a need for practitioners and professionals to improve their digital literacy to develop their professional careers, which can be done through the e-learning aspect and self-development. At the same time, the use of digital communication, collaboration and participation also help with ensuring that practitioners become aware of digital use in the health care sector. The notion of creating a digital identity of patients helps with the well-being and safety of each patient through the aspect of confidentiality and privacy. Moreover, technology has been a helpful factor during the COVID-19 for practitioners and professionals making access to health care easier for patients. The pandemic also helped the health care sector with using contemporary technology in the area of diagnostic, administrative and care support. The aforementioned notion emphasises that there is a severe need for practitioners and professionals in the health care sector to improve their digital literacy to be able to provide better services.</w:t>
      </w:r>
    </w:p>
    <w:p w:rsidR="00394BCF" w:rsidRPr="00394BCF" w:rsidRDefault="00394BCF" w:rsidP="00394BCF">
      <w:pPr>
        <w:spacing w:after="0" w:line="240" w:lineRule="auto"/>
        <w:rPr>
          <w:rFonts w:ascii="Times New Roman" w:eastAsia="Times New Roman" w:hAnsi="Times New Roman" w:cs="Times New Roman"/>
          <w:sz w:val="24"/>
          <w:szCs w:val="24"/>
          <w:lang w:eastAsia="en-GB"/>
        </w:rPr>
      </w:pPr>
    </w:p>
    <w:p w:rsidR="00394BCF" w:rsidRPr="00394BCF" w:rsidRDefault="00394BCF" w:rsidP="00394BCF">
      <w:pPr>
        <w:spacing w:after="160" w:line="240" w:lineRule="auto"/>
        <w:jc w:val="center"/>
        <w:rPr>
          <w:rFonts w:ascii="Times New Roman" w:eastAsia="Times New Roman" w:hAnsi="Times New Roman" w:cs="Times New Roman"/>
          <w:sz w:val="24"/>
          <w:szCs w:val="24"/>
          <w:lang w:eastAsia="en-GB"/>
        </w:rPr>
      </w:pPr>
      <w:r w:rsidRPr="00394BCF">
        <w:rPr>
          <w:rFonts w:ascii="Arial" w:eastAsia="Times New Roman" w:hAnsi="Arial" w:cs="Arial"/>
          <w:b/>
          <w:bCs/>
          <w:color w:val="000000"/>
          <w:lang w:eastAsia="en-GB"/>
        </w:rPr>
        <w:t>References</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Archibald, M.M. and Barnard, A., 2018. Futurism in nursing: Technology, robotics and the fundamentals of care. </w:t>
      </w:r>
      <w:r w:rsidRPr="00394BCF">
        <w:rPr>
          <w:rFonts w:ascii="Arial" w:eastAsia="Times New Roman" w:hAnsi="Arial" w:cs="Arial"/>
          <w:i/>
          <w:iCs/>
          <w:color w:val="000000"/>
          <w:lang w:eastAsia="en-GB"/>
        </w:rPr>
        <w:t>Journal of Clinical Nursing</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27</w:t>
      </w:r>
      <w:r w:rsidRPr="00394BCF">
        <w:rPr>
          <w:rFonts w:ascii="Arial" w:eastAsia="Times New Roman" w:hAnsi="Arial" w:cs="Arial"/>
          <w:color w:val="000000"/>
          <w:lang w:eastAsia="en-GB"/>
        </w:rPr>
        <w:t>(11-12), pp.2473-2480.</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Bashir, S. and Miyamoto, K., 2020. Digital Skills.</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Donelle, L. and Rootman, I., 2021. Improving the Health Literacy of Older Adults. </w:t>
      </w:r>
      <w:r w:rsidRPr="00394BCF">
        <w:rPr>
          <w:rFonts w:ascii="Arial" w:eastAsia="Times New Roman" w:hAnsi="Arial" w:cs="Arial"/>
          <w:i/>
          <w:iCs/>
          <w:color w:val="000000"/>
          <w:lang w:eastAsia="en-GB"/>
        </w:rPr>
        <w:t>Promoting the Health of Older Adults: The Canadian Experience</w:t>
      </w:r>
      <w:r w:rsidRPr="00394BCF">
        <w:rPr>
          <w:rFonts w:ascii="Arial" w:eastAsia="Times New Roman" w:hAnsi="Arial" w:cs="Arial"/>
          <w:color w:val="000000"/>
          <w:lang w:eastAsia="en-GB"/>
        </w:rPr>
        <w:t>, p.308.</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Golinelli, D., Boetto, E., Carullo, G., Nuzzolese, A.G., Landini, M.P. and Fantini, M.P., 2020. How the COVID-19 pandemic is favoring the adoption of digital technologies in healthcare: a literature review. </w:t>
      </w:r>
      <w:r w:rsidRPr="00394BCF">
        <w:rPr>
          <w:rFonts w:ascii="Arial" w:eastAsia="Times New Roman" w:hAnsi="Arial" w:cs="Arial"/>
          <w:i/>
          <w:iCs/>
          <w:color w:val="000000"/>
          <w:lang w:eastAsia="en-GB"/>
        </w:rPr>
        <w:t>MedRxiv</w:t>
      </w:r>
      <w:r w:rsidRPr="00394BCF">
        <w:rPr>
          <w:rFonts w:ascii="Arial" w:eastAsia="Times New Roman" w:hAnsi="Arial" w:cs="Arial"/>
          <w:color w:val="000000"/>
          <w:lang w:eastAsia="en-GB"/>
        </w:rPr>
        <w:t>.</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Holt, K.A., Overgaard, D., Engel, L.V. and Kayser, L., 2020. Health literacy, digital literacy and eHealth literacy in Danish nursing students at entry and graduate level: a cross sectional study. </w:t>
      </w:r>
      <w:r w:rsidRPr="00394BCF">
        <w:rPr>
          <w:rFonts w:ascii="Arial" w:eastAsia="Times New Roman" w:hAnsi="Arial" w:cs="Arial"/>
          <w:i/>
          <w:iCs/>
          <w:color w:val="000000"/>
          <w:lang w:eastAsia="en-GB"/>
        </w:rPr>
        <w:t>BMC nursing</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19</w:t>
      </w:r>
      <w:r w:rsidRPr="00394BCF">
        <w:rPr>
          <w:rFonts w:ascii="Arial" w:eastAsia="Times New Roman" w:hAnsi="Arial" w:cs="Arial"/>
          <w:color w:val="000000"/>
          <w:lang w:eastAsia="en-GB"/>
        </w:rPr>
        <w:t>(1), pp.1-12.</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Julien, H., 2018. Digital literacy in theory and practice. In </w:t>
      </w:r>
      <w:r w:rsidRPr="00394BCF">
        <w:rPr>
          <w:rFonts w:ascii="Arial" w:eastAsia="Times New Roman" w:hAnsi="Arial" w:cs="Arial"/>
          <w:i/>
          <w:iCs/>
          <w:color w:val="000000"/>
          <w:lang w:eastAsia="en-GB"/>
        </w:rPr>
        <w:t>Encyclopedia of Information Science and Technology, Fourth Edition</w:t>
      </w:r>
      <w:r w:rsidRPr="00394BCF">
        <w:rPr>
          <w:rFonts w:ascii="Arial" w:eastAsia="Times New Roman" w:hAnsi="Arial" w:cs="Arial"/>
          <w:color w:val="000000"/>
          <w:lang w:eastAsia="en-GB"/>
        </w:rPr>
        <w:t> (pp. 2243-2252). IGI Global.</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Jutel, A. and Lupton, D., 2015. Digitizing diagnosis: a review of mobile applications in the diagnostic process. </w:t>
      </w:r>
      <w:r w:rsidRPr="00394BCF">
        <w:rPr>
          <w:rFonts w:ascii="Arial" w:eastAsia="Times New Roman" w:hAnsi="Arial" w:cs="Arial"/>
          <w:i/>
          <w:iCs/>
          <w:color w:val="000000"/>
          <w:lang w:eastAsia="en-GB"/>
        </w:rPr>
        <w:t>Diagnosis</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2</w:t>
      </w:r>
      <w:r w:rsidRPr="00394BCF">
        <w:rPr>
          <w:rFonts w:ascii="Arial" w:eastAsia="Times New Roman" w:hAnsi="Arial" w:cs="Arial"/>
          <w:color w:val="000000"/>
          <w:lang w:eastAsia="en-GB"/>
        </w:rPr>
        <w:t>(2), pp.89-96.</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Kennedy, S. and Yaldren, J., 2017. A look at digital literacy in health and social care. </w:t>
      </w:r>
      <w:r w:rsidRPr="00394BCF">
        <w:rPr>
          <w:rFonts w:ascii="Arial" w:eastAsia="Times New Roman" w:hAnsi="Arial" w:cs="Arial"/>
          <w:i/>
          <w:iCs/>
          <w:color w:val="000000"/>
          <w:lang w:eastAsia="en-GB"/>
        </w:rPr>
        <w:t>British Journal of Cardiac Nursing</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12</w:t>
      </w:r>
      <w:r w:rsidRPr="00394BCF">
        <w:rPr>
          <w:rFonts w:ascii="Arial" w:eastAsia="Times New Roman" w:hAnsi="Arial" w:cs="Arial"/>
          <w:color w:val="000000"/>
          <w:lang w:eastAsia="en-GB"/>
        </w:rPr>
        <w:t>(9), pp.428-432.</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MacLure, K. and Stewart, D., 2016. Digital literacy knowledge and needs of pharmacy staff: a systematic review. </w:t>
      </w:r>
      <w:r w:rsidRPr="00394BCF">
        <w:rPr>
          <w:rFonts w:ascii="Arial" w:eastAsia="Times New Roman" w:hAnsi="Arial" w:cs="Arial"/>
          <w:i/>
          <w:iCs/>
          <w:color w:val="000000"/>
          <w:lang w:eastAsia="en-GB"/>
        </w:rPr>
        <w:t>Journal of innovation in health informatics</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23</w:t>
      </w:r>
      <w:r w:rsidRPr="00394BCF">
        <w:rPr>
          <w:rFonts w:ascii="Arial" w:eastAsia="Times New Roman" w:hAnsi="Arial" w:cs="Arial"/>
          <w:color w:val="000000"/>
          <w:lang w:eastAsia="en-GB"/>
        </w:rPr>
        <w:t>(3).</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Mohammadyari, S. and Singh, H., 2015. Understanding the effect of e-learning on individual performance: The role of digital literacy. </w:t>
      </w:r>
      <w:r w:rsidRPr="00394BCF">
        <w:rPr>
          <w:rFonts w:ascii="Arial" w:eastAsia="Times New Roman" w:hAnsi="Arial" w:cs="Arial"/>
          <w:i/>
          <w:iCs/>
          <w:color w:val="000000"/>
          <w:lang w:eastAsia="en-GB"/>
        </w:rPr>
        <w:t>Computers &amp; Education</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82</w:t>
      </w:r>
      <w:r w:rsidRPr="00394BCF">
        <w:rPr>
          <w:rFonts w:ascii="Arial" w:eastAsia="Times New Roman" w:hAnsi="Arial" w:cs="Arial"/>
          <w:color w:val="000000"/>
          <w:lang w:eastAsia="en-GB"/>
        </w:rPr>
        <w:t>, pp.11-25.</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Narwani, D., 2020. Healthcare technology trends accelerated by COVID-19. [Online]. Accessed from &lt; https://insights.omnia-health.com/technology/healthcare-technology-trends-accelerated-covid-19&gt; [4 September 2021]</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Rafi, M., JianMing, Z. and Ahmad, K., 2019. Technology integration for students’ information and digital literacy education in academic libraries. </w:t>
      </w:r>
      <w:r w:rsidRPr="00394BCF">
        <w:rPr>
          <w:rFonts w:ascii="Arial" w:eastAsia="Times New Roman" w:hAnsi="Arial" w:cs="Arial"/>
          <w:i/>
          <w:iCs/>
          <w:color w:val="000000"/>
          <w:lang w:eastAsia="en-GB"/>
        </w:rPr>
        <w:t>Information Discovery and Delivery</w:t>
      </w:r>
      <w:r w:rsidRPr="00394BCF">
        <w:rPr>
          <w:rFonts w:ascii="Arial" w:eastAsia="Times New Roman" w:hAnsi="Arial" w:cs="Arial"/>
          <w:color w:val="000000"/>
          <w:lang w:eastAsia="en-GB"/>
        </w:rPr>
        <w:t>.</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Sherwood, R.J., 2017. Supporting elearners by increasing digital literacy skills in healthcare educators. </w:t>
      </w:r>
      <w:r w:rsidRPr="00394BCF">
        <w:rPr>
          <w:rFonts w:ascii="Arial" w:eastAsia="Times New Roman" w:hAnsi="Arial" w:cs="Arial"/>
          <w:i/>
          <w:iCs/>
          <w:color w:val="000000"/>
          <w:lang w:eastAsia="en-GB"/>
        </w:rPr>
        <w:t>Compass: Journal of Learning and Teaching</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10</w:t>
      </w:r>
      <w:r w:rsidRPr="00394BCF">
        <w:rPr>
          <w:rFonts w:ascii="Arial" w:eastAsia="Times New Roman" w:hAnsi="Arial" w:cs="Arial"/>
          <w:color w:val="000000"/>
          <w:lang w:eastAsia="en-GB"/>
        </w:rPr>
        <w:t>(1).</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lastRenderedPageBreak/>
        <w:t>Singh, R.P., Javaid, M., Haleem, A., Vaishya, R. and Bahl, S., 2020. Significance of Health Information Technology (HIT) in context to COVID-19 pandemic: Potential roles and challenges. </w:t>
      </w:r>
      <w:r w:rsidRPr="00394BCF">
        <w:rPr>
          <w:rFonts w:ascii="Arial" w:eastAsia="Times New Roman" w:hAnsi="Arial" w:cs="Arial"/>
          <w:i/>
          <w:iCs/>
          <w:color w:val="000000"/>
          <w:lang w:eastAsia="en-GB"/>
        </w:rPr>
        <w:t>Journal of Industrial Integration and Management</w:t>
      </w:r>
      <w:r w:rsidRPr="00394BCF">
        <w:rPr>
          <w:rFonts w:ascii="Arial" w:eastAsia="Times New Roman" w:hAnsi="Arial" w:cs="Arial"/>
          <w:color w:val="000000"/>
          <w:lang w:eastAsia="en-GB"/>
        </w:rPr>
        <w:t>, </w:t>
      </w:r>
      <w:r w:rsidRPr="00394BCF">
        <w:rPr>
          <w:rFonts w:ascii="Arial" w:eastAsia="Times New Roman" w:hAnsi="Arial" w:cs="Arial"/>
          <w:i/>
          <w:iCs/>
          <w:color w:val="000000"/>
          <w:lang w:eastAsia="en-GB"/>
        </w:rPr>
        <w:t>5</w:t>
      </w:r>
      <w:r w:rsidRPr="00394BCF">
        <w:rPr>
          <w:rFonts w:ascii="Arial" w:eastAsia="Times New Roman" w:hAnsi="Arial" w:cs="Arial"/>
          <w:color w:val="000000"/>
          <w:lang w:eastAsia="en-GB"/>
        </w:rPr>
        <w:t>(4), pp.427-440.</w:t>
      </w:r>
    </w:p>
    <w:p w:rsidR="00394BCF" w:rsidRPr="00394BCF" w:rsidRDefault="00394BCF" w:rsidP="00394BCF">
      <w:pPr>
        <w:spacing w:after="160" w:line="240" w:lineRule="auto"/>
        <w:ind w:left="-720" w:hanging="720"/>
        <w:jc w:val="both"/>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Wager, K.A., Lee, F.W. and Glaser, J.P., 2017. </w:t>
      </w:r>
      <w:r w:rsidRPr="00394BCF">
        <w:rPr>
          <w:rFonts w:ascii="Arial" w:eastAsia="Times New Roman" w:hAnsi="Arial" w:cs="Arial"/>
          <w:i/>
          <w:iCs/>
          <w:color w:val="000000"/>
          <w:lang w:eastAsia="en-GB"/>
        </w:rPr>
        <w:t>Health care information systems: a practical approach for health care management</w:t>
      </w:r>
      <w:r w:rsidRPr="00394BCF">
        <w:rPr>
          <w:rFonts w:ascii="Arial" w:eastAsia="Times New Roman" w:hAnsi="Arial" w:cs="Arial"/>
          <w:color w:val="000000"/>
          <w:lang w:eastAsia="en-GB"/>
        </w:rPr>
        <w:t>. John Wiley &amp; Sons.</w:t>
      </w:r>
    </w:p>
    <w:p w:rsidR="00394BCF" w:rsidRPr="00394BCF" w:rsidRDefault="00394BCF" w:rsidP="00394BCF">
      <w:pPr>
        <w:spacing w:after="160" w:line="240" w:lineRule="auto"/>
        <w:rPr>
          <w:rFonts w:ascii="Times New Roman" w:eastAsia="Times New Roman" w:hAnsi="Times New Roman" w:cs="Times New Roman"/>
          <w:sz w:val="24"/>
          <w:szCs w:val="24"/>
          <w:lang w:eastAsia="en-GB"/>
        </w:rPr>
      </w:pPr>
      <w:r w:rsidRPr="00394BCF">
        <w:rPr>
          <w:rFonts w:ascii="Arial" w:eastAsia="Times New Roman" w:hAnsi="Arial" w:cs="Arial"/>
          <w:color w:val="000000"/>
          <w:lang w:eastAsia="en-GB"/>
        </w:rPr>
        <w:t> </w:t>
      </w:r>
    </w:p>
    <w:p w:rsidR="007B4644" w:rsidRDefault="007B4644"/>
    <w:sectPr w:rsidR="007B4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4BCF"/>
    <w:rsid w:val="00394BCF"/>
    <w:rsid w:val="007B4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4B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94B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BC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4B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94B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B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4390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1871</Words>
  <Characters>10669</Characters>
  <Application>Microsoft Office Word</Application>
  <DocSecurity>0</DocSecurity>
  <Lines>88</Lines>
  <Paragraphs>25</Paragraphs>
  <ScaleCrop>false</ScaleCrop>
  <Company/>
  <LinksUpToDate>false</LinksUpToDate>
  <CharactersWithSpaces>12515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dc:creator>
  <cp:lastModifiedBy>CC</cp:lastModifiedBy>
  <cp:revision>1</cp:revision>
  <dcterms:created xsi:type="dcterms:W3CDTF">2021-09-05T17:45:00Z</dcterms:created>
  <dcterms:modified xsi:type="dcterms:W3CDTF">2021-09-05T17:48:00Z</dcterms:modified>
</cp:coreProperties>
</file>