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DD87EA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B53C6">
              <w:rPr>
                <w:b/>
                <w:color w:val="auto"/>
                <w:sz w:val="32"/>
              </w:rPr>
              <w:t>Callum Rees</w:t>
            </w:r>
            <w:r>
              <w:rPr>
                <w:b/>
                <w:color w:val="auto"/>
                <w:sz w:val="32"/>
              </w:rPr>
              <w:t>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3A250CE" w:rsidR="00575A8F" w:rsidRDefault="002E283A" w:rsidP="00E6298B">
            <w:pPr>
              <w:overflowPunct/>
              <w:autoSpaceDE/>
              <w:autoSpaceDN/>
              <w:adjustRightInd/>
              <w:ind w:right="107"/>
              <w:textAlignment w:val="auto"/>
              <w:rPr>
                <w:b/>
                <w:color w:val="auto"/>
                <w:sz w:val="32"/>
              </w:rPr>
            </w:pPr>
            <w:r>
              <w:rPr>
                <w:b/>
                <w:color w:val="auto"/>
                <w:sz w:val="32"/>
              </w:rPr>
              <w:t>2222281</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6084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6084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6084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6084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6084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6084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6084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6084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6084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6084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6084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6084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0768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4D329098" w14:textId="77777777" w:rsidR="00F61F1A" w:rsidRDefault="00F61F1A" w:rsidP="00E6298B">
      <w:pPr>
        <w:ind w:right="107"/>
        <w:jc w:val="both"/>
        <w:rPr>
          <w:b/>
          <w:sz w:val="24"/>
          <w:szCs w:val="24"/>
        </w:rPr>
      </w:pPr>
    </w:p>
    <w:p w14:paraId="1676FF6B" w14:textId="77777777" w:rsidR="00F61F1A" w:rsidRPr="007A629F" w:rsidRDefault="00F61F1A" w:rsidP="00F61F1A">
      <w:pPr>
        <w:spacing w:line="480" w:lineRule="auto"/>
        <w:rPr>
          <w:sz w:val="24"/>
          <w:szCs w:val="24"/>
        </w:rPr>
      </w:pPr>
      <w:r w:rsidRPr="007A629F">
        <w:rPr>
          <w:sz w:val="24"/>
          <w:szCs w:val="24"/>
        </w:rPr>
        <w:t>In this essay will be discussing and comparing the coping strategies that I have used during my initial 6 months training, since being attested as a police constable, to cope with and manage stress and build resilience. I will be reflecting on two strategies that I have implemented using Borton (1970) reflective model. I will then compare each method and identify which one I found most effective and why. The two strategies I have used during this time are playing competitive football at local league level and undertaking resistance and cardi</w:t>
      </w:r>
      <w:r>
        <w:rPr>
          <w:sz w:val="24"/>
          <w:szCs w:val="24"/>
        </w:rPr>
        <w:t>o-</w:t>
      </w:r>
      <w:r w:rsidRPr="007A629F">
        <w:rPr>
          <w:sz w:val="24"/>
          <w:szCs w:val="24"/>
        </w:rPr>
        <w:t xml:space="preserve">vascular training at the gym. </w:t>
      </w:r>
    </w:p>
    <w:p w14:paraId="6E317779" w14:textId="77777777" w:rsidR="00F61F1A" w:rsidRPr="00D137EE" w:rsidRDefault="00F61F1A" w:rsidP="00F61F1A">
      <w:pPr>
        <w:spacing w:line="480" w:lineRule="auto"/>
        <w:rPr>
          <w:sz w:val="24"/>
          <w:szCs w:val="24"/>
        </w:rPr>
      </w:pPr>
      <w:r>
        <w:rPr>
          <w:sz w:val="24"/>
          <w:szCs w:val="24"/>
        </w:rPr>
        <w:t>Bortons method for reflecting on action is comprised of three sections. The first section is “what?” This is the focus of the reflection. In this case it is stress caused by 6 months of training school and final examinations and what I have done to build resilience towards this. In order to build resilience and negate stress a sound understanding “what?” they are must first be considered. Secondly, “So what?” This section relates to the types of methodology I have used to do this, and the theory that underpins my decision making in this area. Finally, “now what?” this is where I will reflect upon what has worked well and what has not and compare the similarities or differences between my chosen coping strategies as well as discussing what I can bring forward into the next stage of my career.</w:t>
      </w:r>
    </w:p>
    <w:p w14:paraId="7AC1415C" w14:textId="35A8B3AF" w:rsidR="00F61F1A" w:rsidRPr="007A629F" w:rsidRDefault="00F61F1A" w:rsidP="00F61F1A">
      <w:pPr>
        <w:spacing w:line="480" w:lineRule="auto"/>
        <w:rPr>
          <w:sz w:val="24"/>
          <w:szCs w:val="24"/>
        </w:rPr>
      </w:pPr>
      <w:r w:rsidRPr="007A629F">
        <w:rPr>
          <w:sz w:val="24"/>
          <w:szCs w:val="24"/>
        </w:rPr>
        <w:lastRenderedPageBreak/>
        <w:t>Resilience can be considered one of the most importance tools for maintain health and well-being for any law enforcement officer. According to McCanlies et al. (2014) the presence of resilience is paramount for officers to adapt to and cope with a range of stressors that are unfortunately part of the job, this includes things like maintaining a work – life balance, responding to traumatic and challenging scenarios and dealing with organizational stressors (Van Der Velden et al, 2010). However vital resilience is considered to be it is worth noting that resilience does not prevent these type of incidents occurring in the first place but allows officer to recover more quickly from traumatic experiences, reflect on and learn from negative experiences and avoid bringing the stressors of work life into personal life</w:t>
      </w:r>
      <w:r w:rsidR="00F60844">
        <w:rPr>
          <w:sz w:val="24"/>
          <w:szCs w:val="24"/>
        </w:rPr>
        <w:t>.</w:t>
      </w:r>
    </w:p>
    <w:p w14:paraId="62F54F8B" w14:textId="77777777" w:rsidR="00F61F1A" w:rsidRPr="007A629F" w:rsidRDefault="00F61F1A" w:rsidP="00F61F1A">
      <w:pPr>
        <w:spacing w:line="480" w:lineRule="auto"/>
        <w:rPr>
          <w:sz w:val="24"/>
          <w:szCs w:val="24"/>
        </w:rPr>
      </w:pPr>
    </w:p>
    <w:p w14:paraId="77F981B3" w14:textId="77777777" w:rsidR="00F61F1A" w:rsidRDefault="00F61F1A" w:rsidP="00F61F1A">
      <w:pPr>
        <w:spacing w:line="480" w:lineRule="auto"/>
        <w:rPr>
          <w:sz w:val="24"/>
          <w:szCs w:val="24"/>
        </w:rPr>
      </w:pPr>
      <w:r w:rsidRPr="007A629F">
        <w:rPr>
          <w:sz w:val="24"/>
          <w:szCs w:val="24"/>
        </w:rPr>
        <w:t xml:space="preserve">The work of Fletcher et al, </w:t>
      </w:r>
      <w:r>
        <w:rPr>
          <w:sz w:val="24"/>
          <w:szCs w:val="24"/>
        </w:rPr>
        <w:t>(</w:t>
      </w:r>
      <w:r w:rsidRPr="007A629F">
        <w:rPr>
          <w:sz w:val="24"/>
          <w:szCs w:val="24"/>
        </w:rPr>
        <w:t>2006</w:t>
      </w:r>
      <w:r>
        <w:rPr>
          <w:sz w:val="24"/>
          <w:szCs w:val="24"/>
        </w:rPr>
        <w:t>)</w:t>
      </w:r>
      <w:r w:rsidRPr="007A629F">
        <w:rPr>
          <w:sz w:val="24"/>
          <w:szCs w:val="24"/>
        </w:rPr>
        <w:t xml:space="preserve"> outlines how can stress may be perceived as a state of worry or mental tension that comes because of how a person interacts with their environment, appraising their situation and attempting to cope without whatever issues may arise off the back of said situation.  </w:t>
      </w:r>
      <w:r>
        <w:rPr>
          <w:sz w:val="24"/>
          <w:szCs w:val="24"/>
        </w:rPr>
        <w:t xml:space="preserve">Thellwell et al, (2007) explain how </w:t>
      </w:r>
      <w:r w:rsidRPr="007A629F">
        <w:rPr>
          <w:sz w:val="24"/>
          <w:szCs w:val="24"/>
        </w:rPr>
        <w:t xml:space="preserve">stress </w:t>
      </w:r>
      <w:r>
        <w:rPr>
          <w:sz w:val="24"/>
          <w:szCs w:val="24"/>
        </w:rPr>
        <w:t>has</w:t>
      </w:r>
      <w:r w:rsidRPr="007A629F">
        <w:rPr>
          <w:sz w:val="24"/>
          <w:szCs w:val="24"/>
        </w:rPr>
        <w:t xml:space="preserve"> a negative influence </w:t>
      </w:r>
      <w:r>
        <w:rPr>
          <w:sz w:val="24"/>
          <w:szCs w:val="24"/>
        </w:rPr>
        <w:t>people</w:t>
      </w:r>
      <w:r w:rsidRPr="007A629F">
        <w:rPr>
          <w:sz w:val="24"/>
          <w:szCs w:val="24"/>
        </w:rPr>
        <w:t xml:space="preserve"> when there is a perceived imbalance between the demands </w:t>
      </w:r>
      <w:r>
        <w:rPr>
          <w:sz w:val="24"/>
          <w:szCs w:val="24"/>
        </w:rPr>
        <w:t>faced</w:t>
      </w:r>
      <w:r w:rsidRPr="007A629F">
        <w:rPr>
          <w:sz w:val="24"/>
          <w:szCs w:val="24"/>
        </w:rPr>
        <w:t xml:space="preserve"> </w:t>
      </w:r>
      <w:r>
        <w:rPr>
          <w:sz w:val="24"/>
          <w:szCs w:val="24"/>
        </w:rPr>
        <w:t>by an individual</w:t>
      </w:r>
      <w:r w:rsidRPr="007A629F">
        <w:rPr>
          <w:sz w:val="24"/>
          <w:szCs w:val="24"/>
        </w:rPr>
        <w:t xml:space="preserve"> and their ability to </w:t>
      </w:r>
      <w:r>
        <w:rPr>
          <w:sz w:val="24"/>
          <w:szCs w:val="24"/>
        </w:rPr>
        <w:t xml:space="preserve">deploy </w:t>
      </w:r>
      <w:r w:rsidRPr="007A629F">
        <w:rPr>
          <w:sz w:val="24"/>
          <w:szCs w:val="24"/>
        </w:rPr>
        <w:t xml:space="preserve">coping </w:t>
      </w:r>
      <w:r>
        <w:rPr>
          <w:sz w:val="24"/>
          <w:szCs w:val="24"/>
        </w:rPr>
        <w:t>methods</w:t>
      </w:r>
      <w:r w:rsidRPr="007A629F">
        <w:rPr>
          <w:sz w:val="24"/>
          <w:szCs w:val="24"/>
        </w:rPr>
        <w:t xml:space="preserve">. This highlights the importance of the relationship between dealing with stress and being resilient. </w:t>
      </w:r>
    </w:p>
    <w:p w14:paraId="39F1BA0C" w14:textId="77777777" w:rsidR="00F61F1A" w:rsidRDefault="00F61F1A" w:rsidP="00F61F1A">
      <w:pPr>
        <w:spacing w:line="480" w:lineRule="auto"/>
        <w:rPr>
          <w:sz w:val="24"/>
          <w:szCs w:val="24"/>
        </w:rPr>
      </w:pPr>
      <w:r>
        <w:rPr>
          <w:sz w:val="24"/>
          <w:szCs w:val="24"/>
        </w:rPr>
        <w:t xml:space="preserve">The first method I used to reduce stress was exercising in the gym. This would mainly consist of resistance training. One of my main stressors during training was not just being fit enough to pass fitness tests and complete officer safety training but to be fit enough to excel in these areas to carry out the job effectively and keep myself and colleague safe on the job. </w:t>
      </w:r>
    </w:p>
    <w:p w14:paraId="097B282B" w14:textId="77777777" w:rsidR="00F61F1A" w:rsidRDefault="00F61F1A" w:rsidP="00F61F1A">
      <w:pPr>
        <w:spacing w:line="480" w:lineRule="auto"/>
        <w:rPr>
          <w:sz w:val="24"/>
          <w:szCs w:val="24"/>
        </w:rPr>
      </w:pPr>
      <w:r>
        <w:rPr>
          <w:sz w:val="24"/>
          <w:szCs w:val="24"/>
        </w:rPr>
        <w:t xml:space="preserve">A study conducted by Gordon et al, (2020) concluded that strength training reduced the levels of perceived stress by a minimum of 20% in participants of the study. The </w:t>
      </w:r>
      <w:r>
        <w:rPr>
          <w:sz w:val="24"/>
          <w:szCs w:val="24"/>
        </w:rPr>
        <w:lastRenderedPageBreak/>
        <w:t xml:space="preserve">researchers believed that consistent strength training promotes feelings of mastery and coping skills as a result of increased belief in participants’ capabilities. </w:t>
      </w:r>
    </w:p>
    <w:p w14:paraId="54C0A9E0" w14:textId="77777777" w:rsidR="00F61F1A" w:rsidRPr="00D137EE" w:rsidRDefault="00F61F1A" w:rsidP="00F61F1A">
      <w:pPr>
        <w:spacing w:line="480" w:lineRule="auto"/>
        <w:rPr>
          <w:sz w:val="24"/>
          <w:szCs w:val="24"/>
        </w:rPr>
      </w:pPr>
      <w:r>
        <w:rPr>
          <w:sz w:val="24"/>
          <w:szCs w:val="24"/>
        </w:rPr>
        <w:t>Weight training allowed me to set goals to track my improvements, goal setting in itself is a way to relieve stress, Wienberg (2013) describes how setting goals on along the way to a desired outcomes allows you break the journey down into smaller manageable chunks which results in a reductions of anxiety levels and alleviates the perception of becoming overwhelmed with a task. Once I had a sound understanding of this, I was able to use in my police training when studying for my exams. I believe that this method was the most successful of the two and is certainly something I will take forward into the rest of policing career. Working out before I started training school each morning set me up for the day and achieving my goals in the gym gave me a sense of achievement and motivation that I was able to carry forward into the work required in training school</w:t>
      </w:r>
    </w:p>
    <w:p w14:paraId="7E41CF50" w14:textId="77777777" w:rsidR="00F61F1A" w:rsidRDefault="00F61F1A" w:rsidP="00F61F1A">
      <w:pPr>
        <w:spacing w:line="480" w:lineRule="auto"/>
        <w:rPr>
          <w:b/>
          <w:bCs/>
          <w:sz w:val="24"/>
          <w:szCs w:val="24"/>
        </w:rPr>
      </w:pPr>
    </w:p>
    <w:p w14:paraId="3DBB2134" w14:textId="77777777" w:rsidR="00F61F1A" w:rsidRDefault="00F61F1A" w:rsidP="00F61F1A">
      <w:pPr>
        <w:spacing w:line="480" w:lineRule="auto"/>
        <w:rPr>
          <w:sz w:val="24"/>
          <w:szCs w:val="24"/>
        </w:rPr>
      </w:pPr>
      <w:r>
        <w:rPr>
          <w:sz w:val="24"/>
          <w:szCs w:val="24"/>
        </w:rPr>
        <w:t xml:space="preserve">The second strategy is used to release stress and build resilience was playing competitive football. This is something I have done for years. Similarly to weight training in the gym, playing football is a form of exercise, albeit with more of a focus on cardio vascular training. Research carried out by Miller et al., (2013) finds that aerobic activity can reduce the amount of cortisol and adrenaline in the body, these are the hormones that cause stress. Further research into the work of Caplin et al, (2021) carries on from this and explains how regular cardio vascular training can increase the level of endorphins found in the body which act as mood elevators and natural painkillers. This is often referred to as runners high. As I do not particularly enjoy running as a hobby, I prefer to hide it in team sports but still achieve the same benefits. Playing a team sport like football also brings with it a social element, Ozbay et al., (2007) argue that a positive social network is key to enhancing resilience to stress as it promotes a protective support system to developing trauma-related </w:t>
      </w:r>
      <w:r>
        <w:rPr>
          <w:sz w:val="24"/>
          <w:szCs w:val="24"/>
        </w:rPr>
        <w:lastRenderedPageBreak/>
        <w:t xml:space="preserve">psychopathology and decreases the functional consequences of dealing with post traumatic stress disorder. Both of which are known to be very prevalent in this line of work. However positive the effects of the exercise and social elements were at reducing my stress levels it worth noting that playing football brought its own stressors. McEwan et al., (2020) highlights how playing sports can be associated with competitive stressors such as pressure of big games, competition for places in the team and of course, winning or losing. Unfortunately this is a sacrifice that has to be made not just for sports but for many things in life, stress as cannot be avoided but resilience can be sought after in order to negate stress. This only makes it more paramount that I keep finding new ways to improve my levels of resilience when I move into an ever changing and demanding environment that is policing. </w:t>
      </w:r>
    </w:p>
    <w:p w14:paraId="62B4081E" w14:textId="77777777" w:rsidR="00F61F1A" w:rsidRDefault="00F61F1A" w:rsidP="00E6298B">
      <w:pPr>
        <w:ind w:right="107"/>
        <w:jc w:val="both"/>
        <w:rPr>
          <w:b/>
          <w:sz w:val="24"/>
          <w:szCs w:val="24"/>
        </w:rPr>
      </w:pPr>
    </w:p>
    <w:p w14:paraId="69714EA9" w14:textId="77777777" w:rsidR="00F61F1A" w:rsidRDefault="00F61F1A" w:rsidP="00E6298B">
      <w:pPr>
        <w:ind w:right="107"/>
        <w:jc w:val="both"/>
        <w:rPr>
          <w:b/>
          <w:sz w:val="24"/>
          <w:szCs w:val="24"/>
        </w:rPr>
      </w:pPr>
    </w:p>
    <w:p w14:paraId="21D57F07" w14:textId="2FA85FD6" w:rsidR="00F61F1A" w:rsidRPr="00025650" w:rsidRDefault="00F61F1A" w:rsidP="00E6298B">
      <w:pPr>
        <w:ind w:right="107"/>
        <w:jc w:val="both"/>
        <w:rPr>
          <w:b/>
          <w:sz w:val="24"/>
          <w:szCs w:val="24"/>
        </w:rPr>
      </w:pPr>
      <w:r>
        <w:rPr>
          <w:b/>
          <w:sz w:val="24"/>
          <w:szCs w:val="24"/>
        </w:rPr>
        <w:t>1076 WORDS</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4B25F1C3" w:rsidR="00AA666E" w:rsidRPr="00C345D5" w:rsidRDefault="003B2A14" w:rsidP="00E6298B">
      <w:pPr>
        <w:ind w:right="107"/>
        <w:jc w:val="both"/>
        <w:rPr>
          <w:b/>
          <w:sz w:val="24"/>
          <w:szCs w:val="24"/>
        </w:rPr>
      </w:pPr>
      <w:r w:rsidRPr="00450C83">
        <w:rPr>
          <w:b/>
          <w:sz w:val="24"/>
          <w:szCs w:val="24"/>
        </w:rPr>
        <w:t>ANSWER:</w:t>
      </w:r>
    </w:p>
    <w:p w14:paraId="607A0D29" w14:textId="77777777" w:rsidR="00AA666E" w:rsidRPr="00270EEB" w:rsidRDefault="00AA666E" w:rsidP="00E6298B">
      <w:pPr>
        <w:ind w:right="107"/>
        <w:jc w:val="both"/>
        <w:rPr>
          <w:sz w:val="24"/>
          <w:szCs w:val="24"/>
        </w:rPr>
      </w:pPr>
    </w:p>
    <w:p w14:paraId="71DE359E" w14:textId="77777777" w:rsidR="00F61F1A" w:rsidRPr="00C345D5" w:rsidRDefault="00F61F1A" w:rsidP="00F61F1A">
      <w:pPr>
        <w:spacing w:line="480" w:lineRule="auto"/>
        <w:jc w:val="both"/>
        <w:rPr>
          <w:sz w:val="24"/>
          <w:szCs w:val="24"/>
        </w:rPr>
      </w:pPr>
      <w:r w:rsidRPr="00C345D5">
        <w:rPr>
          <w:sz w:val="24"/>
          <w:szCs w:val="24"/>
        </w:rPr>
        <w:t xml:space="preserve">In this essay I will be reflecting upon a policing incident I have undertaken that has involved an element of conflict and the theory that underpins the causes of conflict in a policing context whilst critically assessing the use of social and legislative contexts in relation to the call. I will be exploring the existence of conflict in the policing environment and the importance of communication in dealing with that conflict.  I will utilize Gibbs (1988) model of reflection to critically reflect on my involvement in this policing incident. </w:t>
      </w:r>
    </w:p>
    <w:p w14:paraId="74BBDF76" w14:textId="77777777" w:rsidR="00F61F1A" w:rsidRPr="00C345D5" w:rsidRDefault="00F61F1A" w:rsidP="00F61F1A">
      <w:pPr>
        <w:spacing w:line="480" w:lineRule="auto"/>
        <w:jc w:val="both"/>
        <w:rPr>
          <w:sz w:val="24"/>
          <w:szCs w:val="24"/>
        </w:rPr>
      </w:pPr>
    </w:p>
    <w:p w14:paraId="6678B5D0" w14:textId="77777777" w:rsidR="00F61F1A" w:rsidRPr="00C345D5" w:rsidRDefault="00F61F1A" w:rsidP="00F61F1A">
      <w:pPr>
        <w:spacing w:line="480" w:lineRule="auto"/>
        <w:jc w:val="both"/>
        <w:rPr>
          <w:color w:val="000000" w:themeColor="text1"/>
          <w:sz w:val="24"/>
          <w:szCs w:val="24"/>
        </w:rPr>
      </w:pPr>
      <w:r w:rsidRPr="00C345D5">
        <w:rPr>
          <w:sz w:val="24"/>
          <w:szCs w:val="24"/>
        </w:rPr>
        <w:t xml:space="preserve">Due to the nature of the job police officers can be expected to deal with </w:t>
      </w:r>
      <w:r w:rsidRPr="00C345D5">
        <w:rPr>
          <w:color w:val="000000" w:themeColor="text1"/>
          <w:sz w:val="24"/>
          <w:szCs w:val="24"/>
        </w:rPr>
        <w:t>confrontational scenarios at work almost on a daily basis. In fact Fielding (2017) questions where conflict is becoming society’s normal state when it comes to a policing context. The Oxford Dictionary (2023) defines conflict as being “a serious disagreement or argument, typically protracted</w:t>
      </w:r>
      <w:r w:rsidRPr="00C345D5">
        <w:rPr>
          <w:rStyle w:val="apple-converted-space"/>
          <w:color w:val="000000" w:themeColor="text1"/>
          <w:sz w:val="24"/>
          <w:szCs w:val="24"/>
        </w:rPr>
        <w:t> </w:t>
      </w:r>
      <w:r w:rsidRPr="00C345D5">
        <w:rPr>
          <w:color w:val="000000" w:themeColor="text1"/>
          <w:sz w:val="24"/>
          <w:szCs w:val="24"/>
        </w:rPr>
        <w:t xml:space="preserve">one.” Conflict scenarios can be anything from a verbal disagreement between an officer over a simple demand to an officer getting hands on in order to arrest a person. </w:t>
      </w:r>
      <w:r w:rsidRPr="00C345D5">
        <w:rPr>
          <w:color w:val="000000" w:themeColor="text1"/>
          <w:sz w:val="24"/>
          <w:szCs w:val="24"/>
        </w:rPr>
        <w:lastRenderedPageBreak/>
        <w:t xml:space="preserve">Communication can be key to remedying conflict situations, or rather avoiding poor communication. According to Katz (2020) active listening, showing empathy and compassion and asking questions can all have a positive affect on conflict management. However, unfortunately the conflict can be so strong that police officers have to use force in order to see a resolution whether that be in the form of effecting an arrest, removing a member of the public from an area or physical restraining a person. </w:t>
      </w:r>
    </w:p>
    <w:p w14:paraId="3FE3E7D2" w14:textId="77777777" w:rsidR="00F61F1A" w:rsidRPr="00C345D5" w:rsidRDefault="00F61F1A" w:rsidP="00F61F1A">
      <w:pPr>
        <w:spacing w:line="480" w:lineRule="auto"/>
        <w:jc w:val="both"/>
        <w:rPr>
          <w:sz w:val="24"/>
          <w:szCs w:val="24"/>
        </w:rPr>
      </w:pPr>
    </w:p>
    <w:p w14:paraId="2541356A" w14:textId="77777777" w:rsidR="00F61F1A" w:rsidRPr="00C345D5" w:rsidRDefault="00F61F1A" w:rsidP="00F61F1A">
      <w:pPr>
        <w:spacing w:line="480" w:lineRule="auto"/>
        <w:jc w:val="both"/>
        <w:rPr>
          <w:sz w:val="24"/>
          <w:szCs w:val="24"/>
        </w:rPr>
      </w:pPr>
      <w:r w:rsidRPr="00C345D5">
        <w:rPr>
          <w:sz w:val="24"/>
          <w:szCs w:val="24"/>
        </w:rPr>
        <w:t xml:space="preserve">The incident I will be reflecting upon originated as a welfare check on a young male who lives in the care system. The care home had called 999 as the male had locked himself inside his room and was not engaging with staff. Staff explained this had happened on another occasion and the male found attempting suicide. There was no history of mental health or medication that would affect the male in anyway. When we arrived, the male had locked his door and barricaded himself in the room. Following numerous attempts to reason with the male we forced entry and found him sitting behind the door. He refused to engage with officers just like he had done with staff and had his hood covering his face sat with his head between his knees. The room was filled with clutter and food packaging as well as a number of empty cans of alcohol. Upon using the five step appeal the male would still not engage with myself to assess his current mental state, as a result force was used to stand the male up in order to assess him. This led to a physical altercation where the male has lashed out at myself and other officers, he was subsequently placed in handcuffs for his protection and ours. He began to engage with officers but only about the altercation not his mental state. At this point he was detained under the mental capacity act and a further five step appeal was utilized. It was again unsuccessful and the male began kicking out at officers, again force was used to remove the male from the property and escort him to the nearest hospital for a mental health assessment. </w:t>
      </w:r>
    </w:p>
    <w:p w14:paraId="51AAD9FB" w14:textId="77777777" w:rsidR="00F61F1A" w:rsidRPr="00C345D5" w:rsidRDefault="00F61F1A" w:rsidP="00F61F1A">
      <w:pPr>
        <w:spacing w:line="480" w:lineRule="auto"/>
        <w:jc w:val="both"/>
        <w:rPr>
          <w:sz w:val="24"/>
          <w:szCs w:val="24"/>
        </w:rPr>
      </w:pPr>
    </w:p>
    <w:p w14:paraId="22794E0C" w14:textId="77777777" w:rsidR="00F61F1A" w:rsidRPr="00C345D5" w:rsidRDefault="00F61F1A" w:rsidP="00F61F1A">
      <w:pPr>
        <w:spacing w:line="480" w:lineRule="auto"/>
        <w:jc w:val="both"/>
        <w:rPr>
          <w:sz w:val="24"/>
          <w:szCs w:val="24"/>
        </w:rPr>
      </w:pPr>
      <w:r w:rsidRPr="00C345D5">
        <w:rPr>
          <w:sz w:val="24"/>
          <w:szCs w:val="24"/>
        </w:rPr>
        <w:t xml:space="preserve">In terms of legislation there were several acts used throughout this call. Firstly was the use of Section 17 of the Police and Criminal Evidence Act (1984). This allows for officers to use force to enter a premises to save life or limb or prevent serious damage to property. Giving that the male had previous attempted suicide whilst locked in his room I felt that forcing entry to his room was justified under Section 17 as he could have been doing this again. Secondly as the male was inside a dwelling, I was unable to effect his detention through the use of Section 136 of the Mental Health Act (1983) in order to acquire a mental health assessment therefore I had to detain the male under the Mental Capacity Act (2005) instead, Essex Police (2021) provide a simple explanation of how the Mental Capacity Act can be utilised, they state </w:t>
      </w:r>
      <w:r w:rsidRPr="00C345D5">
        <w:rPr>
          <w:color w:val="202124"/>
          <w:sz w:val="24"/>
          <w:szCs w:val="24"/>
          <w:shd w:val="clear" w:color="auto" w:fill="FFFFFF"/>
        </w:rPr>
        <w:t xml:space="preserve">The Mental Capacity Act allows the detention and deprivation of a person's liberty which is necessary to provide: A lifesaving intervention; or. It is vital to prevent a serious deterioration in their condition. As the male was unwilling to engage with officers we were unable to assess whether or not they had capacity to make decisions on whether to end their life therefore I decided to detain the male. Finally there are three main pieces of legislation that authorise my use of force in this situation, they are section 117 of Police and Criminal Evidence Act (1984) to protect life and limb, I had to use force to remove the male in order to ensure he would not take his own life. </w:t>
      </w:r>
      <w:r w:rsidRPr="00C345D5">
        <w:rPr>
          <w:sz w:val="24"/>
          <w:szCs w:val="24"/>
        </w:rPr>
        <w:t xml:space="preserve">Common Law states that an officer may use force to protect himself, as the male began lashing out and kicking officers any use of force would subsequently be justified under common law. </w:t>
      </w:r>
    </w:p>
    <w:p w14:paraId="22B3F05D" w14:textId="77777777" w:rsidR="00F61F1A" w:rsidRPr="00C345D5" w:rsidRDefault="00F61F1A" w:rsidP="00F61F1A">
      <w:pPr>
        <w:spacing w:line="480" w:lineRule="auto"/>
        <w:jc w:val="both"/>
        <w:rPr>
          <w:sz w:val="24"/>
          <w:szCs w:val="24"/>
        </w:rPr>
      </w:pPr>
    </w:p>
    <w:p w14:paraId="6C18D6A1" w14:textId="77777777" w:rsidR="00F61F1A" w:rsidRPr="00C345D5" w:rsidRDefault="00F61F1A" w:rsidP="00F61F1A">
      <w:pPr>
        <w:spacing w:line="480" w:lineRule="auto"/>
        <w:jc w:val="both"/>
        <w:rPr>
          <w:sz w:val="24"/>
          <w:szCs w:val="24"/>
        </w:rPr>
      </w:pPr>
    </w:p>
    <w:p w14:paraId="0FEEDD32" w14:textId="77777777" w:rsidR="00F61F1A" w:rsidRPr="00C345D5" w:rsidRDefault="00F61F1A" w:rsidP="00F61F1A">
      <w:pPr>
        <w:spacing w:line="480" w:lineRule="auto"/>
        <w:jc w:val="both"/>
        <w:rPr>
          <w:color w:val="202124"/>
          <w:sz w:val="24"/>
          <w:szCs w:val="24"/>
          <w:shd w:val="clear" w:color="auto" w:fill="FFFFFF"/>
        </w:rPr>
      </w:pPr>
      <w:r w:rsidRPr="00C345D5">
        <w:rPr>
          <w:color w:val="202124"/>
          <w:sz w:val="24"/>
          <w:szCs w:val="24"/>
          <w:shd w:val="clear" w:color="auto" w:fill="FFFFFF"/>
        </w:rPr>
        <w:t xml:space="preserve">The decision to use force in a policing incident comes as a result of spinning the police national decision-making model, The NDM was devised by the College of Policing (2014) and can and should be used in any situation as a means of justification and unification of the </w:t>
      </w:r>
      <w:r w:rsidRPr="00C345D5">
        <w:rPr>
          <w:color w:val="202124"/>
          <w:sz w:val="24"/>
          <w:szCs w:val="24"/>
          <w:shd w:val="clear" w:color="auto" w:fill="FFFFFF"/>
        </w:rPr>
        <w:lastRenderedPageBreak/>
        <w:t xml:space="preserve">decision making process. When used correctly it can eliminate any poor or total lack of decision making carried out by officers and can negate any criticism should an incident end badly as long as all policies and procedures have been lawfully adhered to. The NDM is a continual cycle and can be spun whenever a scenario changes or develops. It is cantered around the police code of ethics to ensure that everything we do as police officers fits the standers and expectations of the police in this country. It consists of the following: </w:t>
      </w:r>
    </w:p>
    <w:p w14:paraId="59A880A2" w14:textId="77777777" w:rsidR="00F61F1A" w:rsidRPr="00C345D5" w:rsidRDefault="00F61F1A" w:rsidP="00F61F1A">
      <w:pPr>
        <w:spacing w:line="480" w:lineRule="auto"/>
        <w:jc w:val="both"/>
        <w:rPr>
          <w:color w:val="202124"/>
          <w:sz w:val="24"/>
          <w:szCs w:val="24"/>
          <w:shd w:val="clear" w:color="auto" w:fill="FFFFFF"/>
        </w:rPr>
      </w:pPr>
    </w:p>
    <w:p w14:paraId="305BACE8"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Code of Ethics.</w:t>
      </w:r>
    </w:p>
    <w:p w14:paraId="480502E4"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Gather information and intelligence.</w:t>
      </w:r>
    </w:p>
    <w:p w14:paraId="034CD107"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Assess threat and risk and develop a working strategy.</w:t>
      </w:r>
    </w:p>
    <w:p w14:paraId="34FBB81C"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Consider powers and policy.</w:t>
      </w:r>
    </w:p>
    <w:p w14:paraId="37D2D75A"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Identify options and contingencies.</w:t>
      </w:r>
    </w:p>
    <w:p w14:paraId="2E9C659F" w14:textId="77777777" w:rsidR="00F61F1A" w:rsidRPr="00C345D5" w:rsidRDefault="00F61F1A" w:rsidP="00F60844">
      <w:pPr>
        <w:numPr>
          <w:ilvl w:val="0"/>
          <w:numId w:val="5"/>
        </w:numPr>
        <w:overflowPunct/>
        <w:autoSpaceDE/>
        <w:autoSpaceDN/>
        <w:adjustRightInd/>
        <w:spacing w:before="100" w:beforeAutospacing="1" w:after="100" w:afterAutospacing="1" w:line="480" w:lineRule="auto"/>
        <w:jc w:val="both"/>
        <w:textAlignment w:val="auto"/>
        <w:rPr>
          <w:sz w:val="24"/>
          <w:szCs w:val="24"/>
        </w:rPr>
      </w:pPr>
      <w:r w:rsidRPr="00C345D5">
        <w:rPr>
          <w:sz w:val="24"/>
          <w:szCs w:val="24"/>
        </w:rPr>
        <w:t>Take action and review what happened.</w:t>
      </w:r>
    </w:p>
    <w:p w14:paraId="40F35B01"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Once a decision has been made using the NDM officers must ask themselves whether it fits into JPLANE. This mnemonic ensures an officer’s actions are justifiable, proportionate to what they face, comply with law, ensures officers are held accountable for their actions, it is necessary to take such action and it is ethical to act in such a way. </w:t>
      </w:r>
    </w:p>
    <w:p w14:paraId="52F711D3"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Whilst attending conflict situations officer must make themselves aware of any external risk factors that could have an effect on the situation later down the line. These are known as Impact factors. Crank (1990) states there are 3 types of impact factors, they are: subject, which includes age, size mental health etc. Object factors, things like vehicles or weapons. Place, environmental features or crowds or venues.  In my scenario there were two present impact factors, the mental health of the male and the empty alcohol cans which suggested </w:t>
      </w:r>
      <w:r w:rsidRPr="00C345D5">
        <w:rPr>
          <w:sz w:val="24"/>
          <w:szCs w:val="24"/>
        </w:rPr>
        <w:lastRenderedPageBreak/>
        <w:t xml:space="preserve">he could be under the influence. Firstly studies by Balance (2013) on behalf of police forces in the North East suggest that increased alcohol consumption can have direct correlation to an increase in violence therefore due to the presence of empty alcohol cans there was the possibility that the male could become violent due to the consumption of alcohol. Secondly the presence of a possible mental health issue would impact on the males decision making resulting in a lack of predictability. Both these factors meant that a violent altercation could be a possibility and had to be factored into my NDM decision making. </w:t>
      </w:r>
    </w:p>
    <w:p w14:paraId="6B73AB09" w14:textId="77777777" w:rsidR="00F61F1A" w:rsidRPr="00C345D5" w:rsidRDefault="00F61F1A" w:rsidP="00F61F1A">
      <w:pPr>
        <w:spacing w:line="480" w:lineRule="auto"/>
        <w:jc w:val="both"/>
        <w:rPr>
          <w:color w:val="202124"/>
          <w:sz w:val="24"/>
          <w:szCs w:val="24"/>
          <w:shd w:val="clear" w:color="auto" w:fill="FFFFFF"/>
        </w:rPr>
      </w:pPr>
      <w:r w:rsidRPr="00C345D5">
        <w:rPr>
          <w:color w:val="202124"/>
          <w:sz w:val="24"/>
          <w:szCs w:val="24"/>
          <w:shd w:val="clear" w:color="auto" w:fill="FFFFFF"/>
        </w:rPr>
        <w:t>The male from my scenario was display major sings of resistance, the College of Policing (2020) suggests when dealing with high levels of resistance, officers can use the ‘5 stage appeal’. This model gives offenders the chance to comply with a number of appeal from officers before action is taken. The 5 Stage Appeal process is as follows.</w:t>
      </w:r>
    </w:p>
    <w:p w14:paraId="4F755AE0" w14:textId="77777777" w:rsidR="00F61F1A" w:rsidRPr="00C345D5" w:rsidRDefault="00F61F1A" w:rsidP="00F60844">
      <w:pPr>
        <w:numPr>
          <w:ilvl w:val="0"/>
          <w:numId w:val="6"/>
        </w:numPr>
        <w:overflowPunct/>
        <w:autoSpaceDE/>
        <w:autoSpaceDN/>
        <w:adjustRightInd/>
        <w:spacing w:before="100" w:beforeAutospacing="1" w:after="100" w:afterAutospacing="1"/>
        <w:jc w:val="both"/>
        <w:textAlignment w:val="auto"/>
        <w:rPr>
          <w:i/>
          <w:iCs/>
          <w:sz w:val="24"/>
          <w:szCs w:val="24"/>
        </w:rPr>
      </w:pPr>
      <w:r w:rsidRPr="00C345D5">
        <w:rPr>
          <w:i/>
          <w:iCs/>
          <w:sz w:val="24"/>
          <w:szCs w:val="24"/>
        </w:rPr>
        <w:t>Simple appeal – ask the person to comply with your request.</w:t>
      </w:r>
    </w:p>
    <w:p w14:paraId="642C1EB6" w14:textId="77777777" w:rsidR="00F61F1A" w:rsidRPr="00C345D5" w:rsidRDefault="00F61F1A" w:rsidP="00F60844">
      <w:pPr>
        <w:numPr>
          <w:ilvl w:val="0"/>
          <w:numId w:val="6"/>
        </w:numPr>
        <w:overflowPunct/>
        <w:autoSpaceDE/>
        <w:autoSpaceDN/>
        <w:adjustRightInd/>
        <w:spacing w:before="100" w:beforeAutospacing="1" w:after="100" w:afterAutospacing="1"/>
        <w:jc w:val="both"/>
        <w:textAlignment w:val="auto"/>
        <w:rPr>
          <w:i/>
          <w:iCs/>
          <w:sz w:val="24"/>
          <w:szCs w:val="24"/>
        </w:rPr>
      </w:pPr>
      <w:r w:rsidRPr="00C345D5">
        <w:rPr>
          <w:i/>
          <w:iCs/>
          <w:sz w:val="24"/>
          <w:szCs w:val="24"/>
        </w:rPr>
        <w:t>Reasoned appeal – explain why the request has been made, what law (if any) has been broken, and what has caused the request.</w:t>
      </w:r>
    </w:p>
    <w:p w14:paraId="0BA31612" w14:textId="77777777" w:rsidR="00F61F1A" w:rsidRPr="00C345D5" w:rsidRDefault="00F61F1A" w:rsidP="00F60844">
      <w:pPr>
        <w:numPr>
          <w:ilvl w:val="0"/>
          <w:numId w:val="6"/>
        </w:numPr>
        <w:overflowPunct/>
        <w:autoSpaceDE/>
        <w:autoSpaceDN/>
        <w:adjustRightInd/>
        <w:spacing w:before="100" w:beforeAutospacing="1" w:after="100" w:afterAutospacing="1"/>
        <w:jc w:val="both"/>
        <w:textAlignment w:val="auto"/>
        <w:rPr>
          <w:i/>
          <w:iCs/>
          <w:sz w:val="24"/>
          <w:szCs w:val="24"/>
        </w:rPr>
      </w:pPr>
      <w:r w:rsidRPr="00C345D5">
        <w:rPr>
          <w:i/>
          <w:iCs/>
          <w:sz w:val="24"/>
          <w:szCs w:val="24"/>
        </w:rPr>
        <w:t>Personal appeal – remind the person that they may be jeopardising things that are high priorities to them (eg, loss of free time if arrested, loss of money, loss of income, possibility of a criminal record, loss of respect of their partner and family).</w:t>
      </w:r>
    </w:p>
    <w:p w14:paraId="0A925DE0" w14:textId="77777777" w:rsidR="00F61F1A" w:rsidRPr="00C345D5" w:rsidRDefault="00F61F1A" w:rsidP="00F60844">
      <w:pPr>
        <w:numPr>
          <w:ilvl w:val="0"/>
          <w:numId w:val="6"/>
        </w:numPr>
        <w:overflowPunct/>
        <w:autoSpaceDE/>
        <w:autoSpaceDN/>
        <w:adjustRightInd/>
        <w:spacing w:before="100" w:beforeAutospacing="1" w:after="100" w:afterAutospacing="1"/>
        <w:jc w:val="both"/>
        <w:textAlignment w:val="auto"/>
        <w:rPr>
          <w:i/>
          <w:iCs/>
          <w:sz w:val="24"/>
          <w:szCs w:val="24"/>
        </w:rPr>
      </w:pPr>
      <w:r w:rsidRPr="00C345D5">
        <w:rPr>
          <w:i/>
          <w:iCs/>
          <w:sz w:val="24"/>
          <w:szCs w:val="24"/>
        </w:rPr>
        <w:t>Final appeal – tell the person what is required and use a phrase that means the same as the following: 'Is there anything I can reasonably do to make you cooperate with me/us?'</w:t>
      </w:r>
    </w:p>
    <w:p w14:paraId="2C2809BB" w14:textId="77777777" w:rsidR="00F61F1A" w:rsidRPr="00C345D5" w:rsidRDefault="00F61F1A" w:rsidP="00F60844">
      <w:pPr>
        <w:numPr>
          <w:ilvl w:val="0"/>
          <w:numId w:val="6"/>
        </w:numPr>
        <w:overflowPunct/>
        <w:autoSpaceDE/>
        <w:autoSpaceDN/>
        <w:adjustRightInd/>
        <w:spacing w:before="100" w:beforeAutospacing="1" w:after="100" w:afterAutospacing="1"/>
        <w:jc w:val="both"/>
        <w:textAlignment w:val="auto"/>
        <w:rPr>
          <w:i/>
          <w:iCs/>
          <w:sz w:val="24"/>
          <w:szCs w:val="24"/>
        </w:rPr>
      </w:pPr>
      <w:r w:rsidRPr="00C345D5">
        <w:rPr>
          <w:i/>
          <w:iCs/>
          <w:sz w:val="24"/>
          <w:szCs w:val="24"/>
        </w:rPr>
        <w:t xml:space="preserve">Action – reasonable force may be the only option left in the case of continued resistance. </w:t>
      </w:r>
    </w:p>
    <w:p w14:paraId="170A1CFC"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I used this model on both occasions where force was used on the male and on both occasions he failed to comply with any of my appeals thus justifying my use of force. </w:t>
      </w:r>
    </w:p>
    <w:p w14:paraId="7A069F0C"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Throughout my interactions with the male I considered the “Betari Box” theory, a commonly used cycle in the policing world says </w:t>
      </w:r>
      <w:r w:rsidRPr="00C345D5">
        <w:rPr>
          <w:color w:val="222222"/>
          <w:sz w:val="24"/>
          <w:szCs w:val="24"/>
          <w:shd w:val="clear" w:color="auto" w:fill="FFFFFF"/>
        </w:rPr>
        <w:t>Nurnisya</w:t>
      </w:r>
      <w:r w:rsidRPr="00C345D5">
        <w:rPr>
          <w:sz w:val="24"/>
          <w:szCs w:val="24"/>
        </w:rPr>
        <w:t xml:space="preserve">  (2022) whilst attempting to converse and reason with him. Betari’s box allows use to understand how our attitudes and behaviours can affect those of another. The cycle is as follows: My attitude affects my behaviour affects your </w:t>
      </w:r>
      <w:r w:rsidRPr="00C345D5">
        <w:rPr>
          <w:sz w:val="24"/>
          <w:szCs w:val="24"/>
        </w:rPr>
        <w:lastRenderedPageBreak/>
        <w:t xml:space="preserve">attitude affect your behaviour. Wall (2019) suggests that having a positive outlook on the experience can ensure my behaviour remains calm and transparent thus ensuring the subject does not feel threatened and they too remain calm. On the flip side of this negative attitudes will result negative outcomes. </w:t>
      </w:r>
    </w:p>
    <w:p w14:paraId="6B1095B4" w14:textId="77777777" w:rsidR="00F61F1A" w:rsidRPr="00C345D5" w:rsidRDefault="00F61F1A" w:rsidP="00F61F1A">
      <w:pPr>
        <w:spacing w:before="100" w:beforeAutospacing="1" w:after="100" w:afterAutospacing="1" w:line="480" w:lineRule="auto"/>
        <w:jc w:val="both"/>
        <w:rPr>
          <w:sz w:val="24"/>
          <w:szCs w:val="24"/>
          <w:u w:val="single"/>
        </w:rPr>
      </w:pPr>
      <w:r w:rsidRPr="00C345D5">
        <w:rPr>
          <w:sz w:val="24"/>
          <w:szCs w:val="24"/>
          <w:u w:val="single"/>
        </w:rPr>
        <w:t>Reflection</w:t>
      </w:r>
    </w:p>
    <w:p w14:paraId="764C0E74"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Description – The event has already been described in detail throughout this essay. </w:t>
      </w:r>
    </w:p>
    <w:p w14:paraId="5ED35FEA"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Feelings – Admittedly I felt nervous whilst dealing with this male. It was early on in my tutorship and was my first taste of conflict. I was apprehensive about how I would react to conflict and having to go hands on for the first time with a member of the public. Once I had decided to get hands on I instantly had support from my colleagues and this instantly made me feel confident as if anything was to go wrong I had them as back up.</w:t>
      </w:r>
    </w:p>
    <w:p w14:paraId="6E1383E0"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Evaluation – Even though I had to take action whilst using the five stage appeal I would still deem its use a success, I did everything I could to avoid conflict however in this instance the male was not willing to comply. The same goes for my use of Betaris Box, I remained calm and positive throughout but the male was not engaging, I couldn’t have done more in this situation.</w:t>
      </w:r>
    </w:p>
    <w:p w14:paraId="7DB7097B"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Analysis – I believe that I successfully dealt with the conflict because my knowledge, understanding and application of the NDM and the 5 stage appeal was sound. Even though they were not effective and I had to get hands on I could do so safe in the knowledge that I was justified to do so after exploring all other routes.  </w:t>
      </w:r>
    </w:p>
    <w:p w14:paraId="71F39D1B" w14:textId="77777777"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Conclusion – Following the males mental health assessment it was determined he was heavily influenced by alcohol and was suffering with his mental health. This combination meant that no matter how well I executed the 5 stage appeal or followed Betaris Box he did </w:t>
      </w:r>
      <w:r w:rsidRPr="00C345D5">
        <w:rPr>
          <w:sz w:val="24"/>
          <w:szCs w:val="24"/>
        </w:rPr>
        <w:lastRenderedPageBreak/>
        <w:t xml:space="preserve">not have the capacity to comply for whatever reason. Being able to spin the NDM in this situation means that although there was a physical altercation and the male was cuffed and placed in leg restrains, causing damage to his room he was ultimately able to get the help he needed and because of this I would deem it a positive outcome. </w:t>
      </w:r>
    </w:p>
    <w:p w14:paraId="29DF0487" w14:textId="1BE63E53" w:rsidR="00F61F1A" w:rsidRPr="00C345D5" w:rsidRDefault="00F61F1A" w:rsidP="00F61F1A">
      <w:pPr>
        <w:spacing w:before="100" w:beforeAutospacing="1" w:after="100" w:afterAutospacing="1" w:line="480" w:lineRule="auto"/>
        <w:jc w:val="both"/>
        <w:rPr>
          <w:sz w:val="24"/>
          <w:szCs w:val="24"/>
        </w:rPr>
      </w:pPr>
      <w:r w:rsidRPr="00C345D5">
        <w:rPr>
          <w:sz w:val="24"/>
          <w:szCs w:val="24"/>
        </w:rPr>
        <w:t xml:space="preserve">Action Plan – Moving forward I feel I would benefit more from additional training in recognising and supporting subjects with mental health. Since this incident I have attended multiple mental health calls and feel that even though I use conflict resolution tactics well, I could do better if I understood more of what I was up against and what these people are dealing with which means getting hands on becomes even more of a last resort. </w:t>
      </w:r>
    </w:p>
    <w:p w14:paraId="5860A4FB" w14:textId="7C071D31" w:rsidR="00F61F1A" w:rsidRPr="00F61F1A" w:rsidRDefault="00F61F1A" w:rsidP="00F61F1A">
      <w:pPr>
        <w:spacing w:before="100" w:beforeAutospacing="1" w:after="100" w:afterAutospacing="1" w:line="480" w:lineRule="auto"/>
        <w:jc w:val="both"/>
        <w:rPr>
          <w:b/>
          <w:bCs/>
        </w:rPr>
      </w:pPr>
      <w:r w:rsidRPr="00F61F1A">
        <w:rPr>
          <w:b/>
          <w:bCs/>
        </w:rPr>
        <w:t>WORDS 2004</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F424711" w14:textId="77777777" w:rsidR="00C345D5" w:rsidRPr="00C345D5" w:rsidRDefault="00C345D5" w:rsidP="00C345D5">
      <w:pPr>
        <w:spacing w:line="480" w:lineRule="auto"/>
        <w:jc w:val="both"/>
        <w:rPr>
          <w:color w:val="000000" w:themeColor="text1"/>
          <w:sz w:val="24"/>
          <w:szCs w:val="24"/>
        </w:rPr>
      </w:pPr>
      <w:r w:rsidRPr="00C345D5">
        <w:rPr>
          <w:sz w:val="24"/>
          <w:szCs w:val="24"/>
        </w:rPr>
        <w:t xml:space="preserve">In this essay I will explore and reflect upon an incident that I have dealt with and examine how I dealt with </w:t>
      </w:r>
      <w:r w:rsidRPr="00C345D5">
        <w:rPr>
          <w:color w:val="000000" w:themeColor="text1"/>
          <w:sz w:val="24"/>
          <w:szCs w:val="24"/>
        </w:rPr>
        <w:t xml:space="preserve">competing issues such as legalisation, social issues, culture and language. As well as illustrating my understanding of human rights, diversity, equality and ethics. In order to reflect upon this incident I will be using the Gibbs (1988) reflective cycle. </w:t>
      </w:r>
    </w:p>
    <w:p w14:paraId="1CAD361D" w14:textId="77777777" w:rsidR="00C345D5" w:rsidRPr="00C345D5" w:rsidRDefault="00C345D5" w:rsidP="00C345D5">
      <w:pPr>
        <w:spacing w:line="480" w:lineRule="auto"/>
        <w:jc w:val="both"/>
        <w:rPr>
          <w:color w:val="000000" w:themeColor="text1"/>
          <w:sz w:val="24"/>
          <w:szCs w:val="24"/>
        </w:rPr>
      </w:pPr>
    </w:p>
    <w:p w14:paraId="3C01AF55" w14:textId="0913EC9E" w:rsidR="00C345D5" w:rsidRPr="00C345D5" w:rsidRDefault="00C345D5" w:rsidP="00C345D5">
      <w:pPr>
        <w:spacing w:line="480" w:lineRule="auto"/>
        <w:jc w:val="both"/>
        <w:rPr>
          <w:color w:val="000000" w:themeColor="text1"/>
          <w:sz w:val="24"/>
          <w:szCs w:val="24"/>
        </w:rPr>
      </w:pPr>
      <w:r w:rsidRPr="00C345D5">
        <w:rPr>
          <w:color w:val="000000" w:themeColor="text1"/>
          <w:sz w:val="24"/>
          <w:szCs w:val="24"/>
        </w:rPr>
        <w:t>In Wales and England, police forces must provide a set of services to victims of crime and meet a minimum standard for these services. This is called The Code of Practice for Victims of Crime (</w:t>
      </w:r>
      <w:r w:rsidR="0070768D">
        <w:rPr>
          <w:color w:val="000000" w:themeColor="text1"/>
          <w:sz w:val="24"/>
          <w:szCs w:val="24"/>
        </w:rPr>
        <w:t>2021</w:t>
      </w:r>
      <w:r w:rsidRPr="00C345D5">
        <w:rPr>
          <w:color w:val="000000" w:themeColor="text1"/>
          <w:sz w:val="24"/>
          <w:szCs w:val="24"/>
        </w:rPr>
        <w:t xml:space="preserve">), most recently published by College of Policing (2021). There are 12 rights make up the Victims code and each will apply to different people depending on the crime, it includes things like the right to have your crime reported, to be provided with information on the investigation and to be able to make a complaint should your rights not be met. </w:t>
      </w:r>
    </w:p>
    <w:p w14:paraId="27B01D95" w14:textId="77777777" w:rsidR="00C345D5" w:rsidRPr="00C345D5" w:rsidRDefault="00C345D5" w:rsidP="00C345D5">
      <w:pPr>
        <w:spacing w:line="480" w:lineRule="auto"/>
        <w:jc w:val="both"/>
        <w:rPr>
          <w:sz w:val="24"/>
          <w:szCs w:val="24"/>
        </w:rPr>
      </w:pPr>
    </w:p>
    <w:p w14:paraId="2A6B9E78" w14:textId="77777777" w:rsidR="00C345D5" w:rsidRPr="00C345D5" w:rsidRDefault="00C345D5" w:rsidP="00C345D5">
      <w:pPr>
        <w:spacing w:line="480" w:lineRule="auto"/>
        <w:jc w:val="both"/>
        <w:rPr>
          <w:b/>
          <w:bCs/>
          <w:i/>
          <w:iCs/>
          <w:sz w:val="24"/>
          <w:szCs w:val="24"/>
          <w:u w:val="single"/>
        </w:rPr>
      </w:pPr>
      <w:r w:rsidRPr="00C345D5">
        <w:rPr>
          <w:b/>
          <w:bCs/>
          <w:i/>
          <w:iCs/>
          <w:sz w:val="24"/>
          <w:szCs w:val="24"/>
          <w:u w:val="single"/>
        </w:rPr>
        <w:t xml:space="preserve">Description </w:t>
      </w:r>
    </w:p>
    <w:p w14:paraId="7DAB240D" w14:textId="77777777" w:rsidR="00C345D5" w:rsidRPr="00C345D5" w:rsidRDefault="00C345D5" w:rsidP="00C345D5">
      <w:pPr>
        <w:spacing w:line="480" w:lineRule="auto"/>
        <w:jc w:val="both"/>
        <w:rPr>
          <w:sz w:val="24"/>
          <w:szCs w:val="24"/>
        </w:rPr>
      </w:pPr>
    </w:p>
    <w:p w14:paraId="29930B59" w14:textId="77777777" w:rsidR="00C345D5" w:rsidRPr="00C345D5" w:rsidRDefault="00C345D5" w:rsidP="00C345D5">
      <w:pPr>
        <w:spacing w:line="480" w:lineRule="auto"/>
        <w:jc w:val="both"/>
        <w:rPr>
          <w:sz w:val="24"/>
          <w:szCs w:val="24"/>
        </w:rPr>
      </w:pPr>
      <w:r w:rsidRPr="00C345D5">
        <w:rPr>
          <w:sz w:val="24"/>
          <w:szCs w:val="24"/>
        </w:rPr>
        <w:t xml:space="preserve">We had received a call of a public order related incident to the local traveller site within our sector. The basis of the call was there was a fight on going between family members at the site an involved between 5 and 10 participants. On arrivals officers had already broken up the fight and were begging to speak to those present. I had been given the task of speaking to the mother of the people involved who had explained to me that the fight broke out when her daughter, who was 18 years old, had come home drunk. Much to the displeasure of her father and brother as within the travelling community it is expected that women to do consume alcohol until they are married, this is regardless of whether they have turned 18. Whilst speaking to the mother I noticed her arms and legs were covered in bruises and she had well ages scars on her face. It transpired that these were caused by years of domestic abuse at the hands of her ex-husband and her children’s father. She had disclosed to me that he was furious that his daughter had drank alcohol out of wedlock and that her mother is to blame. She went on to disclose that it was the angriest she had ever seen him and that she now feared for her life as he had already made threats to kill her over the incident. She had almost told me this in passing in with the rest of the information about the call and did not expect nor want me to do anything about the domestic violence aspect of the call. Regardless of her wishes not to make a complaint I knew I had accountability to act on this information and uphold the policing principles as stated in the College of Policing (2014) </w:t>
      </w:r>
    </w:p>
    <w:p w14:paraId="09271C25" w14:textId="77777777" w:rsidR="00C345D5" w:rsidRPr="00C345D5" w:rsidRDefault="00C345D5" w:rsidP="00C345D5">
      <w:pPr>
        <w:spacing w:line="480" w:lineRule="auto"/>
        <w:jc w:val="both"/>
        <w:rPr>
          <w:sz w:val="24"/>
          <w:szCs w:val="24"/>
        </w:rPr>
      </w:pPr>
    </w:p>
    <w:p w14:paraId="3C6F5D81" w14:textId="77777777" w:rsidR="00C345D5" w:rsidRPr="00C345D5" w:rsidRDefault="00C345D5" w:rsidP="00C345D5">
      <w:pPr>
        <w:spacing w:line="480" w:lineRule="auto"/>
        <w:jc w:val="both"/>
        <w:rPr>
          <w:sz w:val="24"/>
          <w:szCs w:val="24"/>
        </w:rPr>
      </w:pPr>
      <w:r w:rsidRPr="00C345D5">
        <w:rPr>
          <w:sz w:val="24"/>
          <w:szCs w:val="24"/>
        </w:rPr>
        <w:t xml:space="preserve">It is a well- known fact that Gypsy Roman Travellers (GRT)  and the police do not have the best relationship, this had the potential to pose a difficult cultural difference to overcome. One of the most overriding issues seems to be trust in police. Okley (2005) states that the GRT community would sooner turn to fight each other over feuds in order achieve a resolution due to an overwhelming lack of trust in the criminal justice system supporting their ethnicity. </w:t>
      </w:r>
      <w:r w:rsidRPr="00C345D5">
        <w:rPr>
          <w:sz w:val="24"/>
          <w:szCs w:val="24"/>
        </w:rPr>
        <w:lastRenderedPageBreak/>
        <w:t xml:space="preserve">Drummond (2022) Believes a reason for this is that police forces often associate the traveller ethnicity with being a risk factor, drastically changing the manner in which police associate with them GRT community, this is a contradiction to S149 Equality Act (2010). This made me believe that securing any kind of statement in relation to this matter would be extremely difficult. Following this disclosure, I felt that it was vital for me to fully investigate the history of domestic violence that this woman had suffered in order to better improve the relationship between my police force and then GRT community. </w:t>
      </w:r>
    </w:p>
    <w:p w14:paraId="17630232" w14:textId="77777777" w:rsidR="00C345D5" w:rsidRPr="00C345D5" w:rsidRDefault="00C345D5" w:rsidP="00C345D5">
      <w:pPr>
        <w:spacing w:line="480" w:lineRule="auto"/>
        <w:jc w:val="both"/>
        <w:rPr>
          <w:sz w:val="24"/>
          <w:szCs w:val="24"/>
        </w:rPr>
      </w:pPr>
    </w:p>
    <w:p w14:paraId="4C57F3F5" w14:textId="77777777" w:rsidR="00C345D5" w:rsidRPr="00C345D5" w:rsidRDefault="00C345D5" w:rsidP="00C345D5">
      <w:pPr>
        <w:pStyle w:val="legclearfix"/>
        <w:shd w:val="clear" w:color="auto" w:fill="FFFFFF"/>
        <w:spacing w:before="0" w:beforeAutospacing="0" w:after="120" w:afterAutospacing="0" w:line="480" w:lineRule="auto"/>
        <w:jc w:val="both"/>
        <w:rPr>
          <w:rFonts w:ascii="Arial" w:hAnsi="Arial" w:cs="Arial"/>
        </w:rPr>
      </w:pPr>
      <w:r w:rsidRPr="00C345D5">
        <w:rPr>
          <w:rFonts w:ascii="Arial" w:hAnsi="Arial" w:cs="Arial"/>
        </w:rPr>
        <w:t xml:space="preserve">Following the disclosures I was now dealing with a domestic violence case as a pose to the public order scene I was called to. The Domestic Abuse Act (2021) defines Domestic violence as being </w:t>
      </w:r>
    </w:p>
    <w:p w14:paraId="6536D5E5" w14:textId="77777777" w:rsidR="00C345D5" w:rsidRPr="00C345D5" w:rsidRDefault="00C345D5" w:rsidP="00C345D5">
      <w:pPr>
        <w:pStyle w:val="legclearfix"/>
        <w:shd w:val="clear" w:color="auto" w:fill="FFFFFF"/>
        <w:spacing w:before="0" w:beforeAutospacing="0" w:after="120" w:afterAutospacing="0" w:line="480" w:lineRule="auto"/>
        <w:ind w:left="720"/>
        <w:jc w:val="both"/>
        <w:rPr>
          <w:rStyle w:val="legds"/>
          <w:rFonts w:ascii="Arial" w:hAnsi="Arial" w:cs="Arial"/>
          <w:i/>
          <w:iCs/>
          <w:color w:val="000000"/>
        </w:rPr>
      </w:pPr>
      <w:r w:rsidRPr="00C345D5">
        <w:rPr>
          <w:rFonts w:ascii="Arial" w:hAnsi="Arial" w:cs="Arial"/>
          <w:i/>
          <w:iCs/>
        </w:rPr>
        <w:t>“</w:t>
      </w:r>
      <w:r w:rsidRPr="00C345D5">
        <w:rPr>
          <w:rStyle w:val="legds"/>
          <w:rFonts w:ascii="Arial" w:hAnsi="Arial" w:cs="Arial"/>
          <w:i/>
          <w:iCs/>
          <w:color w:val="000000"/>
        </w:rPr>
        <w:t>Behaviour of a person (“A”) towards another person (“B”) is “domestic abuse” if - A and B are each aged 16 or over and are personally connected to each other, and</w:t>
      </w:r>
      <w:r w:rsidRPr="00C345D5">
        <w:rPr>
          <w:rFonts w:ascii="Arial" w:hAnsi="Arial" w:cs="Arial"/>
          <w:i/>
          <w:iCs/>
          <w:color w:val="000000"/>
        </w:rPr>
        <w:t xml:space="preserve"> </w:t>
      </w:r>
      <w:r w:rsidRPr="00C345D5">
        <w:rPr>
          <w:rStyle w:val="legds"/>
          <w:rFonts w:ascii="Arial" w:hAnsi="Arial" w:cs="Arial"/>
          <w:i/>
          <w:iCs/>
          <w:color w:val="000000"/>
        </w:rPr>
        <w:t>(b)the behaviour is abusive.</w:t>
      </w:r>
      <w:r w:rsidRPr="00C345D5">
        <w:rPr>
          <w:rFonts w:ascii="Arial" w:hAnsi="Arial" w:cs="Arial"/>
          <w:i/>
          <w:iCs/>
          <w:color w:val="000000"/>
        </w:rPr>
        <w:t xml:space="preserve"> </w:t>
      </w:r>
      <w:r w:rsidRPr="00C345D5">
        <w:rPr>
          <w:rStyle w:val="legds"/>
          <w:rFonts w:ascii="Arial" w:hAnsi="Arial" w:cs="Arial"/>
          <w:i/>
          <w:iCs/>
          <w:color w:val="000000"/>
        </w:rPr>
        <w:t>(3)Behaviour is “abusive” if it consists of any of the following—</w:t>
      </w:r>
      <w:r w:rsidRPr="00C345D5">
        <w:rPr>
          <w:rFonts w:ascii="Arial" w:hAnsi="Arial" w:cs="Arial"/>
          <w:i/>
          <w:iCs/>
          <w:color w:val="000000"/>
        </w:rPr>
        <w:t xml:space="preserve"> </w:t>
      </w:r>
      <w:r w:rsidRPr="00C345D5">
        <w:rPr>
          <w:rStyle w:val="legds"/>
          <w:rFonts w:ascii="Arial" w:hAnsi="Arial" w:cs="Arial"/>
          <w:i/>
          <w:iCs/>
          <w:color w:val="000000"/>
        </w:rPr>
        <w:t>(a)physical or sexual abuse;</w:t>
      </w:r>
      <w:r w:rsidRPr="00C345D5">
        <w:rPr>
          <w:rFonts w:ascii="Arial" w:hAnsi="Arial" w:cs="Arial"/>
          <w:i/>
          <w:iCs/>
          <w:color w:val="000000"/>
        </w:rPr>
        <w:t xml:space="preserve"> </w:t>
      </w:r>
      <w:r w:rsidRPr="00C345D5">
        <w:rPr>
          <w:rStyle w:val="legds"/>
          <w:rFonts w:ascii="Arial" w:hAnsi="Arial" w:cs="Arial"/>
          <w:i/>
          <w:iCs/>
          <w:color w:val="000000"/>
        </w:rPr>
        <w:t>(b)violent or threatening behaviour;</w:t>
      </w:r>
      <w:r w:rsidRPr="00C345D5">
        <w:rPr>
          <w:rFonts w:ascii="Arial" w:hAnsi="Arial" w:cs="Arial"/>
          <w:i/>
          <w:iCs/>
          <w:color w:val="000000"/>
        </w:rPr>
        <w:t xml:space="preserve"> </w:t>
      </w:r>
      <w:r w:rsidRPr="00C345D5">
        <w:rPr>
          <w:rStyle w:val="legds"/>
          <w:rFonts w:ascii="Arial" w:hAnsi="Arial" w:cs="Arial"/>
          <w:i/>
          <w:iCs/>
          <w:color w:val="000000"/>
        </w:rPr>
        <w:t>(c)controlling or coercive behaviour;</w:t>
      </w:r>
      <w:r w:rsidRPr="00C345D5">
        <w:rPr>
          <w:rFonts w:ascii="Arial" w:hAnsi="Arial" w:cs="Arial"/>
          <w:i/>
          <w:iCs/>
          <w:color w:val="000000"/>
        </w:rPr>
        <w:t xml:space="preserve"> </w:t>
      </w:r>
      <w:r w:rsidRPr="00C345D5">
        <w:rPr>
          <w:rStyle w:val="legds"/>
          <w:rFonts w:ascii="Arial" w:hAnsi="Arial" w:cs="Arial"/>
          <w:i/>
          <w:iCs/>
          <w:color w:val="000000"/>
        </w:rPr>
        <w:t>(d)economic abuse;</w:t>
      </w:r>
      <w:r w:rsidRPr="00C345D5">
        <w:rPr>
          <w:rFonts w:ascii="Arial" w:hAnsi="Arial" w:cs="Arial"/>
          <w:i/>
          <w:iCs/>
          <w:color w:val="000000"/>
        </w:rPr>
        <w:t xml:space="preserve"> </w:t>
      </w:r>
      <w:r w:rsidRPr="00C345D5">
        <w:rPr>
          <w:rStyle w:val="legds"/>
          <w:rFonts w:ascii="Arial" w:hAnsi="Arial" w:cs="Arial"/>
          <w:i/>
          <w:iCs/>
          <w:color w:val="000000"/>
        </w:rPr>
        <w:t xml:space="preserve">(e)psychological, emotional or other abuse.” </w:t>
      </w:r>
    </w:p>
    <w:p w14:paraId="03B88E82" w14:textId="77777777" w:rsidR="00C345D5" w:rsidRPr="00C345D5" w:rsidRDefault="00C345D5" w:rsidP="00C345D5">
      <w:pPr>
        <w:pStyle w:val="legclearfix"/>
        <w:shd w:val="clear" w:color="auto" w:fill="FFFFFF"/>
        <w:spacing w:before="0" w:beforeAutospacing="0" w:after="120" w:afterAutospacing="0" w:line="480" w:lineRule="auto"/>
        <w:jc w:val="both"/>
        <w:rPr>
          <w:rFonts w:ascii="Arial" w:hAnsi="Arial" w:cs="Arial"/>
          <w:color w:val="000000"/>
        </w:rPr>
      </w:pPr>
      <w:r w:rsidRPr="00C345D5">
        <w:rPr>
          <w:rStyle w:val="legds"/>
          <w:rFonts w:ascii="Arial" w:hAnsi="Arial" w:cs="Arial"/>
          <w:color w:val="000000"/>
        </w:rPr>
        <w:t xml:space="preserve">This clearly depicts that my case hits all the points to prove to satisfy the definition. </w:t>
      </w:r>
      <w:r w:rsidRPr="00C345D5">
        <w:rPr>
          <w:rFonts w:ascii="Arial" w:hAnsi="Arial" w:cs="Arial"/>
        </w:rPr>
        <w:t xml:space="preserve">Police response to domestic violence in South Wales Police to take positive action at every call. This can be anything from separating both parties for the night for safeguarding purposes to arresting the perpetrator.  Mulcahy(2012) finds that domestic violence is considered the second highest offence to occur within the GRT community, it closely follows behind hate crime. </w:t>
      </w:r>
    </w:p>
    <w:p w14:paraId="5A3FBC4F" w14:textId="77777777" w:rsidR="00C345D5" w:rsidRPr="00C345D5" w:rsidRDefault="00C345D5" w:rsidP="00C345D5">
      <w:pPr>
        <w:spacing w:line="480" w:lineRule="auto"/>
        <w:jc w:val="both"/>
        <w:rPr>
          <w:sz w:val="24"/>
          <w:szCs w:val="24"/>
        </w:rPr>
      </w:pPr>
    </w:p>
    <w:p w14:paraId="5A280D8C" w14:textId="77777777" w:rsidR="00C345D5" w:rsidRPr="00C345D5" w:rsidRDefault="00C345D5" w:rsidP="00C345D5">
      <w:pPr>
        <w:spacing w:line="480" w:lineRule="auto"/>
        <w:jc w:val="both"/>
        <w:rPr>
          <w:sz w:val="24"/>
          <w:szCs w:val="24"/>
        </w:rPr>
      </w:pPr>
      <w:r w:rsidRPr="00C345D5">
        <w:rPr>
          <w:sz w:val="24"/>
          <w:szCs w:val="24"/>
        </w:rPr>
        <w:lastRenderedPageBreak/>
        <w:t xml:space="preserve">Observations were put over the air for the male as her was not present on the site at the time and I began attempting to secure a statement from the victim, I explained that due to the nature of the incident I had to take action, ensuring I displayed openness throughout. Initially she was adamant that she would not pursue a complaint and states that it was just part of their culture that a husband beats his wife. This paired with the fact that I was police officer proved very difficult to get anywhere, she was happy to disclose everything to me but would not provide me a statement. At this point I decided to seek the help of the Rapid Domestic Abuse Intervention Project, known as the RAPID team. The aim of RAPID is to improve victim experience following a domestic abuse incident, they provide victims an advocacy and are not linked to South Wales Police so it was my feeling that the female would engage with them as a support service and remove the barrier of police and GRT relationships. THRIVE, Women’s’ Aid (2023) . Following conversations with the female the rapid team were able to secure a statement and later the male was arrested. Allowing me to continue with the investigation. In accordance with ‘Right 7’ of the Victims code, my victim was given the opportunity to provide a victim personal statement (VPS) and due to the nature of the incidents and the effect it has had on her life she took the opportunity to do this. </w:t>
      </w:r>
    </w:p>
    <w:p w14:paraId="4D9C8E72" w14:textId="77777777" w:rsidR="00C345D5" w:rsidRPr="00C345D5" w:rsidRDefault="00C345D5" w:rsidP="00C345D5">
      <w:pPr>
        <w:spacing w:line="480" w:lineRule="auto"/>
        <w:jc w:val="both"/>
        <w:rPr>
          <w:sz w:val="24"/>
          <w:szCs w:val="24"/>
        </w:rPr>
      </w:pPr>
    </w:p>
    <w:p w14:paraId="7873FA1F" w14:textId="149F1BEC" w:rsidR="00C345D5" w:rsidRPr="00C345D5" w:rsidRDefault="00C345D5" w:rsidP="00C345D5">
      <w:pPr>
        <w:spacing w:line="480" w:lineRule="auto"/>
        <w:jc w:val="both"/>
        <w:rPr>
          <w:sz w:val="24"/>
          <w:szCs w:val="24"/>
        </w:rPr>
      </w:pPr>
      <w:r w:rsidRPr="00C345D5">
        <w:rPr>
          <w:sz w:val="24"/>
          <w:szCs w:val="24"/>
        </w:rPr>
        <w:t xml:space="preserve">Whilst the investigation was ongoing the female was assigned an IDVA to give her any support she required, this satisfied ‘Right 4 - </w:t>
      </w:r>
      <w:r w:rsidRPr="00C345D5">
        <w:rPr>
          <w:color w:val="000000" w:themeColor="text1"/>
          <w:sz w:val="24"/>
          <w:szCs w:val="24"/>
        </w:rPr>
        <w:t xml:space="preserve">To be referred to services that support victims and have services and support tailored to your needs’. An IDVA is an Independent Domestic Violence Advisor, their role according to HMICFRS (2023) is to support victims of domestic violence and secure their safety through an action plan. </w:t>
      </w:r>
      <w:r w:rsidRPr="00C345D5">
        <w:rPr>
          <w:sz w:val="24"/>
          <w:szCs w:val="24"/>
        </w:rPr>
        <w:t xml:space="preserve">In order to comply with ‘Right 6 – to be provided with information about the investigation and prosecution’ the victim was given updates within the agreed timescale of 7 days. Even if there was no update she was contact </w:t>
      </w:r>
      <w:r w:rsidRPr="00C345D5">
        <w:rPr>
          <w:sz w:val="24"/>
          <w:szCs w:val="24"/>
        </w:rPr>
        <w:lastRenderedPageBreak/>
        <w:t xml:space="preserve">however the main updates included when the male was arrested, when the file was sent for CPS consideration and when a charging decision was reached. </w:t>
      </w:r>
    </w:p>
    <w:p w14:paraId="144F6C87" w14:textId="77777777" w:rsidR="00C345D5" w:rsidRPr="00C345D5" w:rsidRDefault="00C345D5" w:rsidP="00C345D5">
      <w:pPr>
        <w:spacing w:line="480" w:lineRule="auto"/>
        <w:jc w:val="both"/>
        <w:rPr>
          <w:sz w:val="24"/>
          <w:szCs w:val="24"/>
        </w:rPr>
      </w:pPr>
      <w:r w:rsidRPr="00C345D5">
        <w:rPr>
          <w:sz w:val="24"/>
          <w:szCs w:val="24"/>
        </w:rPr>
        <w:t xml:space="preserve">Buckland, the then Justice Secretary, passed the Domestic Abuse Bill (2020) stating that all victims of domestic violence would be automatically entitled to apply for special measures in criminal courts. Therefore my victim was offered the opportunity to apply for such measures. They were introduced by the Youth Justice and Criminal Evidence Act (1999) and are considered a way of achieving best evidence. The National Police Chiefs’ Council (2022) state that special measures are available to vulnerable and intimidated witnesses and allow for witnesses to be screened from the accused, to use recordings for video evidence in chief and communication through intermediaries. Once again in a bid to open and honest with my victim I advised her that the final decision for special measures if left up to the court. This is in order to comply with the human rights act ensuring that the suspect is able to get a fair trial and the special measures do not affect the evidence being giving. </w:t>
      </w:r>
    </w:p>
    <w:p w14:paraId="460334DC" w14:textId="77777777" w:rsidR="00C345D5" w:rsidRPr="00C345D5" w:rsidRDefault="00C345D5" w:rsidP="00C345D5">
      <w:pPr>
        <w:pStyle w:val="NormalWeb"/>
        <w:spacing w:line="480" w:lineRule="auto"/>
        <w:jc w:val="both"/>
        <w:rPr>
          <w:rFonts w:ascii="Arial" w:hAnsi="Arial" w:cs="Arial"/>
        </w:rPr>
      </w:pPr>
      <w:r w:rsidRPr="00C345D5">
        <w:rPr>
          <w:rFonts w:ascii="Arial" w:hAnsi="Arial" w:cs="Arial"/>
        </w:rPr>
        <w:t xml:space="preserve">Feelings  – During the initial stages of the investigation I was feeling overwhelmed by the cultural problems posed by dealing with GRT and the seriousness of the allegations made at the call. I realised that I was not able to let this sway my actions as everyone deserves to be treated fairly and with respect. Whilst the investigation progressed and the victim engaged I began to feel a lot more positive in my ability to make difference to the victim. Following to conclusion of my role within the investigation I feel confident that I acted selflessly and with integrity to take the matter to court. </w:t>
      </w:r>
    </w:p>
    <w:p w14:paraId="040FB025" w14:textId="77777777" w:rsidR="00C345D5" w:rsidRPr="00C345D5" w:rsidRDefault="00C345D5" w:rsidP="00C345D5">
      <w:pPr>
        <w:pStyle w:val="NormalWeb"/>
        <w:spacing w:line="480" w:lineRule="auto"/>
        <w:jc w:val="both"/>
        <w:rPr>
          <w:rFonts w:ascii="Arial" w:hAnsi="Arial" w:cs="Arial"/>
        </w:rPr>
      </w:pPr>
      <w:r w:rsidRPr="00C345D5">
        <w:rPr>
          <w:rFonts w:ascii="Arial" w:hAnsi="Arial" w:cs="Arial"/>
        </w:rPr>
        <w:t>Evaluation – over all I think I dealt with the situation well and believe I delivered a quality service to the victim. Managing to obtain a statement in this situation was a key component to securing an arrest and hopefully a conviction.</w:t>
      </w:r>
    </w:p>
    <w:p w14:paraId="68E53535" w14:textId="77777777" w:rsidR="00C345D5" w:rsidRPr="00C345D5" w:rsidRDefault="00C345D5" w:rsidP="00C345D5">
      <w:pPr>
        <w:pStyle w:val="NormalWeb"/>
        <w:spacing w:line="480" w:lineRule="auto"/>
        <w:jc w:val="both"/>
        <w:rPr>
          <w:rFonts w:ascii="Arial" w:hAnsi="Arial" w:cs="Arial"/>
        </w:rPr>
      </w:pPr>
      <w:r w:rsidRPr="00C345D5">
        <w:rPr>
          <w:rFonts w:ascii="Arial" w:hAnsi="Arial" w:cs="Arial"/>
        </w:rPr>
        <w:lastRenderedPageBreak/>
        <w:t xml:space="preserve">Analysis – I think my understanding of the victims code played large part in keeping the victim on side throughout the process. Seeking the help of the rapid team and applying for things like special measures and appointing the victim an Independent Domestic Violence Advisor was vital in ensuring the case made it to court but also that the victim was given an opportunity to provide the best evidence that she was able to. </w:t>
      </w:r>
    </w:p>
    <w:p w14:paraId="3C37342E" w14:textId="77777777" w:rsidR="00C345D5" w:rsidRPr="00C345D5" w:rsidRDefault="00C345D5" w:rsidP="00C345D5">
      <w:pPr>
        <w:pStyle w:val="NormalWeb"/>
        <w:spacing w:line="480" w:lineRule="auto"/>
        <w:jc w:val="both"/>
        <w:rPr>
          <w:rFonts w:ascii="Arial" w:hAnsi="Arial" w:cs="Arial"/>
        </w:rPr>
      </w:pPr>
      <w:r w:rsidRPr="00C345D5">
        <w:rPr>
          <w:rFonts w:ascii="Arial" w:hAnsi="Arial" w:cs="Arial"/>
        </w:rPr>
        <w:t xml:space="preserve">Conclusion– regardless of the outcome of the investigation having a sound understanding of the victims’ code and the significance of differing cultures and acts such as human rights has on investigation has allowed me to provide what I believe to be a quality service to the victim enhancing relationships between GRT and the police but most importantly to safeguard the victim.  </w:t>
      </w:r>
    </w:p>
    <w:p w14:paraId="2CD9A134" w14:textId="5C0DFF3D" w:rsidR="00C345D5" w:rsidRPr="00C345D5" w:rsidRDefault="00C345D5" w:rsidP="00C345D5">
      <w:pPr>
        <w:pStyle w:val="NormalWeb"/>
        <w:spacing w:line="480" w:lineRule="auto"/>
        <w:jc w:val="both"/>
        <w:rPr>
          <w:rFonts w:ascii="Arial" w:hAnsi="Arial" w:cs="Arial"/>
        </w:rPr>
      </w:pPr>
      <w:r w:rsidRPr="00C345D5">
        <w:rPr>
          <w:rFonts w:ascii="Arial" w:hAnsi="Arial" w:cs="Arial"/>
        </w:rPr>
        <w:t xml:space="preserve">Action Plan– if I was to deal with a similar situation in the future, I would seek advice from the force single point of contact for dealing with the Gypsy Roman Traveller community not only to ensure a better service for the victim but to enhance my knowledge on how deal with such a misunderstood community. The SPOC will have a much better knowledge of the community that I can not only learn from but also may already have a relationship with individuals that I can make use of as a starting point for building my own relationships for further investigations. </w:t>
      </w:r>
    </w:p>
    <w:p w14:paraId="416EFA95" w14:textId="77777777" w:rsidR="00025650" w:rsidRPr="00270EEB" w:rsidRDefault="00025650" w:rsidP="00E6298B">
      <w:pPr>
        <w:ind w:right="107"/>
        <w:jc w:val="both"/>
        <w:rPr>
          <w:sz w:val="24"/>
          <w:szCs w:val="24"/>
        </w:rPr>
      </w:pPr>
    </w:p>
    <w:p w14:paraId="598FFEC5" w14:textId="21FB4139" w:rsidR="00025650" w:rsidRPr="00C345D5" w:rsidRDefault="00C345D5" w:rsidP="00E6298B">
      <w:pPr>
        <w:ind w:right="107"/>
        <w:jc w:val="both"/>
        <w:rPr>
          <w:b/>
          <w:bCs/>
          <w:sz w:val="24"/>
          <w:szCs w:val="24"/>
        </w:rPr>
      </w:pPr>
      <w:r w:rsidRPr="00C345D5">
        <w:rPr>
          <w:b/>
          <w:bCs/>
          <w:sz w:val="24"/>
          <w:szCs w:val="24"/>
        </w:rPr>
        <w:t>W</w:t>
      </w:r>
      <w:r>
        <w:rPr>
          <w:b/>
          <w:bCs/>
          <w:sz w:val="24"/>
          <w:szCs w:val="24"/>
        </w:rPr>
        <w:t>ORDS</w:t>
      </w:r>
      <w:r w:rsidRPr="00C345D5">
        <w:rPr>
          <w:b/>
          <w:bCs/>
          <w:sz w:val="24"/>
          <w:szCs w:val="24"/>
        </w:rPr>
        <w:t xml:space="preserve"> 1754</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507151B7" w14:textId="77777777" w:rsidR="002A535D" w:rsidRDefault="002A535D" w:rsidP="00E6298B">
      <w:pPr>
        <w:ind w:right="107"/>
        <w:jc w:val="both"/>
        <w:rPr>
          <w:b/>
          <w:sz w:val="24"/>
          <w:szCs w:val="24"/>
        </w:rPr>
      </w:pPr>
    </w:p>
    <w:p w14:paraId="04B52EFE" w14:textId="77777777" w:rsidR="002A535D" w:rsidRPr="002A535D" w:rsidRDefault="002A535D" w:rsidP="002A535D">
      <w:pPr>
        <w:spacing w:line="360" w:lineRule="auto"/>
        <w:jc w:val="both"/>
        <w:rPr>
          <w:sz w:val="24"/>
          <w:szCs w:val="24"/>
        </w:rPr>
      </w:pPr>
      <w:r w:rsidRPr="002A535D">
        <w:rPr>
          <w:sz w:val="24"/>
          <w:szCs w:val="24"/>
        </w:rPr>
        <w:t xml:space="preserve">In this essay I will critically assessa policing incident in which I have played a significant role, I will then critically reflect upon how I have utilised the police national decision making model throughout this incident as well as review how my actions were affected and guided by the governance of the Criminal Procedure and Investigations Act (1996). I will be using Gibbs (1988) model of reflection to aid the reflection process. </w:t>
      </w:r>
    </w:p>
    <w:p w14:paraId="35D86632" w14:textId="77777777" w:rsidR="002A535D" w:rsidRPr="002A535D" w:rsidRDefault="002A535D" w:rsidP="002A535D">
      <w:pPr>
        <w:spacing w:line="360" w:lineRule="auto"/>
        <w:jc w:val="both"/>
        <w:rPr>
          <w:sz w:val="24"/>
          <w:szCs w:val="24"/>
        </w:rPr>
      </w:pPr>
    </w:p>
    <w:p w14:paraId="49D54E2D" w14:textId="77777777" w:rsidR="002A535D" w:rsidRPr="002A535D" w:rsidRDefault="002A535D" w:rsidP="002A535D">
      <w:pPr>
        <w:spacing w:line="360" w:lineRule="auto"/>
        <w:jc w:val="both"/>
        <w:rPr>
          <w:sz w:val="24"/>
          <w:szCs w:val="24"/>
        </w:rPr>
      </w:pPr>
      <w:r w:rsidRPr="002A535D">
        <w:rPr>
          <w:sz w:val="24"/>
          <w:szCs w:val="24"/>
        </w:rPr>
        <w:t>On a day to day, and even call to call basis police officers are faced with a magnitude of decisions to make. All of which will have an effect on themselves, victims and witnesses, suspects and any subsequent investigations. In order to make this process easier, more robust and more uniform as well as to avoid or even eliminate risk, police officers are taught the Police National Decision making model by the College of Policing (2014). There are 6 steps to the NDM. They are:</w:t>
      </w:r>
    </w:p>
    <w:p w14:paraId="1724EF2A" w14:textId="77777777" w:rsidR="002A535D" w:rsidRPr="002A535D" w:rsidRDefault="002A535D" w:rsidP="002A535D">
      <w:pPr>
        <w:spacing w:line="360" w:lineRule="auto"/>
        <w:jc w:val="both"/>
        <w:rPr>
          <w:sz w:val="24"/>
          <w:szCs w:val="24"/>
        </w:rPr>
      </w:pPr>
    </w:p>
    <w:p w14:paraId="7EF7D76D" w14:textId="77777777" w:rsidR="002A535D" w:rsidRPr="002A535D" w:rsidRDefault="002A535D" w:rsidP="002A535D">
      <w:pPr>
        <w:spacing w:line="360" w:lineRule="auto"/>
        <w:ind w:left="720"/>
        <w:jc w:val="both"/>
        <w:rPr>
          <w:sz w:val="24"/>
          <w:szCs w:val="24"/>
        </w:rPr>
      </w:pPr>
      <w:r w:rsidRPr="002A535D">
        <w:rPr>
          <w:sz w:val="24"/>
          <w:szCs w:val="24"/>
        </w:rPr>
        <w:t>1 – Code of Ethics</w:t>
      </w:r>
    </w:p>
    <w:p w14:paraId="05106125" w14:textId="77777777" w:rsidR="002A535D" w:rsidRPr="002A535D" w:rsidRDefault="002A535D" w:rsidP="002A535D">
      <w:pPr>
        <w:spacing w:line="360" w:lineRule="auto"/>
        <w:ind w:left="720"/>
        <w:jc w:val="both"/>
        <w:rPr>
          <w:sz w:val="24"/>
          <w:szCs w:val="24"/>
        </w:rPr>
      </w:pPr>
      <w:r w:rsidRPr="002A535D">
        <w:rPr>
          <w:sz w:val="24"/>
          <w:szCs w:val="24"/>
        </w:rPr>
        <w:t>2 – Gather Information and Intelligence</w:t>
      </w:r>
    </w:p>
    <w:p w14:paraId="606B752C" w14:textId="77777777" w:rsidR="002A535D" w:rsidRPr="002A535D" w:rsidRDefault="002A535D" w:rsidP="002A535D">
      <w:pPr>
        <w:spacing w:line="360" w:lineRule="auto"/>
        <w:ind w:left="720"/>
        <w:jc w:val="both"/>
        <w:rPr>
          <w:sz w:val="24"/>
          <w:szCs w:val="24"/>
        </w:rPr>
      </w:pPr>
      <w:r w:rsidRPr="002A535D">
        <w:rPr>
          <w:sz w:val="24"/>
          <w:szCs w:val="24"/>
        </w:rPr>
        <w:lastRenderedPageBreak/>
        <w:t>3 – Assess Threat and Risk and Develop a Working Strategy</w:t>
      </w:r>
    </w:p>
    <w:p w14:paraId="157B03AF" w14:textId="77777777" w:rsidR="002A535D" w:rsidRPr="002A535D" w:rsidRDefault="002A535D" w:rsidP="002A535D">
      <w:pPr>
        <w:spacing w:line="360" w:lineRule="auto"/>
        <w:ind w:left="720"/>
        <w:jc w:val="both"/>
        <w:rPr>
          <w:sz w:val="24"/>
          <w:szCs w:val="24"/>
        </w:rPr>
      </w:pPr>
      <w:r w:rsidRPr="002A535D">
        <w:rPr>
          <w:sz w:val="24"/>
          <w:szCs w:val="24"/>
        </w:rPr>
        <w:t>4 – Consider Powers and Policies</w:t>
      </w:r>
    </w:p>
    <w:p w14:paraId="2B491D3A" w14:textId="77777777" w:rsidR="002A535D" w:rsidRPr="002A535D" w:rsidRDefault="002A535D" w:rsidP="002A535D">
      <w:pPr>
        <w:spacing w:line="360" w:lineRule="auto"/>
        <w:ind w:left="720"/>
        <w:jc w:val="both"/>
        <w:rPr>
          <w:sz w:val="24"/>
          <w:szCs w:val="24"/>
        </w:rPr>
      </w:pPr>
      <w:r w:rsidRPr="002A535D">
        <w:rPr>
          <w:sz w:val="24"/>
          <w:szCs w:val="24"/>
        </w:rPr>
        <w:t>5 – Identify Options and Contingencies</w:t>
      </w:r>
    </w:p>
    <w:p w14:paraId="2EF30CF1" w14:textId="77777777" w:rsidR="002A535D" w:rsidRPr="002A535D" w:rsidRDefault="002A535D" w:rsidP="002A535D">
      <w:pPr>
        <w:spacing w:line="360" w:lineRule="auto"/>
        <w:ind w:left="720"/>
        <w:jc w:val="both"/>
        <w:rPr>
          <w:sz w:val="24"/>
          <w:szCs w:val="24"/>
        </w:rPr>
      </w:pPr>
      <w:r w:rsidRPr="002A535D">
        <w:rPr>
          <w:sz w:val="24"/>
          <w:szCs w:val="24"/>
        </w:rPr>
        <w:t>6 – Take action and Review What Happened</w:t>
      </w:r>
    </w:p>
    <w:p w14:paraId="3D444F58" w14:textId="77777777" w:rsidR="002A535D" w:rsidRPr="002A535D" w:rsidRDefault="002A535D" w:rsidP="002A535D">
      <w:pPr>
        <w:spacing w:line="360" w:lineRule="auto"/>
        <w:jc w:val="both"/>
        <w:rPr>
          <w:sz w:val="24"/>
          <w:szCs w:val="24"/>
        </w:rPr>
      </w:pPr>
    </w:p>
    <w:p w14:paraId="00A4BBFD" w14:textId="77777777" w:rsidR="002A535D" w:rsidRPr="002A535D" w:rsidRDefault="002A535D" w:rsidP="002A535D">
      <w:pPr>
        <w:spacing w:line="360" w:lineRule="auto"/>
        <w:jc w:val="both"/>
        <w:rPr>
          <w:sz w:val="24"/>
          <w:szCs w:val="24"/>
        </w:rPr>
      </w:pPr>
      <w:r w:rsidRPr="002A535D">
        <w:rPr>
          <w:sz w:val="24"/>
          <w:szCs w:val="24"/>
        </w:rPr>
        <w:t xml:space="preserve">The second topic within this essay is consideration and responsibility to abide by the Criminal Procedure and Investigations act (1996). The Ministry of Justice (2020) state that the purpose of the act is to ensure that officers record, retain and reveal material relating to the investigation to the prosecutor in the correct manner. This is known as disclosure. </w:t>
      </w:r>
    </w:p>
    <w:p w14:paraId="4ACC844B" w14:textId="77777777" w:rsidR="002A535D" w:rsidRPr="002A535D" w:rsidRDefault="002A535D" w:rsidP="002A535D">
      <w:pPr>
        <w:spacing w:line="360" w:lineRule="auto"/>
        <w:jc w:val="both"/>
        <w:rPr>
          <w:sz w:val="24"/>
          <w:szCs w:val="24"/>
        </w:rPr>
      </w:pPr>
    </w:p>
    <w:p w14:paraId="22FC119B" w14:textId="77777777" w:rsidR="002A535D" w:rsidRPr="002A535D" w:rsidRDefault="002A535D" w:rsidP="002A535D">
      <w:pPr>
        <w:spacing w:line="360" w:lineRule="auto"/>
        <w:jc w:val="both"/>
        <w:rPr>
          <w:sz w:val="24"/>
          <w:szCs w:val="24"/>
        </w:rPr>
      </w:pPr>
      <w:r w:rsidRPr="002A535D">
        <w:rPr>
          <w:sz w:val="24"/>
          <w:szCs w:val="24"/>
        </w:rPr>
        <w:t xml:space="preserve">I will first provide the context of the call that I attended and will then go on to explain how each step of the national decision-making model guided me through the scenario as it unfolded. Whilst out on mobile patrol a call came across the air of an on-going shop lifting incident at a local supermarket. A female had attempted to place alcohol into her bag with intention of making off without offering payment and place the rest of her items on the conveyor belt to distract staff from the alcohol. The suspect was currently being detained at the scene by members of security from the store and as a result of this they were becoming aggressive. No names or descriptions were passed of the individual at this point. It was also established that the suspect had been unable to make off with any goods as there were apprehended before leaving the store. </w:t>
      </w:r>
    </w:p>
    <w:p w14:paraId="3B3C3CE1" w14:textId="77777777" w:rsidR="002A535D" w:rsidRPr="002A535D" w:rsidRDefault="002A535D" w:rsidP="002A535D">
      <w:pPr>
        <w:spacing w:line="360" w:lineRule="auto"/>
        <w:jc w:val="both"/>
        <w:rPr>
          <w:sz w:val="24"/>
          <w:szCs w:val="24"/>
        </w:rPr>
      </w:pPr>
    </w:p>
    <w:p w14:paraId="1FE92DF2" w14:textId="77777777" w:rsidR="002A535D" w:rsidRPr="002A535D" w:rsidRDefault="002A535D" w:rsidP="002A535D">
      <w:pPr>
        <w:spacing w:line="360" w:lineRule="auto"/>
        <w:jc w:val="both"/>
        <w:rPr>
          <w:sz w:val="24"/>
          <w:szCs w:val="24"/>
        </w:rPr>
      </w:pPr>
      <w:r w:rsidRPr="002A535D">
        <w:rPr>
          <w:sz w:val="24"/>
          <w:szCs w:val="24"/>
        </w:rPr>
        <w:t xml:space="preserve">Upon arriving at the store I was greeting by the store manager, with the NDM in mind I began to gather as much information and intelligence I would regarding the situation. The manager provided me a first account of the incident which I recorded this in my electronic pocket notebook and obtained a signature from the manager so that it was recorded, a key element of the Criminal Procedure and Investigation Act (1996)  I also spoke with a number of witnesses in order to better understand situation. This also complied </w:t>
      </w:r>
      <w:r w:rsidRPr="002A535D">
        <w:rPr>
          <w:color w:val="000000" w:themeColor="text1"/>
          <w:sz w:val="24"/>
          <w:szCs w:val="24"/>
        </w:rPr>
        <w:t>with chapter 5 of the CPIA codes of practice which according to the Crown Prosecution Service (2022) states that officers have a duty to “</w:t>
      </w:r>
      <w:r w:rsidRPr="002A535D">
        <w:rPr>
          <w:color w:val="000000" w:themeColor="text1"/>
          <w:sz w:val="24"/>
          <w:szCs w:val="24"/>
          <w:shd w:val="clear" w:color="auto" w:fill="FFFFFF"/>
        </w:rPr>
        <w:t xml:space="preserve">pursue all reasonable lines of enquiry”. The manager also </w:t>
      </w:r>
      <w:r w:rsidRPr="002A535D">
        <w:rPr>
          <w:sz w:val="24"/>
          <w:szCs w:val="24"/>
        </w:rPr>
        <w:t xml:space="preserve">stated that there was CCTV of the incident which I have viewed and requested the manager then send it through to police via the appropriate method. The CCTV clearly shows a female placing alcohol bottles into her bag and placing the remaining goods onto the conveyor belt and attempt to pay for them but not the alcohol. I then matched the CCTV up against the description of the offender given to me during the first account. It was clear that it was the </w:t>
      </w:r>
      <w:r w:rsidRPr="002A535D">
        <w:rPr>
          <w:sz w:val="24"/>
          <w:szCs w:val="24"/>
        </w:rPr>
        <w:lastRenderedPageBreak/>
        <w:t xml:space="preserve">same person and this will serve as valuable evidence should the matter proceed to court. However no one at the store was able to provide details of the female so I was unable to carry out checks before engaging with the individual. I then obtained a statement from the manager outlining the cost of the goods that this female attempted to steal. </w:t>
      </w:r>
    </w:p>
    <w:p w14:paraId="4F9455C9" w14:textId="77777777" w:rsidR="002A535D" w:rsidRPr="002A535D" w:rsidRDefault="002A535D" w:rsidP="002A535D">
      <w:pPr>
        <w:spacing w:line="360" w:lineRule="auto"/>
        <w:jc w:val="both"/>
        <w:rPr>
          <w:sz w:val="24"/>
          <w:szCs w:val="24"/>
        </w:rPr>
      </w:pPr>
    </w:p>
    <w:p w14:paraId="08ABD4B1" w14:textId="77777777" w:rsidR="002A535D" w:rsidRPr="002A535D" w:rsidRDefault="002A535D" w:rsidP="002A535D">
      <w:pPr>
        <w:spacing w:line="360" w:lineRule="auto"/>
        <w:jc w:val="both"/>
        <w:rPr>
          <w:sz w:val="24"/>
          <w:szCs w:val="24"/>
        </w:rPr>
      </w:pPr>
      <w:r w:rsidRPr="002A535D">
        <w:rPr>
          <w:sz w:val="24"/>
          <w:szCs w:val="24"/>
        </w:rPr>
        <w:t xml:space="preserve">The next stage in the NDM is to assess threat and risk and develop a working strategy. The obvious risk in this instance was the fact that the female had already been described as aggressive towards staff. This is something I had to consider while preparing a working strategy. In conjunction with this I was unable to carry out checks on the individual to better understand any potential warning markers or history of violence etc. Finally the female had been placed in a small store cupboard with only one entrance and had not been searched so there was a possibility that she could be concealing items that could harm myself or my colleague. My working strategy was to engage with the female calmly in order to establish details whilst maintaining a safe distance. I would ensure no to go to far into the room so that I could not be isolated from my colleague with a potentially dangerous member of the public. </w:t>
      </w:r>
    </w:p>
    <w:p w14:paraId="430B4784" w14:textId="77777777" w:rsidR="002A535D" w:rsidRPr="002A535D" w:rsidRDefault="002A535D" w:rsidP="002A535D">
      <w:pPr>
        <w:spacing w:line="360" w:lineRule="auto"/>
        <w:jc w:val="both"/>
        <w:rPr>
          <w:sz w:val="24"/>
          <w:szCs w:val="24"/>
        </w:rPr>
      </w:pPr>
    </w:p>
    <w:p w14:paraId="22C37C28" w14:textId="77777777" w:rsidR="002A535D" w:rsidRPr="002A535D" w:rsidRDefault="002A535D" w:rsidP="002A535D">
      <w:pPr>
        <w:spacing w:line="360" w:lineRule="auto"/>
        <w:jc w:val="both"/>
        <w:rPr>
          <w:sz w:val="24"/>
          <w:szCs w:val="24"/>
        </w:rPr>
      </w:pPr>
      <w:r w:rsidRPr="002A535D">
        <w:rPr>
          <w:sz w:val="24"/>
          <w:szCs w:val="24"/>
        </w:rPr>
        <w:t xml:space="preserve">I have then opened the door and began to communicate with the female from outside the room initially. It was clear she was still aggressive and shouted words to the effect of “I haven’t stolen anything, they’ve got it back so just let me go” I explained to the female that she has still committed and offence and wouldn’t be allowed to leave until we established details. In this time the female had calmed down and explained that she is severely alcoholic and that’s why she had attempted to steal the alcohol. </w:t>
      </w:r>
    </w:p>
    <w:p w14:paraId="407EBEE8" w14:textId="77777777" w:rsidR="002A535D" w:rsidRPr="002A535D" w:rsidRDefault="002A535D" w:rsidP="002A535D">
      <w:pPr>
        <w:spacing w:line="360" w:lineRule="auto"/>
        <w:jc w:val="both"/>
        <w:rPr>
          <w:sz w:val="24"/>
          <w:szCs w:val="24"/>
        </w:rPr>
      </w:pPr>
    </w:p>
    <w:p w14:paraId="596EA2D8" w14:textId="77777777" w:rsidR="002A535D" w:rsidRPr="002A535D" w:rsidRDefault="002A535D" w:rsidP="002A535D">
      <w:pPr>
        <w:spacing w:line="360" w:lineRule="auto"/>
        <w:jc w:val="both"/>
        <w:rPr>
          <w:sz w:val="24"/>
          <w:szCs w:val="24"/>
        </w:rPr>
      </w:pPr>
    </w:p>
    <w:p w14:paraId="046A2D23" w14:textId="77777777" w:rsidR="002A535D" w:rsidRPr="002A535D" w:rsidRDefault="002A535D" w:rsidP="002A535D">
      <w:pPr>
        <w:spacing w:line="360" w:lineRule="auto"/>
        <w:jc w:val="both"/>
        <w:rPr>
          <w:sz w:val="24"/>
          <w:szCs w:val="24"/>
        </w:rPr>
      </w:pPr>
      <w:r w:rsidRPr="002A535D">
        <w:rPr>
          <w:sz w:val="24"/>
          <w:szCs w:val="24"/>
        </w:rPr>
        <w:t xml:space="preserve">The female then provided her name and date of birth and whilst I continued to calm the situation my colleague conducted a PNC check and discovered that she has previous for shop lifting, warning markers for assault police and conceals items. With this information I was now able to move onto the next stage of the NDM which is to consider the powers and policies that are available to me. Given the offence I decided to arrest the female, I have placed her in handcuffs which now negates part of the threat from her previous of assaulting officers. In turn this then gave me a power under section 32 of the Police and Criminal Evidence Act to search the female for any items involved in the offence, this also helped me establish that she was not concealing any potentially dangerous objects. </w:t>
      </w:r>
    </w:p>
    <w:p w14:paraId="78524412" w14:textId="77777777" w:rsidR="002A535D" w:rsidRPr="002A535D" w:rsidRDefault="002A535D" w:rsidP="002A535D">
      <w:pPr>
        <w:spacing w:line="360" w:lineRule="auto"/>
        <w:jc w:val="both"/>
        <w:rPr>
          <w:sz w:val="24"/>
          <w:szCs w:val="24"/>
        </w:rPr>
      </w:pPr>
    </w:p>
    <w:p w14:paraId="070A54C3" w14:textId="77777777" w:rsidR="002A535D" w:rsidRPr="002A535D" w:rsidRDefault="002A535D" w:rsidP="002A535D">
      <w:pPr>
        <w:spacing w:line="360" w:lineRule="auto"/>
        <w:jc w:val="both"/>
        <w:rPr>
          <w:sz w:val="24"/>
          <w:szCs w:val="24"/>
        </w:rPr>
      </w:pPr>
      <w:r w:rsidRPr="002A535D">
        <w:rPr>
          <w:sz w:val="24"/>
          <w:szCs w:val="24"/>
        </w:rPr>
        <w:lastRenderedPageBreak/>
        <w:t xml:space="preserve">Now that the incident had been deescalated and the offender arrested and cuffed I was able to move onto the next stage of the NDM which is to identify options and contingencies. Having already arrested the suspect I could continue to go down that route, convey her to custody and carry out an interview before deciding on a charging decision. Or I could have de-arrested and issued an out of court disposal. I was able to make this decision using my police discretion, this allows me to use my professional judgment and authority to decide on what the best course of action would be. In this case the influencing factors on this decision would be the fact that the suspect has previous for the offence and the public perception as there were a number of witnesses in the store. Given these factors, the overwhelming evidence and the cost of the goods that she attempted to steal an out of court disposal would have been insufficient in this case. This lead me to continue with my original plan of arrest, interview and possible charging decision. </w:t>
      </w:r>
    </w:p>
    <w:p w14:paraId="326277CF" w14:textId="77777777" w:rsidR="002A535D" w:rsidRPr="002A535D" w:rsidRDefault="002A535D" w:rsidP="002A535D">
      <w:pPr>
        <w:spacing w:line="360" w:lineRule="auto"/>
        <w:jc w:val="both"/>
        <w:rPr>
          <w:sz w:val="24"/>
          <w:szCs w:val="24"/>
        </w:rPr>
      </w:pPr>
    </w:p>
    <w:p w14:paraId="069B182B" w14:textId="77777777" w:rsidR="002A535D" w:rsidRPr="002A535D" w:rsidRDefault="002A535D" w:rsidP="002A535D">
      <w:pPr>
        <w:spacing w:line="360" w:lineRule="auto"/>
        <w:jc w:val="both"/>
        <w:rPr>
          <w:sz w:val="24"/>
          <w:szCs w:val="24"/>
        </w:rPr>
      </w:pPr>
      <w:r w:rsidRPr="002A535D">
        <w:rPr>
          <w:sz w:val="24"/>
          <w:szCs w:val="24"/>
        </w:rPr>
        <w:t xml:space="preserve">The final step in the NDM is to take action and review what happened. Before leaving the store witness statements were obtained, photographs of stolen items were taken and CCTV of the incident was seized in order to put to the suspect in interview. These would then be disclosed to the solicitor in order to comply with CPIA, as the Crown Prosecution Service (2018) state that under CPIA any prosecution material must be disclosed to the accused. The suspect was interviewed in the presence of her solicitor and upon viewing the CCTV footage gave a full admission to the offence stating that she is taking responsibility for her actions owing to the need for help with her alcohol dependency condition. She was unable to provide any further defences in relation to the offence, had she done so, under CPIA I would be obliged to investigate any lines of enquiry that would point away from the suspect being guilty of the offence. Finally the offender was charged by the custody sergeant and it this point I played no further part in the incident. </w:t>
      </w:r>
    </w:p>
    <w:p w14:paraId="06FAE68B" w14:textId="77777777" w:rsidR="002A535D" w:rsidRPr="002A535D" w:rsidRDefault="002A535D" w:rsidP="002A535D">
      <w:pPr>
        <w:spacing w:line="360" w:lineRule="auto"/>
        <w:jc w:val="both"/>
        <w:rPr>
          <w:sz w:val="24"/>
          <w:szCs w:val="24"/>
        </w:rPr>
      </w:pPr>
    </w:p>
    <w:p w14:paraId="626B0975" w14:textId="77777777" w:rsidR="002A535D" w:rsidRPr="002A535D" w:rsidRDefault="002A535D" w:rsidP="002A535D">
      <w:pPr>
        <w:spacing w:line="360" w:lineRule="auto"/>
        <w:jc w:val="both"/>
        <w:rPr>
          <w:sz w:val="24"/>
          <w:szCs w:val="24"/>
        </w:rPr>
      </w:pPr>
    </w:p>
    <w:p w14:paraId="3F56B8BA" w14:textId="19E36514" w:rsidR="002A535D" w:rsidRPr="002A535D" w:rsidRDefault="002A535D" w:rsidP="002A535D">
      <w:pPr>
        <w:spacing w:line="360" w:lineRule="auto"/>
        <w:jc w:val="both"/>
        <w:rPr>
          <w:sz w:val="24"/>
          <w:szCs w:val="24"/>
        </w:rPr>
      </w:pPr>
      <w:r w:rsidRPr="002A535D">
        <w:rPr>
          <w:sz w:val="24"/>
          <w:szCs w:val="24"/>
        </w:rPr>
        <w:t>Reflection</w:t>
      </w:r>
      <w:r>
        <w:rPr>
          <w:sz w:val="24"/>
          <w:szCs w:val="24"/>
        </w:rPr>
        <w:t xml:space="preserve"> Using Gibbs (1988) Reflective Model.</w:t>
      </w:r>
    </w:p>
    <w:p w14:paraId="7CF98EA2" w14:textId="77777777" w:rsidR="002A535D" w:rsidRPr="002A535D" w:rsidRDefault="002A535D" w:rsidP="002A535D">
      <w:pPr>
        <w:spacing w:line="360" w:lineRule="auto"/>
        <w:jc w:val="both"/>
        <w:rPr>
          <w:sz w:val="24"/>
          <w:szCs w:val="24"/>
        </w:rPr>
      </w:pPr>
    </w:p>
    <w:p w14:paraId="0CE1DF9B" w14:textId="77777777" w:rsidR="002A535D" w:rsidRPr="002A535D" w:rsidRDefault="002A535D" w:rsidP="002A535D">
      <w:pPr>
        <w:spacing w:line="360" w:lineRule="auto"/>
        <w:jc w:val="both"/>
        <w:rPr>
          <w:sz w:val="24"/>
          <w:szCs w:val="24"/>
          <w:u w:val="single"/>
        </w:rPr>
      </w:pPr>
      <w:r w:rsidRPr="002A535D">
        <w:rPr>
          <w:sz w:val="24"/>
          <w:szCs w:val="24"/>
          <w:u w:val="single"/>
        </w:rPr>
        <w:t>Description</w:t>
      </w:r>
    </w:p>
    <w:p w14:paraId="504BEF6F" w14:textId="77777777" w:rsidR="002A535D" w:rsidRPr="002A535D" w:rsidRDefault="002A535D" w:rsidP="002A535D">
      <w:pPr>
        <w:spacing w:line="360" w:lineRule="auto"/>
        <w:jc w:val="both"/>
        <w:rPr>
          <w:sz w:val="24"/>
          <w:szCs w:val="24"/>
        </w:rPr>
      </w:pPr>
      <w:r w:rsidRPr="002A535D">
        <w:rPr>
          <w:sz w:val="24"/>
          <w:szCs w:val="24"/>
        </w:rPr>
        <w:t>See description of the call throughout the assignment.</w:t>
      </w:r>
    </w:p>
    <w:p w14:paraId="0C2D6306" w14:textId="77777777" w:rsidR="002A535D" w:rsidRPr="002A535D" w:rsidRDefault="002A535D" w:rsidP="002A535D">
      <w:pPr>
        <w:spacing w:line="360" w:lineRule="auto"/>
        <w:jc w:val="both"/>
        <w:rPr>
          <w:sz w:val="24"/>
          <w:szCs w:val="24"/>
        </w:rPr>
      </w:pPr>
    </w:p>
    <w:p w14:paraId="443C8DA9" w14:textId="77777777" w:rsidR="002A535D" w:rsidRPr="002A535D" w:rsidRDefault="002A535D" w:rsidP="002A535D">
      <w:pPr>
        <w:spacing w:line="360" w:lineRule="auto"/>
        <w:jc w:val="both"/>
        <w:rPr>
          <w:sz w:val="24"/>
          <w:szCs w:val="24"/>
          <w:u w:val="single"/>
        </w:rPr>
      </w:pPr>
      <w:r w:rsidRPr="002A535D">
        <w:rPr>
          <w:sz w:val="24"/>
          <w:szCs w:val="24"/>
          <w:u w:val="single"/>
        </w:rPr>
        <w:t>Feelings</w:t>
      </w:r>
    </w:p>
    <w:p w14:paraId="621353E0" w14:textId="77777777" w:rsidR="002A535D" w:rsidRPr="002A535D" w:rsidRDefault="002A535D" w:rsidP="002A535D">
      <w:pPr>
        <w:spacing w:line="360" w:lineRule="auto"/>
        <w:jc w:val="both"/>
        <w:rPr>
          <w:sz w:val="24"/>
          <w:szCs w:val="24"/>
        </w:rPr>
      </w:pPr>
      <w:r w:rsidRPr="002A535D">
        <w:rPr>
          <w:sz w:val="24"/>
          <w:szCs w:val="24"/>
        </w:rPr>
        <w:lastRenderedPageBreak/>
        <w:t>Going into this incident I felt underprepared owing to the lack of information providing in regard to the suspect. This made it difficult for me to create any sort of working strategy. However, once I arrived and began to spin the NDM I quickly gained some confidence in that I had a framework to follow and that I knew I wouldn’t be criticised for my work as long as I could justify why I have done it in relation to the NDM</w:t>
      </w:r>
    </w:p>
    <w:p w14:paraId="1A859D28" w14:textId="77777777" w:rsidR="002A535D" w:rsidRPr="002A535D" w:rsidRDefault="002A535D" w:rsidP="002A535D">
      <w:pPr>
        <w:spacing w:line="360" w:lineRule="auto"/>
        <w:jc w:val="both"/>
        <w:rPr>
          <w:sz w:val="24"/>
          <w:szCs w:val="24"/>
        </w:rPr>
      </w:pPr>
    </w:p>
    <w:p w14:paraId="12EAC6C6" w14:textId="77777777" w:rsidR="002A535D" w:rsidRPr="002A535D" w:rsidRDefault="002A535D" w:rsidP="002A535D">
      <w:pPr>
        <w:spacing w:line="360" w:lineRule="auto"/>
        <w:jc w:val="both"/>
        <w:rPr>
          <w:sz w:val="24"/>
          <w:szCs w:val="24"/>
          <w:u w:val="single"/>
        </w:rPr>
      </w:pPr>
      <w:r w:rsidRPr="002A535D">
        <w:rPr>
          <w:sz w:val="24"/>
          <w:szCs w:val="24"/>
          <w:u w:val="single"/>
        </w:rPr>
        <w:t>Evaluation</w:t>
      </w:r>
    </w:p>
    <w:p w14:paraId="53D85918" w14:textId="77777777" w:rsidR="002A535D" w:rsidRPr="002A535D" w:rsidRDefault="002A535D" w:rsidP="002A535D">
      <w:pPr>
        <w:spacing w:line="360" w:lineRule="auto"/>
        <w:jc w:val="both"/>
        <w:rPr>
          <w:sz w:val="24"/>
          <w:szCs w:val="24"/>
        </w:rPr>
      </w:pPr>
      <w:r w:rsidRPr="002A535D">
        <w:rPr>
          <w:sz w:val="24"/>
          <w:szCs w:val="24"/>
        </w:rPr>
        <w:t>The best part of the experience was that I was able to spin the NDM without any hesitation and knew each step of the process. I think the only part did not go so well is when I decided to arrest before I had a chance to consider things like out of court disposals making it difficult to back track change my course of action.</w:t>
      </w:r>
    </w:p>
    <w:p w14:paraId="2DDECC48" w14:textId="77777777" w:rsidR="002A535D" w:rsidRPr="002A535D" w:rsidRDefault="002A535D" w:rsidP="002A535D">
      <w:pPr>
        <w:spacing w:line="360" w:lineRule="auto"/>
        <w:jc w:val="both"/>
        <w:rPr>
          <w:sz w:val="24"/>
          <w:szCs w:val="24"/>
        </w:rPr>
      </w:pPr>
    </w:p>
    <w:p w14:paraId="574FA279" w14:textId="77777777" w:rsidR="002A535D" w:rsidRPr="002A535D" w:rsidRDefault="002A535D" w:rsidP="002A535D">
      <w:pPr>
        <w:spacing w:line="360" w:lineRule="auto"/>
        <w:jc w:val="both"/>
        <w:rPr>
          <w:sz w:val="24"/>
          <w:szCs w:val="24"/>
          <w:u w:val="single"/>
        </w:rPr>
      </w:pPr>
      <w:r w:rsidRPr="002A535D">
        <w:rPr>
          <w:sz w:val="24"/>
          <w:szCs w:val="24"/>
          <w:u w:val="single"/>
        </w:rPr>
        <w:t xml:space="preserve">Analysis </w:t>
      </w:r>
    </w:p>
    <w:p w14:paraId="2518DE44" w14:textId="77777777" w:rsidR="002A535D" w:rsidRPr="002A535D" w:rsidRDefault="002A535D" w:rsidP="002A535D">
      <w:pPr>
        <w:spacing w:line="360" w:lineRule="auto"/>
        <w:jc w:val="both"/>
        <w:rPr>
          <w:sz w:val="24"/>
          <w:szCs w:val="24"/>
        </w:rPr>
      </w:pPr>
      <w:r w:rsidRPr="002A535D">
        <w:rPr>
          <w:sz w:val="24"/>
          <w:szCs w:val="24"/>
        </w:rPr>
        <w:t xml:space="preserve">I think it was so easy to spin the NDM because it is a step-by-step framework and can be applied to any incident. However I think I made a decision too quickly to arrest, even though it was correct, I think I skipped over a step because I was rushing to get through the process. </w:t>
      </w:r>
    </w:p>
    <w:p w14:paraId="4613962B" w14:textId="77777777" w:rsidR="002A535D" w:rsidRPr="002A535D" w:rsidRDefault="002A535D" w:rsidP="002A535D">
      <w:pPr>
        <w:spacing w:line="360" w:lineRule="auto"/>
        <w:jc w:val="both"/>
        <w:rPr>
          <w:sz w:val="24"/>
          <w:szCs w:val="24"/>
          <w:u w:val="single"/>
        </w:rPr>
      </w:pPr>
    </w:p>
    <w:p w14:paraId="7874C3B0" w14:textId="77777777" w:rsidR="002A535D" w:rsidRPr="002A535D" w:rsidRDefault="002A535D" w:rsidP="002A535D">
      <w:pPr>
        <w:spacing w:line="360" w:lineRule="auto"/>
        <w:jc w:val="both"/>
        <w:rPr>
          <w:sz w:val="24"/>
          <w:szCs w:val="24"/>
        </w:rPr>
      </w:pPr>
      <w:r w:rsidRPr="002A535D">
        <w:rPr>
          <w:sz w:val="24"/>
          <w:szCs w:val="24"/>
          <w:u w:val="single"/>
        </w:rPr>
        <w:t xml:space="preserve">Conclusion </w:t>
      </w:r>
    </w:p>
    <w:p w14:paraId="32842F80" w14:textId="77777777" w:rsidR="002A535D" w:rsidRPr="002A535D" w:rsidRDefault="002A535D" w:rsidP="002A535D">
      <w:pPr>
        <w:spacing w:line="360" w:lineRule="auto"/>
        <w:jc w:val="both"/>
        <w:rPr>
          <w:sz w:val="24"/>
          <w:szCs w:val="24"/>
        </w:rPr>
      </w:pPr>
      <w:r w:rsidRPr="002A535D">
        <w:rPr>
          <w:sz w:val="24"/>
          <w:szCs w:val="24"/>
        </w:rPr>
        <w:t>I have learned the value of the NDM as a result of this incident. It is a clear framework that is easy to follow and will almost always keep you on the right track, it takes care of decision making for you which allows you to focus on other areas such as personal safety and victim care etc.</w:t>
      </w:r>
    </w:p>
    <w:p w14:paraId="141EFF05" w14:textId="77777777" w:rsidR="002A535D" w:rsidRPr="002A535D" w:rsidRDefault="002A535D" w:rsidP="002A535D">
      <w:pPr>
        <w:spacing w:line="360" w:lineRule="auto"/>
        <w:jc w:val="both"/>
        <w:rPr>
          <w:sz w:val="24"/>
          <w:szCs w:val="24"/>
        </w:rPr>
      </w:pPr>
    </w:p>
    <w:p w14:paraId="042A1B2B" w14:textId="77777777" w:rsidR="002A535D" w:rsidRPr="002A535D" w:rsidRDefault="002A535D" w:rsidP="002A535D">
      <w:pPr>
        <w:spacing w:line="360" w:lineRule="auto"/>
        <w:jc w:val="both"/>
        <w:rPr>
          <w:sz w:val="24"/>
          <w:szCs w:val="24"/>
          <w:u w:val="single"/>
        </w:rPr>
      </w:pPr>
      <w:r w:rsidRPr="002A535D">
        <w:rPr>
          <w:sz w:val="24"/>
          <w:szCs w:val="24"/>
          <w:u w:val="single"/>
        </w:rPr>
        <w:t>Action Plan</w:t>
      </w:r>
    </w:p>
    <w:p w14:paraId="5E60E483" w14:textId="77777777" w:rsidR="002A535D" w:rsidRPr="002A535D" w:rsidRDefault="002A535D" w:rsidP="002A535D">
      <w:pPr>
        <w:spacing w:line="360" w:lineRule="auto"/>
        <w:jc w:val="both"/>
        <w:rPr>
          <w:sz w:val="24"/>
          <w:szCs w:val="24"/>
        </w:rPr>
      </w:pPr>
      <w:r w:rsidRPr="002A535D">
        <w:rPr>
          <w:sz w:val="24"/>
          <w:szCs w:val="24"/>
        </w:rPr>
        <w:t>I will continue to use the national decision- making model in every call I go to throughout my career. And even though on occasion it might be difficult to dwell on every point depending on the treat, risk harm etc I must my best not to skip points out before making a decision.</w:t>
      </w:r>
    </w:p>
    <w:p w14:paraId="371A3D79" w14:textId="77777777" w:rsidR="002A535D" w:rsidRPr="00450C83" w:rsidRDefault="002A535D" w:rsidP="00E6298B">
      <w:pPr>
        <w:ind w:right="107"/>
        <w:jc w:val="both"/>
        <w:rPr>
          <w:b/>
          <w:sz w:val="24"/>
          <w:szCs w:val="24"/>
        </w:rPr>
      </w:pPr>
    </w:p>
    <w:p w14:paraId="4228E72D" w14:textId="77777777" w:rsidR="006C7CA5" w:rsidRDefault="006C7CA5" w:rsidP="00E6298B">
      <w:pPr>
        <w:ind w:right="107"/>
        <w:jc w:val="both"/>
        <w:rPr>
          <w:sz w:val="24"/>
          <w:szCs w:val="24"/>
        </w:rPr>
      </w:pPr>
    </w:p>
    <w:p w14:paraId="7922BE10" w14:textId="58C54F42" w:rsidR="002A535D" w:rsidRPr="00270EEB" w:rsidRDefault="002A535D" w:rsidP="00E6298B">
      <w:pPr>
        <w:ind w:right="107"/>
        <w:jc w:val="both"/>
        <w:rPr>
          <w:sz w:val="24"/>
          <w:szCs w:val="24"/>
        </w:rPr>
      </w:pPr>
      <w:r>
        <w:rPr>
          <w:sz w:val="24"/>
          <w:szCs w:val="24"/>
        </w:rPr>
        <w:t>WORDS - 1767</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92CAEBA" w14:textId="4A488B19" w:rsidR="000F7ECD" w:rsidRPr="00270EEB" w:rsidRDefault="000F7ECD" w:rsidP="000B53C6">
      <w:pPr>
        <w:ind w:right="107"/>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2244CD64" w14:textId="77777777" w:rsidR="002A535D" w:rsidRDefault="002A535D" w:rsidP="00E6298B">
      <w:pPr>
        <w:ind w:right="107"/>
        <w:jc w:val="both"/>
        <w:rPr>
          <w:b/>
          <w:sz w:val="24"/>
          <w:szCs w:val="24"/>
        </w:rPr>
      </w:pPr>
    </w:p>
    <w:p w14:paraId="5307F6BB" w14:textId="77777777" w:rsidR="000B53C6" w:rsidRPr="00EC3589" w:rsidRDefault="000B53C6" w:rsidP="000B53C6">
      <w:pPr>
        <w:rPr>
          <w:sz w:val="24"/>
          <w:szCs w:val="24"/>
          <w:shd w:val="clear" w:color="auto" w:fill="FFFFFF"/>
        </w:rPr>
      </w:pPr>
      <w:r w:rsidRPr="00EC3589">
        <w:rPr>
          <w:sz w:val="24"/>
          <w:szCs w:val="24"/>
          <w:shd w:val="clear" w:color="auto" w:fill="FFFFFF"/>
        </w:rPr>
        <w:t>Borton, T. (1970) Reach, Touch and Teach. New York: McGraw-Hill Paperbacks.</w:t>
      </w:r>
    </w:p>
    <w:p w14:paraId="7391359A"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Caplin, A., Chen, F.S., Beauchamp, M.R. and Puterman, E., 2021. The effects of exercise intensity on the cortisol response to a subsequent acute psychosocial stressor.</w:t>
      </w:r>
      <w:r w:rsidRPr="00EC3589">
        <w:rPr>
          <w:rStyle w:val="apple-converted-space"/>
          <w:color w:val="222222"/>
          <w:sz w:val="24"/>
          <w:szCs w:val="24"/>
          <w:shd w:val="clear" w:color="auto" w:fill="FFFFFF"/>
        </w:rPr>
        <w:t> </w:t>
      </w:r>
      <w:r w:rsidRPr="00EC3589">
        <w:rPr>
          <w:i/>
          <w:iCs/>
          <w:color w:val="222222"/>
          <w:sz w:val="24"/>
          <w:szCs w:val="24"/>
        </w:rPr>
        <w:t>Psychoneuroendocrinology</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131</w:t>
      </w:r>
      <w:r w:rsidRPr="00EC3589">
        <w:rPr>
          <w:color w:val="222222"/>
          <w:sz w:val="24"/>
          <w:szCs w:val="24"/>
          <w:shd w:val="clear" w:color="auto" w:fill="FFFFFF"/>
        </w:rPr>
        <w:t>, p.105336.</w:t>
      </w:r>
    </w:p>
    <w:p w14:paraId="24C254B3" w14:textId="77777777" w:rsidR="000B53C6" w:rsidRPr="00EC3589" w:rsidRDefault="000B53C6" w:rsidP="000B53C6">
      <w:pPr>
        <w:pStyle w:val="NormalWeb"/>
        <w:rPr>
          <w:rFonts w:ascii="Arial" w:hAnsi="Arial" w:cs="Arial"/>
        </w:rPr>
      </w:pPr>
      <w:r w:rsidRPr="00EC3589">
        <w:rPr>
          <w:rFonts w:ascii="Arial" w:hAnsi="Arial" w:cs="Arial"/>
        </w:rPr>
        <w:t>College of Policing (2014) Code of Ethics. Available at https://assets.college.police.uk/s3fs-public/2021-02/code_of_ethics.pdf. (Accessed on 18</w:t>
      </w:r>
      <w:r w:rsidRPr="00EC3589">
        <w:rPr>
          <w:rFonts w:ascii="Arial" w:hAnsi="Arial" w:cs="Arial"/>
          <w:vertAlign w:val="superscript"/>
        </w:rPr>
        <w:t>th</w:t>
      </w:r>
      <w:r w:rsidRPr="00EC3589">
        <w:rPr>
          <w:rFonts w:ascii="Arial" w:hAnsi="Arial" w:cs="Arial"/>
        </w:rPr>
        <w:t xml:space="preserve"> May)</w:t>
      </w:r>
    </w:p>
    <w:p w14:paraId="4E382554" w14:textId="77777777" w:rsidR="000B53C6" w:rsidRPr="00EC3589" w:rsidRDefault="000B53C6" w:rsidP="000B53C6">
      <w:pPr>
        <w:pStyle w:val="NormalWeb"/>
        <w:rPr>
          <w:rFonts w:ascii="Arial" w:hAnsi="Arial" w:cs="Arial"/>
        </w:rPr>
      </w:pPr>
      <w:r w:rsidRPr="00EC3589">
        <w:rPr>
          <w:rFonts w:ascii="Arial" w:hAnsi="Arial" w:cs="Arial"/>
        </w:rPr>
        <w:t>College of Policing (2021) Victims Code of Practice. Available at https://www.college.police.uk/guidance/victims-code/victims-rights-policing. (Accessed on 20</w:t>
      </w:r>
      <w:r w:rsidRPr="00EC3589">
        <w:rPr>
          <w:rFonts w:ascii="Arial" w:hAnsi="Arial" w:cs="Arial"/>
          <w:vertAlign w:val="superscript"/>
        </w:rPr>
        <w:t>th</w:t>
      </w:r>
      <w:r w:rsidRPr="00EC3589">
        <w:rPr>
          <w:rFonts w:ascii="Arial" w:hAnsi="Arial" w:cs="Arial"/>
        </w:rPr>
        <w:t xml:space="preserve"> May) </w:t>
      </w:r>
    </w:p>
    <w:p w14:paraId="5AFCDA3C"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Crank, J.P., 1990. The influence of environmental and organizational factors on police style in urban and rural environments.</w:t>
      </w:r>
      <w:r w:rsidRPr="00EC3589">
        <w:rPr>
          <w:rStyle w:val="apple-converted-space"/>
          <w:color w:val="222222"/>
          <w:sz w:val="24"/>
          <w:szCs w:val="24"/>
          <w:shd w:val="clear" w:color="auto" w:fill="FFFFFF"/>
        </w:rPr>
        <w:t> </w:t>
      </w:r>
      <w:r w:rsidRPr="00EC3589">
        <w:rPr>
          <w:i/>
          <w:iCs/>
          <w:color w:val="222222"/>
          <w:sz w:val="24"/>
          <w:szCs w:val="24"/>
        </w:rPr>
        <w:t>Journal of Research in Crime and Delinquency</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27</w:t>
      </w:r>
      <w:r w:rsidRPr="00EC3589">
        <w:rPr>
          <w:color w:val="222222"/>
          <w:sz w:val="24"/>
          <w:szCs w:val="24"/>
          <w:shd w:val="clear" w:color="auto" w:fill="FFFFFF"/>
        </w:rPr>
        <w:t>(2), pp.166-189.</w:t>
      </w:r>
    </w:p>
    <w:p w14:paraId="314D1E05" w14:textId="77777777" w:rsidR="000B53C6" w:rsidRDefault="000B53C6" w:rsidP="000B53C6"/>
    <w:p w14:paraId="768560B5" w14:textId="77777777" w:rsidR="000B53C6" w:rsidRPr="00EC3589" w:rsidRDefault="000B53C6" w:rsidP="000B53C6">
      <w:pPr>
        <w:rPr>
          <w:sz w:val="24"/>
          <w:szCs w:val="24"/>
        </w:rPr>
      </w:pPr>
      <w:r w:rsidRPr="00EC3589">
        <w:rPr>
          <w:sz w:val="24"/>
          <w:szCs w:val="24"/>
        </w:rPr>
        <w:t xml:space="preserve">Crown Prosecution Service (2018) </w:t>
      </w:r>
      <w:r w:rsidRPr="00EC3589">
        <w:rPr>
          <w:i/>
          <w:iCs/>
          <w:sz w:val="24"/>
          <w:szCs w:val="24"/>
        </w:rPr>
        <w:t>Disclosure - A guide to ‘Reasonable lines of enquiry’ and communications evidence</w:t>
      </w:r>
      <w:r w:rsidRPr="00EC3589">
        <w:rPr>
          <w:sz w:val="24"/>
          <w:szCs w:val="24"/>
        </w:rPr>
        <w:t xml:space="preserve">, </w:t>
      </w:r>
      <w:r w:rsidRPr="00EC3589">
        <w:rPr>
          <w:i/>
          <w:iCs/>
          <w:sz w:val="24"/>
          <w:szCs w:val="24"/>
        </w:rPr>
        <w:t>Disclosure - A guide to ‘reasonable lines of enquiry’ and communications evidence | The Crown Prosecution Service</w:t>
      </w:r>
      <w:r w:rsidRPr="00EC3589">
        <w:rPr>
          <w:sz w:val="24"/>
          <w:szCs w:val="24"/>
        </w:rPr>
        <w:t>. Available at: https://www.cps.gov.uk/legal-guidance/disclosure-guide-reasonable-lines-enquiry-and-communications-evidence (Accessed: 03 June 2023).</w:t>
      </w:r>
    </w:p>
    <w:p w14:paraId="75DBF71D" w14:textId="77777777" w:rsidR="000B53C6" w:rsidRDefault="000B53C6" w:rsidP="000B53C6"/>
    <w:p w14:paraId="12A3FB04" w14:textId="77777777" w:rsidR="000B53C6" w:rsidRPr="00EC3589" w:rsidRDefault="000B53C6" w:rsidP="000B53C6">
      <w:pPr>
        <w:rPr>
          <w:sz w:val="24"/>
          <w:szCs w:val="24"/>
        </w:rPr>
      </w:pPr>
      <w:r w:rsidRPr="00EC3589">
        <w:rPr>
          <w:sz w:val="24"/>
          <w:szCs w:val="24"/>
        </w:rPr>
        <w:t>Crown Prosecution Service (2022) Disclosure manual: Chapter 5 - Reasonable Lines of enquiry and third parties, Disclosure Manual: Chapter 5 - Reasonable Lines of Enquiry and Third Parties | The Crown Prosecution Service. Available at: https://www.cps.gov.uk/legal-guidance/disclosure-manual-chapter-5-reasonable-lines-enquiry-and-third-parties (Accessed: 05 June 2023).</w:t>
      </w:r>
    </w:p>
    <w:p w14:paraId="37E17616" w14:textId="77777777" w:rsidR="000B53C6" w:rsidRPr="00EC3589" w:rsidRDefault="000B53C6" w:rsidP="000B53C6">
      <w:pPr>
        <w:pStyle w:val="NormalWeb"/>
        <w:rPr>
          <w:rFonts w:ascii="Arial" w:hAnsi="Arial" w:cs="Arial"/>
          <w:color w:val="202124"/>
          <w:shd w:val="clear" w:color="auto" w:fill="FFFFFF"/>
        </w:rPr>
      </w:pPr>
      <w:r w:rsidRPr="00EC3589">
        <w:rPr>
          <w:rFonts w:ascii="Arial" w:hAnsi="Arial" w:cs="Arial"/>
          <w:i/>
          <w:iCs/>
          <w:color w:val="202124"/>
          <w:shd w:val="clear" w:color="auto" w:fill="FFFFFF"/>
        </w:rPr>
        <w:t>Domestic Abuse Act 2022.</w:t>
      </w:r>
      <w:r w:rsidRPr="00EC3589">
        <w:rPr>
          <w:rFonts w:ascii="Arial" w:hAnsi="Arial" w:cs="Arial"/>
          <w:color w:val="202124"/>
          <w:shd w:val="clear" w:color="auto" w:fill="FFFFFF"/>
        </w:rPr>
        <w:t xml:space="preserve"> Available at </w:t>
      </w:r>
      <w:r w:rsidRPr="00EC3589">
        <w:rPr>
          <w:rFonts w:ascii="Arial" w:hAnsi="Arial" w:cs="Arial"/>
          <w:shd w:val="clear" w:color="auto" w:fill="FFFFFF"/>
        </w:rPr>
        <w:t>https://www.legislation.gov.uk/ukpga/2021/17/contents/enacted</w:t>
      </w:r>
      <w:r w:rsidRPr="00EC3589">
        <w:rPr>
          <w:rFonts w:ascii="Arial" w:hAnsi="Arial" w:cs="Arial"/>
          <w:color w:val="202124"/>
          <w:shd w:val="clear" w:color="auto" w:fill="FFFFFF"/>
        </w:rPr>
        <w:t xml:space="preserve"> (Accessed on 19th May)</w:t>
      </w:r>
    </w:p>
    <w:p w14:paraId="5F7BF538" w14:textId="77777777" w:rsidR="000B53C6" w:rsidRPr="00EC3589" w:rsidRDefault="000B53C6" w:rsidP="000B53C6">
      <w:pPr>
        <w:pStyle w:val="NormalWeb"/>
        <w:rPr>
          <w:rFonts w:ascii="Arial" w:hAnsi="Arial" w:cs="Arial"/>
          <w:color w:val="222222"/>
          <w:shd w:val="clear" w:color="auto" w:fill="FFFFFF"/>
        </w:rPr>
      </w:pPr>
      <w:r w:rsidRPr="00EC3589">
        <w:rPr>
          <w:rFonts w:ascii="Arial" w:hAnsi="Arial" w:cs="Arial"/>
          <w:color w:val="222222"/>
          <w:shd w:val="clear" w:color="auto" w:fill="FFFFFF"/>
        </w:rPr>
        <w:t>Drummond, A., 2022. Peripheral inclusion? Gypsy Roma Traveller Police Association officers speak out.</w:t>
      </w:r>
      <w:r w:rsidRPr="00EC3589">
        <w:rPr>
          <w:rStyle w:val="apple-converted-space"/>
          <w:rFonts w:ascii="Arial" w:hAnsi="Arial" w:cs="Arial"/>
          <w:color w:val="222222"/>
          <w:shd w:val="clear" w:color="auto" w:fill="FFFFFF"/>
        </w:rPr>
        <w:t> </w:t>
      </w:r>
      <w:r w:rsidRPr="00EC3589">
        <w:rPr>
          <w:rFonts w:ascii="Arial" w:hAnsi="Arial" w:cs="Arial"/>
          <w:i/>
          <w:iCs/>
          <w:color w:val="222222"/>
        </w:rPr>
        <w:t>Romani Studies</w:t>
      </w:r>
      <w:r w:rsidRPr="00EC3589">
        <w:rPr>
          <w:rFonts w:ascii="Arial" w:hAnsi="Arial" w:cs="Arial"/>
          <w:color w:val="222222"/>
          <w:shd w:val="clear" w:color="auto" w:fill="FFFFFF"/>
        </w:rPr>
        <w:t>,</w:t>
      </w:r>
      <w:r w:rsidRPr="00EC3589">
        <w:rPr>
          <w:rStyle w:val="apple-converted-space"/>
          <w:rFonts w:ascii="Arial" w:hAnsi="Arial" w:cs="Arial"/>
          <w:color w:val="222222"/>
          <w:shd w:val="clear" w:color="auto" w:fill="FFFFFF"/>
        </w:rPr>
        <w:t> </w:t>
      </w:r>
      <w:r w:rsidRPr="00EC3589">
        <w:rPr>
          <w:rFonts w:ascii="Arial" w:hAnsi="Arial" w:cs="Arial"/>
          <w:i/>
          <w:iCs/>
          <w:color w:val="222222"/>
        </w:rPr>
        <w:t>32</w:t>
      </w:r>
      <w:r w:rsidRPr="00EC3589">
        <w:rPr>
          <w:rFonts w:ascii="Arial" w:hAnsi="Arial" w:cs="Arial"/>
          <w:color w:val="222222"/>
          <w:shd w:val="clear" w:color="auto" w:fill="FFFFFF"/>
        </w:rPr>
        <w:t>(1), pp.105-127.</w:t>
      </w:r>
    </w:p>
    <w:p w14:paraId="317B4D45"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Fielding, N., 2017.</w:t>
      </w:r>
      <w:r w:rsidRPr="00EC3589">
        <w:rPr>
          <w:rStyle w:val="apple-converted-space"/>
          <w:color w:val="222222"/>
          <w:sz w:val="24"/>
          <w:szCs w:val="24"/>
          <w:shd w:val="clear" w:color="auto" w:fill="FFFFFF"/>
        </w:rPr>
        <w:t> </w:t>
      </w:r>
      <w:r w:rsidRPr="00EC3589">
        <w:rPr>
          <w:i/>
          <w:iCs/>
          <w:color w:val="222222"/>
          <w:sz w:val="24"/>
          <w:szCs w:val="24"/>
        </w:rPr>
        <w:t>The police and social conflict</w:t>
      </w:r>
      <w:r w:rsidRPr="00EC3589">
        <w:rPr>
          <w:color w:val="222222"/>
          <w:sz w:val="24"/>
          <w:szCs w:val="24"/>
          <w:shd w:val="clear" w:color="auto" w:fill="FFFFFF"/>
        </w:rPr>
        <w:t>. Taylor &amp; Francis.</w:t>
      </w:r>
    </w:p>
    <w:p w14:paraId="6250276E" w14:textId="77777777" w:rsidR="000B53C6" w:rsidRPr="00EC3589" w:rsidRDefault="000B53C6" w:rsidP="000B53C6">
      <w:pPr>
        <w:spacing w:before="100" w:beforeAutospacing="1" w:after="100" w:afterAutospacing="1"/>
        <w:jc w:val="both"/>
        <w:rPr>
          <w:color w:val="000000" w:themeColor="text1"/>
          <w:sz w:val="24"/>
          <w:szCs w:val="24"/>
        </w:rPr>
      </w:pPr>
      <w:r w:rsidRPr="00EC3589">
        <w:rPr>
          <w:color w:val="000000" w:themeColor="text1"/>
          <w:sz w:val="24"/>
          <w:szCs w:val="24"/>
        </w:rPr>
        <w:t xml:space="preserve">Fletcher, D., Hanton, S., &amp; Mellalieu, S. D. (2006). An organizational stress review: Conceptual and theoretical issues in competitive sport. In S. Hanton &amp; S. D. Mellalieu (Eds.), Literature reviews in sport psychology (pp. 321–373). Hauppauge, NY: Nova Science. </w:t>
      </w:r>
    </w:p>
    <w:p w14:paraId="38059F39" w14:textId="77777777" w:rsidR="000B53C6" w:rsidRPr="00EC3589" w:rsidRDefault="000B53C6" w:rsidP="000B53C6">
      <w:pPr>
        <w:pStyle w:val="NormalWeb"/>
        <w:rPr>
          <w:rFonts w:ascii="Arial" w:hAnsi="Arial" w:cs="Arial"/>
        </w:rPr>
      </w:pPr>
      <w:r w:rsidRPr="00EC3589">
        <w:rPr>
          <w:rFonts w:ascii="Arial" w:hAnsi="Arial" w:cs="Arial"/>
        </w:rPr>
        <w:t>Gibbs G (1988). Learning by Doing: A guide to teaching and learning methods. Further Education Unit. Oxford Polytechnic: Oxford.</w:t>
      </w:r>
    </w:p>
    <w:p w14:paraId="4ABA15A3" w14:textId="77777777" w:rsidR="000B53C6" w:rsidRPr="00EC3589" w:rsidRDefault="000B53C6" w:rsidP="000B53C6">
      <w:pPr>
        <w:rPr>
          <w:color w:val="212121"/>
          <w:sz w:val="24"/>
          <w:szCs w:val="24"/>
          <w:shd w:val="clear" w:color="auto" w:fill="FFFFFF"/>
        </w:rPr>
      </w:pPr>
      <w:r w:rsidRPr="00EC3589">
        <w:rPr>
          <w:color w:val="212121"/>
          <w:sz w:val="24"/>
          <w:szCs w:val="24"/>
          <w:shd w:val="clear" w:color="auto" w:fill="FFFFFF"/>
        </w:rPr>
        <w:t>Gordon BR, McDowell CP, Lyons M, Herring MP.</w:t>
      </w:r>
      <w:r w:rsidRPr="00EC3589">
        <w:rPr>
          <w:rStyle w:val="apple-converted-space"/>
          <w:color w:val="212121"/>
          <w:sz w:val="24"/>
          <w:szCs w:val="24"/>
          <w:shd w:val="clear" w:color="auto" w:fill="FFFFFF"/>
        </w:rPr>
        <w:t> </w:t>
      </w:r>
      <w:r w:rsidRPr="00EC3589">
        <w:t>Resistance exercise training for anxiety and worry symptoms among young adults: a randomized controlled trial</w:t>
      </w:r>
      <w:r w:rsidRPr="00EC3589">
        <w:rPr>
          <w:color w:val="212121"/>
          <w:sz w:val="24"/>
          <w:szCs w:val="24"/>
          <w:shd w:val="clear" w:color="auto" w:fill="FFFFFF"/>
        </w:rPr>
        <w:t>.</w:t>
      </w:r>
      <w:r w:rsidRPr="00EC3589">
        <w:rPr>
          <w:rStyle w:val="apple-converted-space"/>
          <w:color w:val="212121"/>
          <w:sz w:val="24"/>
          <w:szCs w:val="24"/>
          <w:shd w:val="clear" w:color="auto" w:fill="FFFFFF"/>
        </w:rPr>
        <w:t> </w:t>
      </w:r>
      <w:r w:rsidRPr="00EC3589">
        <w:rPr>
          <w:rStyle w:val="Emphasis"/>
          <w:color w:val="212121"/>
          <w:sz w:val="24"/>
          <w:szCs w:val="24"/>
          <w:bdr w:val="none" w:sz="0" w:space="0" w:color="auto" w:frame="1"/>
        </w:rPr>
        <w:t>Sci Rep</w:t>
      </w:r>
      <w:r w:rsidRPr="00EC3589">
        <w:rPr>
          <w:color w:val="212121"/>
          <w:sz w:val="24"/>
          <w:szCs w:val="24"/>
          <w:shd w:val="clear" w:color="auto" w:fill="FFFFFF"/>
        </w:rPr>
        <w:t>. 2020;10(1):17548. doi:10.1038/s41598-020-74608-6</w:t>
      </w:r>
    </w:p>
    <w:p w14:paraId="5FDCF670" w14:textId="77777777" w:rsidR="000B53C6" w:rsidRPr="00EC3589" w:rsidRDefault="000B53C6" w:rsidP="000B53C6">
      <w:pPr>
        <w:pStyle w:val="NormalWeb"/>
        <w:rPr>
          <w:rFonts w:ascii="Arial" w:hAnsi="Arial" w:cs="Arial"/>
        </w:rPr>
      </w:pPr>
      <w:r w:rsidRPr="00EC3589">
        <w:rPr>
          <w:rFonts w:ascii="Arial" w:hAnsi="Arial" w:cs="Arial"/>
        </w:rPr>
        <w:t xml:space="preserve">HMICFRS (2023) Independent domestic violence adviser (IDVA), His Majesty’s Inspectorate of Constabulary and Fire &amp;amp; Rescue Services. Available at: </w:t>
      </w:r>
      <w:r w:rsidRPr="00EC3589">
        <w:rPr>
          <w:rFonts w:ascii="Arial" w:hAnsi="Arial" w:cs="Arial"/>
        </w:rPr>
        <w:lastRenderedPageBreak/>
        <w:t>https://www.justiceinspectorates.gov.uk/hmicfrs/glossary/independent-domestic-violence-adviser/ (Accessed: 05 June 2023).</w:t>
      </w:r>
    </w:p>
    <w:p w14:paraId="3AE719EE" w14:textId="77777777" w:rsidR="000B53C6" w:rsidRPr="00EC3589" w:rsidRDefault="000B53C6" w:rsidP="000B53C6">
      <w:pPr>
        <w:rPr>
          <w:sz w:val="24"/>
          <w:szCs w:val="24"/>
        </w:rPr>
      </w:pPr>
      <w:r w:rsidRPr="00EC3589">
        <w:rPr>
          <w:sz w:val="24"/>
          <w:szCs w:val="24"/>
        </w:rPr>
        <w:t xml:space="preserve">Justice, M. of (2020) </w:t>
      </w:r>
      <w:r w:rsidRPr="00EC3589">
        <w:rPr>
          <w:i/>
          <w:iCs/>
          <w:sz w:val="24"/>
          <w:szCs w:val="24"/>
        </w:rPr>
        <w:t>Criminal procedure and investigations act 1996 (section 23(1)) code of practice</w:t>
      </w:r>
      <w:r w:rsidRPr="00EC3589">
        <w:rPr>
          <w:sz w:val="24"/>
          <w:szCs w:val="24"/>
        </w:rPr>
        <w:t xml:space="preserve">, </w:t>
      </w:r>
      <w:r w:rsidRPr="00EC3589">
        <w:rPr>
          <w:i/>
          <w:iCs/>
          <w:sz w:val="24"/>
          <w:szCs w:val="24"/>
        </w:rPr>
        <w:t>GOV.UK</w:t>
      </w:r>
      <w:r w:rsidRPr="00EC3589">
        <w:rPr>
          <w:sz w:val="24"/>
          <w:szCs w:val="24"/>
        </w:rPr>
        <w:t>. Available at: https://www.gov.uk/government/publications/criminal-procedure-and-investigations-act-1996-section-231-code-of-practice#:~:text=It%20sets%20out%20the%20manner,the%20investigation%2C%20and%20related%20matters (Accessed: 03 June 2023).</w:t>
      </w:r>
    </w:p>
    <w:p w14:paraId="4EDA80DF" w14:textId="77777777" w:rsidR="000B53C6" w:rsidRPr="00EC3589" w:rsidRDefault="000B53C6" w:rsidP="000B53C6">
      <w:pPr>
        <w:pStyle w:val="NormalWeb"/>
        <w:rPr>
          <w:rFonts w:ascii="Arial" w:hAnsi="Arial" w:cs="Arial"/>
        </w:rPr>
      </w:pPr>
      <w:r w:rsidRPr="00EC3589">
        <w:rPr>
          <w:rFonts w:ascii="Arial" w:hAnsi="Arial" w:cs="Arial"/>
        </w:rPr>
        <w:t>Justice, M. of (2022) Achieving best evidence in criminal proceedings, GOV.UK. Available at: https://www.gov.uk/government/publications/achieving-best-evidence-in-criminal-proceedings (Accessed: 21 May 2023).</w:t>
      </w:r>
    </w:p>
    <w:p w14:paraId="2F8EDACE"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Katz, N.H., Lawyer, J.W., Sosa, K.J., Sweedler, M. and Tokar, P., 2020.</w:t>
      </w:r>
      <w:r w:rsidRPr="00EC3589">
        <w:rPr>
          <w:rStyle w:val="apple-converted-space"/>
          <w:color w:val="222222"/>
          <w:sz w:val="24"/>
          <w:szCs w:val="24"/>
          <w:shd w:val="clear" w:color="auto" w:fill="FFFFFF"/>
        </w:rPr>
        <w:t> </w:t>
      </w:r>
      <w:r w:rsidRPr="00EC3589">
        <w:rPr>
          <w:i/>
          <w:iCs/>
          <w:color w:val="222222"/>
          <w:sz w:val="24"/>
          <w:szCs w:val="24"/>
        </w:rPr>
        <w:t>Communication and conflict resolution skills</w:t>
      </w:r>
      <w:r w:rsidRPr="00EC3589">
        <w:rPr>
          <w:color w:val="222222"/>
          <w:sz w:val="24"/>
          <w:szCs w:val="24"/>
          <w:shd w:val="clear" w:color="auto" w:fill="FFFFFF"/>
        </w:rPr>
        <w:t>. Kendall Hunt Publishing.</w:t>
      </w:r>
    </w:p>
    <w:p w14:paraId="166CEAFA" w14:textId="77777777" w:rsidR="000B53C6" w:rsidRPr="00EC3589" w:rsidRDefault="000B53C6" w:rsidP="000B53C6">
      <w:pPr>
        <w:pStyle w:val="NormalWeb"/>
        <w:rPr>
          <w:rFonts w:ascii="Arial" w:hAnsi="Arial" w:cs="Arial"/>
          <w:color w:val="202124"/>
          <w:shd w:val="clear" w:color="auto" w:fill="FFFFFF"/>
        </w:rPr>
      </w:pPr>
      <w:r w:rsidRPr="00EC3589">
        <w:rPr>
          <w:rFonts w:ascii="Arial" w:hAnsi="Arial" w:cs="Arial"/>
          <w:color w:val="202124"/>
          <w:shd w:val="clear" w:color="auto" w:fill="FFFFFF"/>
        </w:rPr>
        <w:t>Legislation.gov.uk. 2023. Equality Act 2010. [online] Available at: &lt;</w:t>
      </w:r>
      <w:r w:rsidRPr="00EC3589">
        <w:rPr>
          <w:rFonts w:ascii="Arial" w:hAnsi="Arial" w:cs="Arial"/>
        </w:rPr>
        <w:t xml:space="preserve"> </w:t>
      </w:r>
      <w:r w:rsidRPr="00EC3589">
        <w:rPr>
          <w:rFonts w:ascii="Arial" w:hAnsi="Arial" w:cs="Arial"/>
          <w:color w:val="040C28"/>
        </w:rPr>
        <w:t>https://www.legislation.gov.uk/ukpga/2010/15/contents&gt;</w:t>
      </w:r>
      <w:r w:rsidRPr="00EC3589">
        <w:rPr>
          <w:rFonts w:ascii="Arial" w:hAnsi="Arial" w:cs="Arial"/>
          <w:color w:val="202124"/>
          <w:shd w:val="clear" w:color="auto" w:fill="FFFFFF"/>
        </w:rPr>
        <w:t>[Accessed 5th May 2023]</w:t>
      </w:r>
    </w:p>
    <w:p w14:paraId="6B7F4000" w14:textId="77777777" w:rsidR="000B53C6" w:rsidRPr="00EC3589" w:rsidRDefault="000B53C6" w:rsidP="000B53C6">
      <w:pPr>
        <w:rPr>
          <w:color w:val="333333"/>
          <w:sz w:val="24"/>
          <w:szCs w:val="24"/>
          <w:shd w:val="clear" w:color="auto" w:fill="FCFCFC"/>
        </w:rPr>
      </w:pPr>
      <w:r w:rsidRPr="00EC3589">
        <w:rPr>
          <w:color w:val="333333"/>
          <w:sz w:val="24"/>
          <w:szCs w:val="24"/>
          <w:shd w:val="clear" w:color="auto" w:fill="FCFCFC"/>
        </w:rPr>
        <w:t>McCanlies EC, Mnatsakanova A, Andrew ME, Burchfiel CM, Violanti JM (2014) Positive psychological factors are associated with lower PTSD symptoms among police officers: post hurricane Katrina. Stress Health 30(5):405–415.</w:t>
      </w:r>
    </w:p>
    <w:p w14:paraId="0BC72F46" w14:textId="77777777" w:rsidR="000B53C6" w:rsidRDefault="000B53C6" w:rsidP="000B53C6">
      <w:pPr>
        <w:rPr>
          <w:color w:val="222222"/>
          <w:shd w:val="clear" w:color="auto" w:fill="FFFFFF"/>
        </w:rPr>
      </w:pPr>
    </w:p>
    <w:p w14:paraId="736D39DD"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McEwan, H., Kirkland, A. and Gorczynski, P., 2020. Mental health in performance sport: an interdisciplinary approach.</w:t>
      </w:r>
      <w:r w:rsidRPr="00EC3589">
        <w:rPr>
          <w:rStyle w:val="apple-converted-space"/>
          <w:color w:val="222222"/>
          <w:sz w:val="24"/>
          <w:szCs w:val="24"/>
          <w:shd w:val="clear" w:color="auto" w:fill="FFFFFF"/>
        </w:rPr>
        <w:t> </w:t>
      </w:r>
      <w:r w:rsidRPr="00EC3589">
        <w:rPr>
          <w:i/>
          <w:iCs/>
          <w:color w:val="222222"/>
          <w:sz w:val="24"/>
          <w:szCs w:val="24"/>
        </w:rPr>
        <w:t>The Sport and Exercise Scientist</w:t>
      </w:r>
      <w:r w:rsidRPr="00EC3589">
        <w:rPr>
          <w:color w:val="222222"/>
          <w:sz w:val="24"/>
          <w:szCs w:val="24"/>
          <w:shd w:val="clear" w:color="auto" w:fill="FFFFFF"/>
        </w:rPr>
        <w:t>, (65), pp.11-12.</w:t>
      </w:r>
    </w:p>
    <w:p w14:paraId="4051BE48" w14:textId="77777777" w:rsidR="000B53C6" w:rsidRDefault="000B53C6" w:rsidP="000B53C6">
      <w:pPr>
        <w:rPr>
          <w:color w:val="222222"/>
          <w:shd w:val="clear" w:color="auto" w:fill="FFFFFF"/>
        </w:rPr>
      </w:pPr>
    </w:p>
    <w:p w14:paraId="1AFDB8AF"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Miller, R., Plessow, F., Kirschbaum, C. and Stalder, T., 2013. Classification criteria for distinguishing cortisol responders from nonresponders to psychosocial stress: evaluation of salivary cortisol pulse detection in panel designs.</w:t>
      </w:r>
      <w:r w:rsidRPr="00EC3589">
        <w:rPr>
          <w:rStyle w:val="apple-converted-space"/>
          <w:color w:val="222222"/>
          <w:sz w:val="24"/>
          <w:szCs w:val="24"/>
          <w:shd w:val="clear" w:color="auto" w:fill="FFFFFF"/>
        </w:rPr>
        <w:t> </w:t>
      </w:r>
      <w:r w:rsidRPr="00EC3589">
        <w:rPr>
          <w:i/>
          <w:iCs/>
          <w:color w:val="222222"/>
          <w:sz w:val="24"/>
          <w:szCs w:val="24"/>
        </w:rPr>
        <w:t>Psychosomatic medicine</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75</w:t>
      </w:r>
      <w:r w:rsidRPr="00EC3589">
        <w:rPr>
          <w:color w:val="222222"/>
          <w:sz w:val="24"/>
          <w:szCs w:val="24"/>
          <w:shd w:val="clear" w:color="auto" w:fill="FFFFFF"/>
        </w:rPr>
        <w:t>(9), pp.832-840.</w:t>
      </w:r>
    </w:p>
    <w:p w14:paraId="12A2D3F7" w14:textId="77777777" w:rsidR="000B53C6" w:rsidRPr="00EC3589" w:rsidRDefault="000B53C6" w:rsidP="000B53C6">
      <w:pPr>
        <w:pStyle w:val="NormalWeb"/>
        <w:rPr>
          <w:rFonts w:ascii="Arial" w:hAnsi="Arial" w:cs="Arial"/>
          <w:color w:val="222222"/>
          <w:shd w:val="clear" w:color="auto" w:fill="FFFFFF"/>
        </w:rPr>
      </w:pPr>
      <w:r w:rsidRPr="00EC3589">
        <w:rPr>
          <w:rFonts w:ascii="Arial" w:hAnsi="Arial" w:cs="Arial"/>
          <w:color w:val="222222"/>
          <w:shd w:val="clear" w:color="auto" w:fill="FFFFFF"/>
        </w:rPr>
        <w:t>Mulcahy, A., 2012. ‘Alright in their own place’: Policing and the spatial regulation of Irish Travellers.</w:t>
      </w:r>
      <w:r w:rsidRPr="00EC3589">
        <w:rPr>
          <w:rStyle w:val="apple-converted-space"/>
          <w:rFonts w:ascii="Arial" w:hAnsi="Arial" w:cs="Arial"/>
          <w:color w:val="222222"/>
          <w:shd w:val="clear" w:color="auto" w:fill="FFFFFF"/>
        </w:rPr>
        <w:t> </w:t>
      </w:r>
      <w:r w:rsidRPr="00EC3589">
        <w:rPr>
          <w:rFonts w:ascii="Arial" w:hAnsi="Arial" w:cs="Arial"/>
          <w:i/>
          <w:iCs/>
          <w:color w:val="222222"/>
        </w:rPr>
        <w:t>Criminology &amp; Criminal Justice</w:t>
      </w:r>
      <w:r w:rsidRPr="00EC3589">
        <w:rPr>
          <w:rFonts w:ascii="Arial" w:hAnsi="Arial" w:cs="Arial"/>
          <w:color w:val="222222"/>
          <w:shd w:val="clear" w:color="auto" w:fill="FFFFFF"/>
        </w:rPr>
        <w:t>,</w:t>
      </w:r>
      <w:r w:rsidRPr="00EC3589">
        <w:rPr>
          <w:rStyle w:val="apple-converted-space"/>
          <w:rFonts w:ascii="Arial" w:hAnsi="Arial" w:cs="Arial"/>
          <w:color w:val="222222"/>
          <w:shd w:val="clear" w:color="auto" w:fill="FFFFFF"/>
        </w:rPr>
        <w:t> </w:t>
      </w:r>
      <w:r w:rsidRPr="00EC3589">
        <w:rPr>
          <w:rFonts w:ascii="Arial" w:hAnsi="Arial" w:cs="Arial"/>
          <w:i/>
          <w:iCs/>
          <w:color w:val="222222"/>
        </w:rPr>
        <w:t>12</w:t>
      </w:r>
      <w:r w:rsidRPr="00EC3589">
        <w:rPr>
          <w:rFonts w:ascii="Arial" w:hAnsi="Arial" w:cs="Arial"/>
          <w:color w:val="222222"/>
          <w:shd w:val="clear" w:color="auto" w:fill="FFFFFF"/>
        </w:rPr>
        <w:t>(3), pp.307-327.</w:t>
      </w:r>
    </w:p>
    <w:p w14:paraId="0BAA5BAA" w14:textId="77777777" w:rsidR="000B53C6" w:rsidRPr="00EC3589" w:rsidRDefault="000B53C6" w:rsidP="000B53C6">
      <w:pPr>
        <w:rPr>
          <w:sz w:val="24"/>
          <w:szCs w:val="24"/>
        </w:rPr>
      </w:pPr>
      <w:r w:rsidRPr="00EC3589">
        <w:rPr>
          <w:color w:val="222222"/>
          <w:sz w:val="24"/>
          <w:szCs w:val="24"/>
          <w:shd w:val="clear" w:color="auto" w:fill="FFFFFF"/>
        </w:rPr>
        <w:t>Nurnisya, F.Y., Saad, S. and Noor, S.M., 2022. CONTRIBUTION OF POLICE COMMUNICATION SKILL FOR NATIONAL REPUTATION.</w:t>
      </w:r>
      <w:r w:rsidRPr="00EC3589">
        <w:rPr>
          <w:rStyle w:val="apple-converted-space"/>
          <w:color w:val="222222"/>
          <w:sz w:val="24"/>
          <w:szCs w:val="24"/>
          <w:shd w:val="clear" w:color="auto" w:fill="FFFFFF"/>
        </w:rPr>
        <w:t> </w:t>
      </w:r>
      <w:r w:rsidRPr="00EC3589">
        <w:rPr>
          <w:i/>
          <w:iCs/>
          <w:color w:val="222222"/>
          <w:sz w:val="24"/>
          <w:szCs w:val="24"/>
        </w:rPr>
        <w:t>Asian Journal of Applied Communication (AJAC)</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12</w:t>
      </w:r>
      <w:r w:rsidRPr="00EC3589">
        <w:rPr>
          <w:color w:val="222222"/>
          <w:sz w:val="24"/>
          <w:szCs w:val="24"/>
          <w:shd w:val="clear" w:color="auto" w:fill="FFFFFF"/>
        </w:rPr>
        <w:t>(S2), pp.32-46.</w:t>
      </w:r>
    </w:p>
    <w:p w14:paraId="218B2D53" w14:textId="77777777" w:rsidR="000B53C6" w:rsidRDefault="000B53C6" w:rsidP="000B53C6">
      <w:pPr>
        <w:rPr>
          <w:color w:val="222222"/>
          <w:shd w:val="clear" w:color="auto" w:fill="FFFFFF"/>
        </w:rPr>
      </w:pPr>
    </w:p>
    <w:p w14:paraId="73569534"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O'Connor, P.J., Herring, M.P. and Caravalho, A., 2010. Mental health benefits of strength training in adults.</w:t>
      </w:r>
      <w:r w:rsidRPr="00EC3589">
        <w:rPr>
          <w:rStyle w:val="apple-converted-space"/>
          <w:color w:val="222222"/>
          <w:sz w:val="24"/>
          <w:szCs w:val="24"/>
          <w:shd w:val="clear" w:color="auto" w:fill="FFFFFF"/>
        </w:rPr>
        <w:t> </w:t>
      </w:r>
      <w:r w:rsidRPr="00EC3589">
        <w:rPr>
          <w:i/>
          <w:iCs/>
          <w:color w:val="222222"/>
          <w:sz w:val="24"/>
          <w:szCs w:val="24"/>
        </w:rPr>
        <w:t>American Journal of Lifestyle Medicine</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4</w:t>
      </w:r>
      <w:r w:rsidRPr="00EC3589">
        <w:rPr>
          <w:color w:val="222222"/>
          <w:sz w:val="24"/>
          <w:szCs w:val="24"/>
          <w:shd w:val="clear" w:color="auto" w:fill="FFFFFF"/>
        </w:rPr>
        <w:t>(5), pp.377-396.</w:t>
      </w:r>
    </w:p>
    <w:p w14:paraId="5BA6D3BD" w14:textId="77777777" w:rsidR="000B53C6" w:rsidRPr="00EC3589" w:rsidRDefault="000B53C6" w:rsidP="000B53C6">
      <w:pPr>
        <w:pStyle w:val="NormalWeb"/>
        <w:rPr>
          <w:rFonts w:ascii="Arial" w:hAnsi="Arial" w:cs="Arial"/>
        </w:rPr>
      </w:pPr>
      <w:r w:rsidRPr="00EC3589">
        <w:rPr>
          <w:rFonts w:ascii="Arial" w:hAnsi="Arial" w:cs="Arial"/>
        </w:rPr>
        <w:t xml:space="preserve">Okley J (2005) Gypsy justice versus Gorgio law: Interrelations of difference. </w:t>
      </w:r>
      <w:r w:rsidRPr="00EC3589">
        <w:rPr>
          <w:rFonts w:ascii="Arial" w:hAnsi="Arial" w:cs="Arial"/>
          <w:i/>
          <w:iCs/>
        </w:rPr>
        <w:t xml:space="preserve">Sociological Review </w:t>
      </w:r>
      <w:r w:rsidRPr="00EC3589">
        <w:rPr>
          <w:rFonts w:ascii="Arial" w:hAnsi="Arial" w:cs="Arial"/>
        </w:rPr>
        <w:t>53(4): 691–709.</w:t>
      </w:r>
    </w:p>
    <w:p w14:paraId="2A15F06C"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t>Ozbay, F., Johnson, D.C., Dimoulas, E., Morgan Iii, C.A., Charney, D. and Southwick, S., 2007. Social support and resilience to stress: from neurobiology to clinical practice.</w:t>
      </w:r>
      <w:r w:rsidRPr="00EC3589">
        <w:rPr>
          <w:rStyle w:val="apple-converted-space"/>
          <w:color w:val="222222"/>
          <w:sz w:val="24"/>
          <w:szCs w:val="24"/>
          <w:shd w:val="clear" w:color="auto" w:fill="FFFFFF"/>
        </w:rPr>
        <w:t> </w:t>
      </w:r>
      <w:r w:rsidRPr="00EC3589">
        <w:rPr>
          <w:i/>
          <w:iCs/>
          <w:color w:val="222222"/>
          <w:sz w:val="24"/>
          <w:szCs w:val="24"/>
        </w:rPr>
        <w:t>Psychiatry (Edgmont)</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4</w:t>
      </w:r>
      <w:r w:rsidRPr="00EC3589">
        <w:rPr>
          <w:color w:val="222222"/>
          <w:sz w:val="24"/>
          <w:szCs w:val="24"/>
          <w:shd w:val="clear" w:color="auto" w:fill="FFFFFF"/>
        </w:rPr>
        <w:t>(5), p.35.</w:t>
      </w:r>
    </w:p>
    <w:p w14:paraId="26B53541" w14:textId="77777777" w:rsidR="000B53C6" w:rsidRPr="00EC3589" w:rsidRDefault="000B53C6" w:rsidP="000B53C6">
      <w:pPr>
        <w:pStyle w:val="NormalWeb"/>
        <w:rPr>
          <w:rFonts w:ascii="Arial" w:hAnsi="Arial" w:cs="Arial"/>
        </w:rPr>
      </w:pPr>
      <w:r w:rsidRPr="00EC3589">
        <w:rPr>
          <w:rFonts w:ascii="Arial" w:hAnsi="Arial" w:cs="Arial"/>
        </w:rPr>
        <w:t xml:space="preserve">Rapid (rapid domestic abuse intervention project) (2023) Thrive Womens Aid. Available at: https://thrivewomensaid.org.uk/?s=rapid (Accessed: 19 May 2023). </w:t>
      </w:r>
    </w:p>
    <w:p w14:paraId="10C8C62C" w14:textId="77777777" w:rsidR="000B53C6" w:rsidRPr="00EC3589" w:rsidRDefault="000B53C6" w:rsidP="000B53C6">
      <w:pPr>
        <w:spacing w:before="100" w:beforeAutospacing="1" w:after="100" w:afterAutospacing="1"/>
        <w:jc w:val="both"/>
        <w:rPr>
          <w:color w:val="000000" w:themeColor="text1"/>
          <w:sz w:val="24"/>
          <w:szCs w:val="24"/>
        </w:rPr>
      </w:pPr>
      <w:r w:rsidRPr="00EC3589">
        <w:rPr>
          <w:color w:val="000000" w:themeColor="text1"/>
          <w:sz w:val="24"/>
          <w:szCs w:val="24"/>
        </w:rPr>
        <w:t xml:space="preserve">Thelwell, R. C., Weston, N. J. V., &amp; Greenlees, I. A. (2007). Batting on a sticky wicket: Identifying sources of stress and associated coping strategies for professional cricket batsmen. Psychology of Sport and Exercise, 8, 219–232. </w:t>
      </w:r>
    </w:p>
    <w:p w14:paraId="01674B5F" w14:textId="77777777" w:rsidR="000B53C6" w:rsidRPr="00EC3589" w:rsidRDefault="000B53C6" w:rsidP="000B53C6">
      <w:pPr>
        <w:rPr>
          <w:color w:val="333333"/>
          <w:sz w:val="24"/>
          <w:szCs w:val="24"/>
          <w:shd w:val="clear" w:color="auto" w:fill="FCFCFC"/>
        </w:rPr>
      </w:pPr>
      <w:r w:rsidRPr="00EC3589">
        <w:rPr>
          <w:color w:val="333333"/>
          <w:sz w:val="24"/>
          <w:szCs w:val="24"/>
          <w:shd w:val="clear" w:color="auto" w:fill="FCFCFC"/>
        </w:rPr>
        <w:t>van der Velden PG, Kleber RJ, Grievink L, Yzermans CJ (2010) Confrontations with aggression and mental health problems in police officers: the role of organizational stressors, life-events and previous mental health problems. Psychol Trauma Theory Res Pract Policy 2:135–144</w:t>
      </w:r>
    </w:p>
    <w:p w14:paraId="72C336A1" w14:textId="77777777" w:rsidR="000B53C6" w:rsidRDefault="000B53C6" w:rsidP="000B53C6">
      <w:pPr>
        <w:rPr>
          <w:color w:val="222222"/>
          <w:shd w:val="clear" w:color="auto" w:fill="FFFFFF"/>
        </w:rPr>
      </w:pPr>
    </w:p>
    <w:p w14:paraId="4613A464" w14:textId="77777777" w:rsidR="000B53C6" w:rsidRPr="00EC3589" w:rsidRDefault="000B53C6" w:rsidP="000B53C6">
      <w:pPr>
        <w:rPr>
          <w:color w:val="222222"/>
          <w:sz w:val="24"/>
          <w:szCs w:val="24"/>
          <w:shd w:val="clear" w:color="auto" w:fill="FFFFFF"/>
        </w:rPr>
      </w:pPr>
      <w:r w:rsidRPr="00EC3589">
        <w:rPr>
          <w:color w:val="222222"/>
          <w:sz w:val="24"/>
          <w:szCs w:val="24"/>
          <w:shd w:val="clear" w:color="auto" w:fill="FFFFFF"/>
        </w:rPr>
        <w:lastRenderedPageBreak/>
        <w:t>Wall, I.R., 2019. Policing atmospheres: Crowds, protest and ‘atmotechnics’.</w:t>
      </w:r>
      <w:r w:rsidRPr="00EC3589">
        <w:rPr>
          <w:rStyle w:val="apple-converted-space"/>
          <w:color w:val="222222"/>
          <w:sz w:val="24"/>
          <w:szCs w:val="24"/>
          <w:shd w:val="clear" w:color="auto" w:fill="FFFFFF"/>
        </w:rPr>
        <w:t> </w:t>
      </w:r>
      <w:r w:rsidRPr="00EC3589">
        <w:rPr>
          <w:i/>
          <w:iCs/>
          <w:color w:val="222222"/>
          <w:sz w:val="24"/>
          <w:szCs w:val="24"/>
        </w:rPr>
        <w:t>Theory, Culture &amp; Society</w:t>
      </w:r>
      <w:r w:rsidRPr="00EC3589">
        <w:rPr>
          <w:color w:val="222222"/>
          <w:sz w:val="24"/>
          <w:szCs w:val="24"/>
          <w:shd w:val="clear" w:color="auto" w:fill="FFFFFF"/>
        </w:rPr>
        <w:t>,</w:t>
      </w:r>
      <w:r w:rsidRPr="00EC3589">
        <w:rPr>
          <w:rStyle w:val="apple-converted-space"/>
          <w:color w:val="222222"/>
          <w:sz w:val="24"/>
          <w:szCs w:val="24"/>
          <w:shd w:val="clear" w:color="auto" w:fill="FFFFFF"/>
        </w:rPr>
        <w:t> </w:t>
      </w:r>
      <w:r w:rsidRPr="00EC3589">
        <w:rPr>
          <w:i/>
          <w:iCs/>
          <w:color w:val="222222"/>
          <w:sz w:val="24"/>
          <w:szCs w:val="24"/>
        </w:rPr>
        <w:t>36</w:t>
      </w:r>
      <w:r w:rsidRPr="00EC3589">
        <w:rPr>
          <w:color w:val="222222"/>
          <w:sz w:val="24"/>
          <w:szCs w:val="24"/>
          <w:shd w:val="clear" w:color="auto" w:fill="FFFFFF"/>
        </w:rPr>
        <w:t xml:space="preserve">(4), pp.143-162. </w:t>
      </w:r>
    </w:p>
    <w:p w14:paraId="7A9676E7" w14:textId="77777777" w:rsidR="000B53C6" w:rsidRDefault="000B53C6" w:rsidP="000B53C6">
      <w:pPr>
        <w:spacing w:after="60"/>
        <w:rPr>
          <w:color w:val="000000" w:themeColor="text1"/>
        </w:rPr>
      </w:pPr>
    </w:p>
    <w:p w14:paraId="795C6F4E" w14:textId="77777777" w:rsidR="000B53C6" w:rsidRPr="00EC3589" w:rsidRDefault="000B53C6" w:rsidP="000B53C6">
      <w:pPr>
        <w:spacing w:after="60"/>
        <w:rPr>
          <w:color w:val="000000" w:themeColor="text1"/>
          <w:sz w:val="24"/>
          <w:szCs w:val="24"/>
        </w:rPr>
      </w:pPr>
      <w:r w:rsidRPr="00EC3589">
        <w:rPr>
          <w:color w:val="000000" w:themeColor="text1"/>
          <w:sz w:val="24"/>
          <w:szCs w:val="24"/>
        </w:rPr>
        <w:t xml:space="preserve">Weinberg, R. (2013). Goal setting in sport and exercise: Research and practical applications. </w:t>
      </w:r>
      <w:r w:rsidRPr="00EC3589">
        <w:rPr>
          <w:i/>
          <w:iCs/>
          <w:color w:val="000000" w:themeColor="text1"/>
          <w:sz w:val="24"/>
          <w:szCs w:val="24"/>
        </w:rPr>
        <w:t>Revista da Educação Física,</w:t>
      </w:r>
      <w:r w:rsidRPr="00EC3589">
        <w:rPr>
          <w:color w:val="000000" w:themeColor="text1"/>
          <w:sz w:val="24"/>
          <w:szCs w:val="24"/>
        </w:rPr>
        <w:t xml:space="preserve"> 24, 171-179.</w:t>
      </w:r>
    </w:p>
    <w:p w14:paraId="6A26F90C" w14:textId="77777777" w:rsidR="000B53C6" w:rsidRPr="00EC3589" w:rsidRDefault="000B53C6" w:rsidP="000B53C6">
      <w:pPr>
        <w:pStyle w:val="NormalWeb"/>
        <w:rPr>
          <w:rFonts w:ascii="Arial" w:hAnsi="Arial" w:cs="Arial"/>
        </w:rPr>
      </w:pPr>
      <w:r w:rsidRPr="00EC3589">
        <w:rPr>
          <w:rFonts w:ascii="Arial" w:hAnsi="Arial" w:cs="Arial"/>
          <w:i/>
          <w:iCs/>
        </w:rPr>
        <w:t>Youth Justice and Criminal Evidence Act 1999. Part ii</w:t>
      </w:r>
      <w:r w:rsidRPr="00EC3589">
        <w:rPr>
          <w:rFonts w:ascii="Arial" w:hAnsi="Arial" w:cs="Arial"/>
        </w:rPr>
        <w:t>. Available at: https://www.legislation.gov.uk/ukpga/1999/23/contents (Accessed 19</w:t>
      </w:r>
      <w:r w:rsidRPr="00EC3589">
        <w:rPr>
          <w:rFonts w:ascii="Arial" w:hAnsi="Arial" w:cs="Arial"/>
          <w:vertAlign w:val="superscript"/>
        </w:rPr>
        <w:t>th</w:t>
      </w:r>
      <w:r w:rsidRPr="00EC3589">
        <w:rPr>
          <w:rFonts w:ascii="Arial" w:hAnsi="Arial" w:cs="Arial"/>
        </w:rPr>
        <w:t xml:space="preserve"> of May) </w:t>
      </w:r>
    </w:p>
    <w:p w14:paraId="3B5AC16A" w14:textId="77777777" w:rsidR="002A535D" w:rsidRPr="00270EEB" w:rsidRDefault="002A535D"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A62DCA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0B53C6">
        <w:rPr>
          <w:rFonts w:eastAsia="Arial"/>
          <w:color w:val="000000" w:themeColor="text1"/>
          <w:sz w:val="24"/>
          <w:szCs w:val="24"/>
          <w:highlight w:val="yellow"/>
        </w:rPr>
        <w:t>C.REES</w:t>
      </w:r>
    </w:p>
    <w:p w14:paraId="5A951FC3" w14:textId="567E0F34" w:rsidR="641A9DDA" w:rsidRDefault="641A9DDA" w:rsidP="366F6C5C">
      <w:pPr>
        <w:jc w:val="both"/>
        <w:rPr>
          <w:color w:val="000000" w:themeColor="text1"/>
          <w:sz w:val="24"/>
          <w:szCs w:val="24"/>
          <w:highlight w:val="yellow"/>
        </w:rPr>
      </w:pPr>
    </w:p>
    <w:p w14:paraId="0C5B59A2" w14:textId="4423F55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0B53C6">
        <w:rPr>
          <w:rFonts w:eastAsia="Arial"/>
          <w:color w:val="000000" w:themeColor="text1"/>
          <w:sz w:val="24"/>
          <w:szCs w:val="24"/>
          <w:highlight w:val="yellow"/>
        </w:rPr>
        <w:t>03/07/2023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F9FD6" w14:textId="77777777" w:rsidR="002E5E63" w:rsidRDefault="002E5E63">
      <w:r>
        <w:separator/>
      </w:r>
    </w:p>
  </w:endnote>
  <w:endnote w:type="continuationSeparator" w:id="0">
    <w:p w14:paraId="0AB2528D" w14:textId="77777777" w:rsidR="002E5E63" w:rsidRDefault="002E5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D6F1E" w14:textId="77777777" w:rsidR="002E5E63" w:rsidRDefault="002E5E63">
      <w:r>
        <w:separator/>
      </w:r>
    </w:p>
  </w:footnote>
  <w:footnote w:type="continuationSeparator" w:id="0">
    <w:p w14:paraId="218ABC9C" w14:textId="77777777" w:rsidR="002E5E63" w:rsidRDefault="002E5E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2024"/>
    <w:multiLevelType w:val="multilevel"/>
    <w:tmpl w:val="673AA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818088A"/>
    <w:multiLevelType w:val="multilevel"/>
    <w:tmpl w:val="98AEF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0649138">
    <w:abstractNumId w:val="3"/>
  </w:num>
  <w:num w:numId="2" w16cid:durableId="1732732819">
    <w:abstractNumId w:val="2"/>
  </w:num>
  <w:num w:numId="3" w16cid:durableId="438570856">
    <w:abstractNumId w:val="1"/>
  </w:num>
  <w:num w:numId="4" w16cid:durableId="172770753">
    <w:abstractNumId w:val="5"/>
  </w:num>
  <w:num w:numId="5" w16cid:durableId="522937761">
    <w:abstractNumId w:val="4"/>
  </w:num>
  <w:num w:numId="6" w16cid:durableId="275405113">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53C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35D"/>
    <w:rsid w:val="002A5604"/>
    <w:rsid w:val="002B1701"/>
    <w:rsid w:val="002B23C3"/>
    <w:rsid w:val="002B443A"/>
    <w:rsid w:val="002B5B35"/>
    <w:rsid w:val="002C256A"/>
    <w:rsid w:val="002C496D"/>
    <w:rsid w:val="002D05EB"/>
    <w:rsid w:val="002D2F29"/>
    <w:rsid w:val="002E283A"/>
    <w:rsid w:val="002E5E63"/>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0768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5D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0844"/>
    <w:rsid w:val="00F61F1A"/>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5AEC"/>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pple-converted-space">
    <w:name w:val="apple-converted-space"/>
    <w:basedOn w:val="DefaultParagraphFont"/>
    <w:rsid w:val="00F61F1A"/>
  </w:style>
  <w:style w:type="paragraph" w:customStyle="1" w:styleId="legclearfix">
    <w:name w:val="legclearfix"/>
    <w:basedOn w:val="Normal"/>
    <w:rsid w:val="00C345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345D5"/>
  </w:style>
  <w:style w:type="paragraph" w:styleId="NormalWeb">
    <w:name w:val="Normal (Web)"/>
    <w:basedOn w:val="Normal"/>
    <w:uiPriority w:val="99"/>
    <w:semiHidden/>
    <w:unhideWhenUsed/>
    <w:rsid w:val="00C345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B53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34</Pages>
  <Words>8750</Words>
  <Characters>45953</Characters>
  <Application>Microsoft Office Word</Application>
  <DocSecurity>0</DocSecurity>
  <Lines>382</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Rees,Callum swp8421</cp:lastModifiedBy>
  <cp:revision>22</cp:revision>
  <cp:lastPrinted>2019-08-13T11:47:00Z</cp:lastPrinted>
  <dcterms:created xsi:type="dcterms:W3CDTF">2019-08-13T11:48:00Z</dcterms:created>
  <dcterms:modified xsi:type="dcterms:W3CDTF">2023-07-03T13:32:00Z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2023-07-03T13:30:49Z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ddc65a9e-fee8-4588-ba83-308f04d7e077</vt:lpwstr>
  </property>
  <property fmtid="{D5CDD505-2E9C-101B-9397-08002B2CF9AE}" pid="9" name="MSIP_Label_66cf8fe5-b7b7-4df7-b38d-1c61ac2f6639_ContentBits">
    <vt:lpwstr>0</vt:lpwstr>
  </property>
</Properties>
</file>