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8BBEC" w14:textId="77777777" w:rsidR="00280DDA" w:rsidRPr="001E33F8" w:rsidRDefault="00280DDA">
      <w:pPr>
        <w:pBdr>
          <w:top w:val="nil"/>
          <w:left w:val="nil"/>
          <w:bottom w:val="nil"/>
          <w:right w:val="nil"/>
          <w:between w:val="nil"/>
        </w:pBdr>
        <w:spacing w:before="0" w:after="0" w:line="240" w:lineRule="auto"/>
        <w:jc w:val="center"/>
        <w:rPr>
          <w:b/>
          <w:bCs/>
          <w:color w:val="auto"/>
          <w:sz w:val="32"/>
          <w:szCs w:val="32"/>
        </w:rPr>
      </w:pPr>
      <w:bookmarkStart w:id="0" w:name="_heading=h.6fjzq0llm22a" w:colFirst="0" w:colLast="0"/>
      <w:bookmarkEnd w:id="0"/>
    </w:p>
    <w:p w14:paraId="408E3928" w14:textId="77777777" w:rsidR="00280DDA" w:rsidRPr="001E33F8" w:rsidRDefault="00280DDA">
      <w:pPr>
        <w:pBdr>
          <w:top w:val="nil"/>
          <w:left w:val="nil"/>
          <w:bottom w:val="nil"/>
          <w:right w:val="nil"/>
          <w:between w:val="nil"/>
        </w:pBdr>
        <w:spacing w:before="0" w:after="0" w:line="240" w:lineRule="auto"/>
        <w:jc w:val="center"/>
        <w:rPr>
          <w:b/>
          <w:bCs/>
          <w:color w:val="auto"/>
          <w:sz w:val="32"/>
          <w:szCs w:val="32"/>
        </w:rPr>
      </w:pPr>
    </w:p>
    <w:p w14:paraId="2B338701" w14:textId="77777777" w:rsidR="00280DDA" w:rsidRPr="001E33F8" w:rsidRDefault="00280DDA">
      <w:pPr>
        <w:pBdr>
          <w:top w:val="nil"/>
          <w:left w:val="nil"/>
          <w:bottom w:val="nil"/>
          <w:right w:val="nil"/>
          <w:between w:val="nil"/>
        </w:pBdr>
        <w:spacing w:before="0" w:after="0" w:line="240" w:lineRule="auto"/>
        <w:jc w:val="center"/>
        <w:rPr>
          <w:b/>
          <w:bCs/>
          <w:color w:val="auto"/>
          <w:sz w:val="32"/>
          <w:szCs w:val="32"/>
        </w:rPr>
      </w:pPr>
    </w:p>
    <w:p w14:paraId="72CEF22C" w14:textId="77777777" w:rsidR="00280DDA" w:rsidRPr="001E33F8" w:rsidRDefault="00280DDA">
      <w:pPr>
        <w:pBdr>
          <w:top w:val="nil"/>
          <w:left w:val="nil"/>
          <w:bottom w:val="nil"/>
          <w:right w:val="nil"/>
          <w:between w:val="nil"/>
        </w:pBdr>
        <w:spacing w:before="0" w:after="0" w:line="240" w:lineRule="auto"/>
        <w:jc w:val="center"/>
        <w:rPr>
          <w:b/>
          <w:bCs/>
          <w:color w:val="auto"/>
          <w:sz w:val="32"/>
          <w:szCs w:val="32"/>
        </w:rPr>
      </w:pPr>
    </w:p>
    <w:p w14:paraId="0F303966" w14:textId="77777777" w:rsidR="00280DDA" w:rsidRPr="001E33F8" w:rsidRDefault="009814C7">
      <w:pPr>
        <w:pBdr>
          <w:top w:val="nil"/>
          <w:left w:val="nil"/>
          <w:bottom w:val="nil"/>
          <w:right w:val="nil"/>
          <w:between w:val="nil"/>
        </w:pBdr>
        <w:spacing w:before="0" w:after="0" w:line="240" w:lineRule="auto"/>
        <w:jc w:val="center"/>
        <w:rPr>
          <w:b/>
          <w:bCs/>
          <w:color w:val="auto"/>
          <w:sz w:val="32"/>
          <w:szCs w:val="32"/>
        </w:rPr>
      </w:pPr>
      <w:r w:rsidRPr="001E33F8">
        <w:rPr>
          <w:noProof/>
          <w:color w:val="auto"/>
        </w:rPr>
        <w:drawing>
          <wp:inline distT="0" distB="0" distL="0" distR="0" wp14:anchorId="7946ECF4" wp14:editId="30FD571C">
            <wp:extent cx="2228850" cy="952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2228850" cy="952500"/>
                    </a:xfrm>
                    <a:prstGeom prst="rect">
                      <a:avLst/>
                    </a:prstGeom>
                    <a:ln/>
                  </pic:spPr>
                </pic:pic>
              </a:graphicData>
            </a:graphic>
          </wp:inline>
        </w:drawing>
      </w:r>
    </w:p>
    <w:p w14:paraId="4816ACBC" w14:textId="77777777" w:rsidR="00280DDA" w:rsidRPr="001E33F8" w:rsidRDefault="00280DDA">
      <w:pPr>
        <w:pBdr>
          <w:top w:val="nil"/>
          <w:left w:val="nil"/>
          <w:bottom w:val="nil"/>
          <w:right w:val="nil"/>
          <w:between w:val="nil"/>
        </w:pBdr>
        <w:spacing w:before="0" w:after="0" w:line="240" w:lineRule="auto"/>
        <w:jc w:val="center"/>
        <w:rPr>
          <w:b/>
          <w:bCs/>
          <w:color w:val="auto"/>
          <w:sz w:val="32"/>
          <w:szCs w:val="32"/>
        </w:rPr>
      </w:pPr>
    </w:p>
    <w:p w14:paraId="28ED885B" w14:textId="77777777"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PROGRAMME: MASTER OF BUSINESS ADMINISTRATION</w:t>
      </w:r>
    </w:p>
    <w:p w14:paraId="3A872A65"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3B94DFA7" w14:textId="77777777"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MODULE: MARKETING MANAGEMENT</w:t>
      </w:r>
    </w:p>
    <w:p w14:paraId="2E34EBD5"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5954E647" w14:textId="77777777"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MODULE CODE: LCMB7024</w:t>
      </w:r>
    </w:p>
    <w:p w14:paraId="4B2426BA"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29131F1D" w14:textId="5E229BD1"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STUDENT NAME:</w:t>
      </w:r>
      <w:r w:rsidR="00D672F5">
        <w:rPr>
          <w:b/>
          <w:bCs/>
          <w:color w:val="auto"/>
          <w:sz w:val="32"/>
          <w:szCs w:val="32"/>
        </w:rPr>
        <w:t xml:space="preserve"> DIVYA ADDURU</w:t>
      </w:r>
    </w:p>
    <w:p w14:paraId="0CDC23AF"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5D9D75E6" w14:textId="10DE5451"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STUDENT ID NUMBER:</w:t>
      </w:r>
      <w:r w:rsidR="00D672F5">
        <w:rPr>
          <w:b/>
          <w:bCs/>
          <w:color w:val="auto"/>
          <w:sz w:val="32"/>
          <w:szCs w:val="32"/>
        </w:rPr>
        <w:t xml:space="preserve"> </w:t>
      </w:r>
      <w:r w:rsidR="00294879">
        <w:rPr>
          <w:b/>
          <w:bCs/>
          <w:color w:val="auto"/>
          <w:sz w:val="32"/>
          <w:szCs w:val="32"/>
        </w:rPr>
        <w:t>2537627</w:t>
      </w:r>
    </w:p>
    <w:p w14:paraId="7B20979E"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7CC0D4A3" w14:textId="77777777" w:rsidR="00280DDA"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COMPANY: TATA STEEL</w:t>
      </w:r>
    </w:p>
    <w:p w14:paraId="4A707925" w14:textId="77777777" w:rsidR="000E745D" w:rsidRPr="001E33F8" w:rsidRDefault="000E745D">
      <w:pPr>
        <w:pBdr>
          <w:top w:val="nil"/>
          <w:left w:val="nil"/>
          <w:bottom w:val="nil"/>
          <w:right w:val="nil"/>
          <w:between w:val="nil"/>
        </w:pBdr>
        <w:spacing w:before="0" w:after="0"/>
        <w:jc w:val="center"/>
        <w:rPr>
          <w:b/>
          <w:bCs/>
          <w:color w:val="auto"/>
          <w:sz w:val="32"/>
          <w:szCs w:val="32"/>
        </w:rPr>
      </w:pPr>
    </w:p>
    <w:p w14:paraId="0CAA7A7D" w14:textId="77777777" w:rsidR="00280DDA" w:rsidRPr="001E33F8" w:rsidRDefault="009814C7">
      <w:pPr>
        <w:pBdr>
          <w:top w:val="nil"/>
          <w:left w:val="nil"/>
          <w:bottom w:val="nil"/>
          <w:right w:val="nil"/>
          <w:between w:val="nil"/>
        </w:pBdr>
        <w:spacing w:before="0" w:after="0"/>
        <w:jc w:val="center"/>
        <w:rPr>
          <w:b/>
          <w:bCs/>
          <w:color w:val="auto"/>
          <w:sz w:val="32"/>
          <w:szCs w:val="32"/>
        </w:rPr>
      </w:pPr>
      <w:r w:rsidRPr="001E33F8">
        <w:rPr>
          <w:b/>
          <w:bCs/>
          <w:color w:val="auto"/>
          <w:sz w:val="32"/>
          <w:szCs w:val="32"/>
        </w:rPr>
        <w:t>WORD COUNT: 2600</w:t>
      </w:r>
    </w:p>
    <w:p w14:paraId="0329B7E6" w14:textId="77777777" w:rsidR="00280DDA" w:rsidRPr="001E33F8" w:rsidRDefault="009814C7">
      <w:pPr>
        <w:rPr>
          <w:b/>
          <w:bCs/>
          <w:color w:val="auto"/>
          <w:sz w:val="32"/>
          <w:szCs w:val="32"/>
        </w:rPr>
      </w:pPr>
      <w:r w:rsidRPr="001E33F8">
        <w:rPr>
          <w:color w:val="auto"/>
        </w:rPr>
        <w:br w:type="page"/>
      </w:r>
    </w:p>
    <w:p w14:paraId="614C6183" w14:textId="77777777" w:rsidR="00280DDA" w:rsidRPr="001E33F8" w:rsidRDefault="00280DDA">
      <w:pPr>
        <w:rPr>
          <w:b/>
          <w:bCs/>
          <w:color w:val="auto"/>
          <w:sz w:val="28"/>
          <w:szCs w:val="28"/>
        </w:rPr>
      </w:pPr>
    </w:p>
    <w:p w14:paraId="4A45CA69" w14:textId="77777777" w:rsidR="00280DDA" w:rsidRPr="001E33F8" w:rsidRDefault="009814C7">
      <w:pPr>
        <w:pStyle w:val="Heading1"/>
        <w:rPr>
          <w:color w:val="auto"/>
        </w:rPr>
      </w:pPr>
      <w:bookmarkStart w:id="1" w:name="_Toc235698330"/>
      <w:r w:rsidRPr="001E33F8">
        <w:rPr>
          <w:color w:val="auto"/>
        </w:rPr>
        <w:t>Introduction</w:t>
      </w:r>
      <w:bookmarkEnd w:id="1"/>
      <w:r w:rsidRPr="001E33F8">
        <w:rPr>
          <w:color w:val="auto"/>
        </w:rPr>
        <w:t xml:space="preserve"> </w:t>
      </w:r>
    </w:p>
    <w:p w14:paraId="72730698" w14:textId="77777777" w:rsidR="00280DDA" w:rsidRPr="001E33F8" w:rsidRDefault="009814C7">
      <w:pPr>
        <w:pBdr>
          <w:top w:val="nil"/>
          <w:left w:val="nil"/>
          <w:bottom w:val="nil"/>
          <w:right w:val="nil"/>
          <w:between w:val="nil"/>
        </w:pBdr>
        <w:spacing w:before="0" w:after="0"/>
        <w:rPr>
          <w:color w:val="auto"/>
        </w:rPr>
      </w:pPr>
      <w:r w:rsidRPr="001E33F8">
        <w:rPr>
          <w:color w:val="auto"/>
        </w:rPr>
        <w:t>This report evaluates Tata Steel's transition towards lower-carbon steel by analysing its external marketing environment, recommending a suitable growth strategy, and critically reflecting on the responsible use of artificial intelligence.</w:t>
      </w:r>
    </w:p>
    <w:p w14:paraId="41D0D700" w14:textId="77777777" w:rsidR="00280DDA" w:rsidRPr="001E33F8" w:rsidRDefault="009814C7">
      <w:pPr>
        <w:rPr>
          <w:b/>
          <w:bCs/>
          <w:color w:val="auto"/>
          <w:sz w:val="28"/>
          <w:szCs w:val="28"/>
        </w:rPr>
      </w:pPr>
      <w:r w:rsidRPr="001E33F8">
        <w:rPr>
          <w:color w:val="auto"/>
        </w:rPr>
        <w:br w:type="page"/>
      </w:r>
    </w:p>
    <w:p w14:paraId="03D4F67E" w14:textId="77777777" w:rsidR="00280DDA" w:rsidRPr="001E33F8" w:rsidRDefault="009814C7">
      <w:pPr>
        <w:pStyle w:val="Heading1"/>
        <w:rPr>
          <w:color w:val="auto"/>
        </w:rPr>
      </w:pPr>
      <w:bookmarkStart w:id="2" w:name="_Toc235698331"/>
      <w:r w:rsidRPr="001E33F8">
        <w:rPr>
          <w:color w:val="auto"/>
        </w:rPr>
        <w:lastRenderedPageBreak/>
        <w:t>Task 1: Marketing Environment Analysis</w:t>
      </w:r>
      <w:bookmarkEnd w:id="2"/>
      <w:r w:rsidRPr="001E33F8">
        <w:rPr>
          <w:color w:val="auto"/>
        </w:rPr>
        <w:t xml:space="preserve"> </w:t>
      </w:r>
    </w:p>
    <w:p w14:paraId="1C00EAEF" w14:textId="77777777" w:rsidR="00280DDA" w:rsidRPr="001E33F8" w:rsidRDefault="009814C7">
      <w:pPr>
        <w:pStyle w:val="Heading2"/>
        <w:rPr>
          <w:color w:val="auto"/>
        </w:rPr>
      </w:pPr>
      <w:bookmarkStart w:id="3" w:name="_Toc235698332"/>
      <w:r w:rsidRPr="001E33F8">
        <w:rPr>
          <w:color w:val="auto"/>
        </w:rPr>
        <w:t>Introduction</w:t>
      </w:r>
      <w:bookmarkEnd w:id="3"/>
      <w:r w:rsidRPr="001E33F8">
        <w:rPr>
          <w:color w:val="auto"/>
        </w:rPr>
        <w:t xml:space="preserve"> </w:t>
      </w:r>
    </w:p>
    <w:p w14:paraId="6A419E46" w14:textId="77777777" w:rsidR="00280DDA" w:rsidRPr="001E33F8" w:rsidRDefault="009814C7">
      <w:pPr>
        <w:rPr>
          <w:color w:val="auto"/>
        </w:rPr>
      </w:pPr>
      <w:r w:rsidRPr="001E33F8">
        <w:rPr>
          <w:color w:val="auto"/>
        </w:rPr>
        <w:t xml:space="preserve">Tata Steel Limited is a steel manufacturer, a part of the Tata Group Company with operations in Southeast Asia, Europe, and India. It manufactures automotive, construction and engineering, infrastructure, and consumer goods steel products (Tata Steel, 2026). Government and customer pressure for a carbon-reduction strategy are driving Tata Steel towards lower-carbon steel through renewable energy, hydrogen-based technologies, circular economy, and carbon reduction programmes to speed up the transition. </w:t>
      </w:r>
    </w:p>
    <w:p w14:paraId="7261E042" w14:textId="77777777" w:rsidR="00280DDA" w:rsidRPr="001E33F8" w:rsidRDefault="009814C7">
      <w:pPr>
        <w:pStyle w:val="Heading2"/>
        <w:rPr>
          <w:color w:val="auto"/>
        </w:rPr>
      </w:pPr>
      <w:bookmarkStart w:id="4" w:name="_Toc235698333"/>
      <w:r w:rsidRPr="001E33F8">
        <w:rPr>
          <w:color w:val="auto"/>
        </w:rPr>
        <w:t>Background Information</w:t>
      </w:r>
      <w:bookmarkEnd w:id="4"/>
      <w:r w:rsidRPr="001E33F8">
        <w:rPr>
          <w:color w:val="auto"/>
        </w:rPr>
        <w:t xml:space="preserve"> </w:t>
      </w:r>
    </w:p>
    <w:p w14:paraId="2FE53558" w14:textId="77777777" w:rsidR="00280DDA" w:rsidRPr="001E33F8" w:rsidRDefault="009814C7">
      <w:pPr>
        <w:rPr>
          <w:color w:val="auto"/>
        </w:rPr>
      </w:pPr>
      <w:r w:rsidRPr="001E33F8">
        <w:rPr>
          <w:color w:val="auto"/>
        </w:rPr>
        <w:t>Tata Steel was founded by the vision of Jamsetji Nuswalla Tata through his vision in the year 1907, though it was founded after he died in the name of the Tata Group. It is now an India-first player in the integrated steel manufacturing industry and is one of the world's largest steel manufacturers (Tata Steel, 2026). Tata Steel is present in over 25 countries, delivering its services to customers in various industrial market segments, and is known for innovation and responsible business practices. The interim report stated that by 2025, the company achieved 31.67 MT of production with ₹2, 32,140 crore turnover globally, that show 6.22% rise from the previous year (Tata Steel, 2025).</w:t>
      </w:r>
    </w:p>
    <w:p w14:paraId="073C4411" w14:textId="77777777" w:rsidR="00280DDA" w:rsidRPr="001E33F8" w:rsidRDefault="009814C7">
      <w:pPr>
        <w:jc w:val="center"/>
        <w:rPr>
          <w:color w:val="auto"/>
        </w:rPr>
      </w:pPr>
      <w:r w:rsidRPr="001E33F8">
        <w:rPr>
          <w:noProof/>
          <w:color w:val="auto"/>
        </w:rPr>
        <w:lastRenderedPageBreak/>
        <w:drawing>
          <wp:inline distT="114300" distB="114300" distL="114300" distR="114300" wp14:anchorId="02039A6D" wp14:editId="5F48057D">
            <wp:extent cx="4733925" cy="3305175"/>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33925" cy="3305175"/>
                    </a:xfrm>
                    <a:prstGeom prst="rect">
                      <a:avLst/>
                    </a:prstGeom>
                    <a:ln w="12700">
                      <a:solidFill>
                        <a:srgbClr val="000000"/>
                      </a:solidFill>
                      <a:prstDash val="solid"/>
                    </a:ln>
                  </pic:spPr>
                </pic:pic>
              </a:graphicData>
            </a:graphic>
          </wp:inline>
        </w:drawing>
      </w:r>
    </w:p>
    <w:p w14:paraId="2E0C0483" w14:textId="77777777" w:rsidR="00280DDA" w:rsidRPr="001E33F8" w:rsidRDefault="009814C7">
      <w:pPr>
        <w:jc w:val="center"/>
        <w:rPr>
          <w:b/>
          <w:bCs/>
          <w:color w:val="auto"/>
        </w:rPr>
      </w:pPr>
      <w:r w:rsidRPr="001E33F8">
        <w:rPr>
          <w:b/>
          <w:bCs/>
          <w:color w:val="auto"/>
        </w:rPr>
        <w:t xml:space="preserve">Figure 1: Tata Steel annual performance </w:t>
      </w:r>
    </w:p>
    <w:p w14:paraId="1E15E23E" w14:textId="77777777" w:rsidR="00280DDA" w:rsidRPr="001E33F8" w:rsidRDefault="009814C7">
      <w:pPr>
        <w:jc w:val="center"/>
        <w:rPr>
          <w:color w:val="auto"/>
        </w:rPr>
      </w:pPr>
      <w:r w:rsidRPr="001E33F8">
        <w:rPr>
          <w:color w:val="auto"/>
        </w:rPr>
        <w:t>(Source: Tata Steel, 2025)</w:t>
      </w:r>
    </w:p>
    <w:p w14:paraId="48953765" w14:textId="77777777" w:rsidR="00280DDA" w:rsidRPr="001E33F8" w:rsidRDefault="009814C7">
      <w:pPr>
        <w:rPr>
          <w:color w:val="auto"/>
        </w:rPr>
      </w:pPr>
      <w:r w:rsidRPr="001E33F8">
        <w:rPr>
          <w:color w:val="auto"/>
        </w:rPr>
        <w:t>The company's vision is to develop long-term value responsibly with respect to steel production while focusing on economic development and environmental sustainability (Tata Steel, 2026). Over the past few years, Tata Steel has, in fact, invested heavily in implementing cleaner technologies, integrating renewable energy, recycling waste, and creating low-carbon steel to realise its net-zero goals.</w:t>
      </w:r>
    </w:p>
    <w:p w14:paraId="1F7AF37D" w14:textId="77777777" w:rsidR="00280DDA" w:rsidRPr="001E33F8" w:rsidRDefault="009814C7">
      <w:pPr>
        <w:pStyle w:val="Heading2"/>
        <w:rPr>
          <w:color w:val="auto"/>
        </w:rPr>
      </w:pPr>
      <w:bookmarkStart w:id="5" w:name="_Toc235698334"/>
      <w:r w:rsidRPr="001E33F8">
        <w:rPr>
          <w:color w:val="auto"/>
        </w:rPr>
        <w:t>Definition of the Macro Environment</w:t>
      </w:r>
      <w:bookmarkEnd w:id="5"/>
      <w:r w:rsidRPr="001E33F8">
        <w:rPr>
          <w:color w:val="auto"/>
        </w:rPr>
        <w:t xml:space="preserve"> </w:t>
      </w:r>
    </w:p>
    <w:p w14:paraId="4ADBB510" w14:textId="77777777" w:rsidR="00280DDA" w:rsidRPr="001E33F8" w:rsidRDefault="009814C7">
      <w:pPr>
        <w:rPr>
          <w:color w:val="auto"/>
        </w:rPr>
      </w:pPr>
      <w:r w:rsidRPr="001E33F8">
        <w:rPr>
          <w:color w:val="auto"/>
        </w:rPr>
        <w:t xml:space="preserve">The macro marketing environment will be the overall external forces that are not directly controllable by the organisation but impact its ability to satisfy customers. Performing strategic marketing decisions, competitive positioning, and organisational performance are influenced by these environmental forces (Handoyo </w:t>
      </w:r>
      <w:r w:rsidRPr="001E33F8">
        <w:rPr>
          <w:i/>
          <w:iCs/>
          <w:color w:val="auto"/>
        </w:rPr>
        <w:t>et al.,</w:t>
      </w:r>
      <w:r w:rsidRPr="001E33F8">
        <w:rPr>
          <w:color w:val="auto"/>
        </w:rPr>
        <w:t xml:space="preserve"> 2023, p.3). </w:t>
      </w:r>
    </w:p>
    <w:p w14:paraId="69BDF88F" w14:textId="77777777" w:rsidR="00280DDA" w:rsidRPr="001E33F8" w:rsidRDefault="009814C7">
      <w:pPr>
        <w:rPr>
          <w:b/>
          <w:bCs/>
          <w:i/>
          <w:iCs/>
          <w:color w:val="auto"/>
        </w:rPr>
      </w:pPr>
      <w:r w:rsidRPr="001E33F8">
        <w:rPr>
          <w:b/>
          <w:bCs/>
          <w:i/>
          <w:iCs/>
          <w:color w:val="auto"/>
        </w:rPr>
        <w:lastRenderedPageBreak/>
        <w:t xml:space="preserve">PESTLE evaluation </w:t>
      </w:r>
    </w:p>
    <w:p w14:paraId="37F5664F" w14:textId="77777777" w:rsidR="00280DDA" w:rsidRPr="001E33F8" w:rsidRDefault="009814C7">
      <w:pPr>
        <w:jc w:val="center"/>
        <w:rPr>
          <w:color w:val="auto"/>
        </w:rPr>
      </w:pPr>
      <w:r w:rsidRPr="001E33F8">
        <w:rPr>
          <w:noProof/>
          <w:color w:val="auto"/>
        </w:rPr>
        <w:drawing>
          <wp:inline distT="0" distB="0" distL="0" distR="0" wp14:anchorId="69076799" wp14:editId="5C1E4B98">
            <wp:extent cx="3076575" cy="3248025"/>
            <wp:effectExtent l="6350" t="6350" r="6350" b="635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076575" cy="3248025"/>
                    </a:xfrm>
                    <a:prstGeom prst="rect">
                      <a:avLst/>
                    </a:prstGeom>
                    <a:ln w="6350">
                      <a:solidFill>
                        <a:srgbClr val="000000"/>
                      </a:solidFill>
                      <a:prstDash val="solid"/>
                    </a:ln>
                  </pic:spPr>
                </pic:pic>
              </a:graphicData>
            </a:graphic>
          </wp:inline>
        </w:drawing>
      </w:r>
    </w:p>
    <w:p w14:paraId="5C62AECD" w14:textId="77777777" w:rsidR="00280DDA" w:rsidRPr="001E33F8" w:rsidRDefault="009814C7">
      <w:pPr>
        <w:jc w:val="center"/>
        <w:rPr>
          <w:b/>
          <w:bCs/>
          <w:color w:val="auto"/>
        </w:rPr>
      </w:pPr>
      <w:r w:rsidRPr="001E33F8">
        <w:rPr>
          <w:b/>
          <w:bCs/>
          <w:color w:val="auto"/>
        </w:rPr>
        <w:t xml:space="preserve">Figure 2: PESTLE factor </w:t>
      </w:r>
    </w:p>
    <w:p w14:paraId="50D8E0F6" w14:textId="77777777" w:rsidR="00280DDA" w:rsidRPr="001E33F8" w:rsidRDefault="009814C7">
      <w:pPr>
        <w:jc w:val="center"/>
        <w:rPr>
          <w:color w:val="auto"/>
        </w:rPr>
      </w:pPr>
      <w:r w:rsidRPr="001E33F8">
        <w:rPr>
          <w:color w:val="auto"/>
        </w:rPr>
        <w:t>(Source: self-created)</w:t>
      </w:r>
    </w:p>
    <w:tbl>
      <w:tblPr>
        <w:tblStyle w:val="a"/>
        <w:tblW w:w="90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3285"/>
        <w:gridCol w:w="5715"/>
      </w:tblGrid>
      <w:tr w:rsidR="00280DDA" w:rsidRPr="001E33F8" w14:paraId="5DEAB7DF" w14:textId="77777777">
        <w:trPr>
          <w:trHeight w:val="285"/>
        </w:trPr>
        <w:tc>
          <w:tcPr>
            <w:tcW w:w="328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B3B2C30" w14:textId="77777777" w:rsidR="00280DDA" w:rsidRPr="001E33F8" w:rsidRDefault="009814C7">
            <w:pPr>
              <w:spacing w:before="0" w:after="0"/>
              <w:jc w:val="center"/>
              <w:rPr>
                <w:b/>
                <w:bCs/>
                <w:color w:val="auto"/>
              </w:rPr>
            </w:pPr>
            <w:r w:rsidRPr="001E33F8">
              <w:rPr>
                <w:b/>
                <w:bCs/>
                <w:color w:val="auto"/>
              </w:rPr>
              <w:t>Factor</w:t>
            </w:r>
          </w:p>
        </w:tc>
        <w:tc>
          <w:tcPr>
            <w:tcW w:w="5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81AF9B8" w14:textId="77777777" w:rsidR="00280DDA" w:rsidRPr="001E33F8" w:rsidRDefault="009814C7">
            <w:pPr>
              <w:spacing w:before="0" w:after="0"/>
              <w:jc w:val="center"/>
              <w:rPr>
                <w:b/>
                <w:bCs/>
                <w:color w:val="auto"/>
              </w:rPr>
            </w:pPr>
            <w:r w:rsidRPr="001E33F8">
              <w:rPr>
                <w:b/>
                <w:bCs/>
                <w:color w:val="auto"/>
              </w:rPr>
              <w:t>Evaluation (global basis)</w:t>
            </w:r>
          </w:p>
        </w:tc>
      </w:tr>
      <w:tr w:rsidR="00280DDA" w:rsidRPr="001E33F8" w14:paraId="32FA8AE0"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9CD06A" w14:textId="77777777" w:rsidR="00280DDA" w:rsidRPr="001E33F8" w:rsidRDefault="009814C7">
            <w:pPr>
              <w:spacing w:before="0" w:after="0"/>
              <w:rPr>
                <w:color w:val="auto"/>
              </w:rPr>
            </w:pPr>
            <w:r w:rsidRPr="001E33F8">
              <w:rPr>
                <w:color w:val="auto"/>
              </w:rPr>
              <w:t>Political</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AF42349" w14:textId="77777777" w:rsidR="00280DDA" w:rsidRPr="001E33F8" w:rsidRDefault="009814C7">
            <w:pPr>
              <w:spacing w:before="0" w:after="0"/>
              <w:rPr>
                <w:color w:val="auto"/>
              </w:rPr>
            </w:pPr>
            <w:r w:rsidRPr="001E33F8">
              <w:rPr>
                <w:color w:val="auto"/>
              </w:rPr>
              <w:t>Political shift toward multipolarity, intense great-power competition, and rising populist movements.</w:t>
            </w:r>
          </w:p>
        </w:tc>
      </w:tr>
      <w:tr w:rsidR="00280DDA" w:rsidRPr="001E33F8" w14:paraId="785E3FED"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0AE87D2" w14:textId="77777777" w:rsidR="00280DDA" w:rsidRPr="001E33F8" w:rsidRDefault="009814C7">
            <w:pPr>
              <w:spacing w:before="0" w:after="0"/>
              <w:rPr>
                <w:color w:val="auto"/>
              </w:rPr>
            </w:pPr>
            <w:r w:rsidRPr="001E33F8">
              <w:rPr>
                <w:color w:val="auto"/>
              </w:rPr>
              <w:t>Economic</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29D51F7" w14:textId="77777777" w:rsidR="00280DDA" w:rsidRPr="001E33F8" w:rsidRDefault="009814C7">
            <w:pPr>
              <w:spacing w:before="0" w:after="0"/>
              <w:rPr>
                <w:color w:val="auto"/>
              </w:rPr>
            </w:pPr>
            <w:r w:rsidRPr="001E33F8">
              <w:rPr>
                <w:color w:val="auto"/>
              </w:rPr>
              <w:t>Global economy is currently navigating a fragile and uneven period with 2.5% - 3.0% growth for 2026 (International Monetary Fund, 2026)</w:t>
            </w:r>
          </w:p>
        </w:tc>
      </w:tr>
      <w:tr w:rsidR="00280DDA" w:rsidRPr="001E33F8" w14:paraId="544843A8"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2C76713" w14:textId="77777777" w:rsidR="00280DDA" w:rsidRPr="001E33F8" w:rsidRDefault="009814C7">
            <w:pPr>
              <w:spacing w:before="0" w:after="0"/>
              <w:rPr>
                <w:color w:val="auto"/>
              </w:rPr>
            </w:pPr>
            <w:r w:rsidRPr="001E33F8">
              <w:rPr>
                <w:color w:val="auto"/>
              </w:rPr>
              <w:t>Social</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6CA2708" w14:textId="77777777" w:rsidR="00280DDA" w:rsidRPr="001E33F8" w:rsidRDefault="009814C7">
            <w:pPr>
              <w:spacing w:before="0" w:after="0"/>
              <w:rPr>
                <w:color w:val="auto"/>
              </w:rPr>
            </w:pPr>
            <w:r w:rsidRPr="001E33F8">
              <w:rPr>
                <w:color w:val="auto"/>
              </w:rPr>
              <w:t>World social conditions is fragile in the post-pandemic period, where quality-of-life improvements are stalling or reversing</w:t>
            </w:r>
          </w:p>
        </w:tc>
      </w:tr>
      <w:tr w:rsidR="00280DDA" w:rsidRPr="001E33F8" w14:paraId="59F65A92"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358777E" w14:textId="77777777" w:rsidR="00280DDA" w:rsidRPr="001E33F8" w:rsidRDefault="009814C7">
            <w:pPr>
              <w:spacing w:before="0" w:after="0"/>
              <w:rPr>
                <w:color w:val="auto"/>
              </w:rPr>
            </w:pPr>
            <w:r w:rsidRPr="001E33F8">
              <w:rPr>
                <w:color w:val="auto"/>
              </w:rPr>
              <w:lastRenderedPageBreak/>
              <w:t>Technological</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3ED1975" w14:textId="77777777" w:rsidR="00280DDA" w:rsidRPr="001E33F8" w:rsidRDefault="009814C7">
            <w:pPr>
              <w:spacing w:before="0" w:after="0"/>
              <w:rPr>
                <w:color w:val="auto"/>
              </w:rPr>
            </w:pPr>
            <w:r w:rsidRPr="001E33F8">
              <w:rPr>
                <w:color w:val="auto"/>
              </w:rPr>
              <w:t>Science and innovation investment partially recovered after a downturn in 2023 (WIPO, 2026)</w:t>
            </w:r>
          </w:p>
        </w:tc>
      </w:tr>
      <w:tr w:rsidR="00280DDA" w:rsidRPr="001E33F8" w14:paraId="224D17D9"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AFD6E4D" w14:textId="77777777" w:rsidR="00280DDA" w:rsidRPr="001E33F8" w:rsidRDefault="009814C7">
            <w:pPr>
              <w:spacing w:before="0" w:after="0"/>
              <w:rPr>
                <w:color w:val="auto"/>
              </w:rPr>
            </w:pPr>
            <w:r w:rsidRPr="001E33F8">
              <w:rPr>
                <w:color w:val="auto"/>
              </w:rPr>
              <w:t xml:space="preserve">Legal </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77D62F4" w14:textId="77777777" w:rsidR="00280DDA" w:rsidRPr="001E33F8" w:rsidRDefault="009814C7">
            <w:pPr>
              <w:spacing w:before="0" w:after="0"/>
              <w:rPr>
                <w:color w:val="auto"/>
              </w:rPr>
            </w:pPr>
            <w:r w:rsidRPr="001E33F8">
              <w:rPr>
                <w:color w:val="auto"/>
              </w:rPr>
              <w:t>United Nations Environment Programme</w:t>
            </w:r>
          </w:p>
          <w:p w14:paraId="304A0275" w14:textId="77777777" w:rsidR="00280DDA" w:rsidRPr="001E33F8" w:rsidRDefault="009814C7">
            <w:pPr>
              <w:spacing w:before="0" w:after="0"/>
              <w:rPr>
                <w:color w:val="auto"/>
              </w:rPr>
            </w:pPr>
            <w:r w:rsidRPr="001E33F8">
              <w:rPr>
                <w:color w:val="auto"/>
              </w:rPr>
              <w:t>Environment (Protection) Act, 1986</w:t>
            </w:r>
          </w:p>
        </w:tc>
      </w:tr>
      <w:tr w:rsidR="00280DDA" w:rsidRPr="001E33F8" w14:paraId="7678BD27" w14:textId="77777777">
        <w:trPr>
          <w:trHeight w:val="555"/>
        </w:trPr>
        <w:tc>
          <w:tcPr>
            <w:tcW w:w="328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98B567" w14:textId="77777777" w:rsidR="00280DDA" w:rsidRPr="001E33F8" w:rsidRDefault="009814C7">
            <w:pPr>
              <w:spacing w:before="0" w:after="0"/>
              <w:rPr>
                <w:color w:val="auto"/>
              </w:rPr>
            </w:pPr>
            <w:r w:rsidRPr="001E33F8">
              <w:rPr>
                <w:color w:val="auto"/>
              </w:rPr>
              <w:t>Environmental (Primary Focus)</w:t>
            </w:r>
          </w:p>
        </w:tc>
        <w:tc>
          <w:tcPr>
            <w:tcW w:w="57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773F487" w14:textId="77777777" w:rsidR="00280DDA" w:rsidRPr="001E33F8" w:rsidRDefault="009814C7">
            <w:pPr>
              <w:spacing w:before="0" w:after="0"/>
              <w:rPr>
                <w:color w:val="auto"/>
              </w:rPr>
            </w:pPr>
            <w:r w:rsidRPr="001E33F8">
              <w:rPr>
                <w:color w:val="auto"/>
              </w:rPr>
              <w:t>Global net-zero target to carbon removals by 2050 to limit warming to 1.5°C</w:t>
            </w:r>
          </w:p>
        </w:tc>
      </w:tr>
    </w:tbl>
    <w:p w14:paraId="10FD7768" w14:textId="77777777" w:rsidR="00280DDA" w:rsidRPr="001E33F8" w:rsidRDefault="009814C7">
      <w:pPr>
        <w:jc w:val="center"/>
        <w:rPr>
          <w:b/>
          <w:bCs/>
          <w:color w:val="auto"/>
        </w:rPr>
      </w:pPr>
      <w:r w:rsidRPr="001E33F8">
        <w:rPr>
          <w:b/>
          <w:bCs/>
          <w:color w:val="auto"/>
        </w:rPr>
        <w:t xml:space="preserve">Table 1: PESTLE evaluation </w:t>
      </w:r>
    </w:p>
    <w:p w14:paraId="66DA9C88" w14:textId="77777777" w:rsidR="00280DDA" w:rsidRPr="001E33F8" w:rsidRDefault="009814C7">
      <w:pPr>
        <w:jc w:val="center"/>
        <w:rPr>
          <w:color w:val="auto"/>
        </w:rPr>
      </w:pPr>
      <w:r w:rsidRPr="001E33F8">
        <w:rPr>
          <w:color w:val="auto"/>
        </w:rPr>
        <w:t>(Source: self-created)</w:t>
      </w:r>
    </w:p>
    <w:p w14:paraId="6BB3FFBF" w14:textId="77777777" w:rsidR="00280DDA" w:rsidRPr="001E33F8" w:rsidRDefault="009814C7">
      <w:pPr>
        <w:pStyle w:val="Heading2"/>
        <w:rPr>
          <w:color w:val="auto"/>
        </w:rPr>
      </w:pPr>
      <w:bookmarkStart w:id="6" w:name="_Toc235698335"/>
      <w:r w:rsidRPr="001E33F8">
        <w:rPr>
          <w:color w:val="auto"/>
        </w:rPr>
        <w:t>External Marketing Environment Analysis</w:t>
      </w:r>
      <w:bookmarkEnd w:id="6"/>
    </w:p>
    <w:p w14:paraId="73672344" w14:textId="77777777" w:rsidR="00280DDA" w:rsidRPr="001E33F8" w:rsidRDefault="009814C7">
      <w:pPr>
        <w:pStyle w:val="Heading3"/>
        <w:rPr>
          <w:color w:val="auto"/>
        </w:rPr>
      </w:pPr>
      <w:bookmarkStart w:id="7" w:name="_Toc235698336"/>
      <w:r w:rsidRPr="001E33F8">
        <w:rPr>
          <w:color w:val="auto"/>
        </w:rPr>
        <w:t>1. Natural Environment (Primary Actor)</w:t>
      </w:r>
      <w:bookmarkEnd w:id="7"/>
    </w:p>
    <w:p w14:paraId="56C0E2A9" w14:textId="77777777" w:rsidR="00280DDA" w:rsidRPr="001E33F8" w:rsidRDefault="009814C7">
      <w:pPr>
        <w:rPr>
          <w:color w:val="auto"/>
        </w:rPr>
      </w:pPr>
      <w:r w:rsidRPr="001E33F8">
        <w:rPr>
          <w:color w:val="auto"/>
        </w:rPr>
        <w:t xml:space="preserve">At present, the most important external element influencing Tata Steel's marketing and business strategy is the natural environment. Sustainability is evolving from compliance to competitiveness due to climate change concerns, making targets more stringent, and global efforts to minimise GHGs (Islam </w:t>
      </w:r>
      <w:r w:rsidRPr="001E33F8">
        <w:rPr>
          <w:i/>
          <w:iCs/>
          <w:color w:val="auto"/>
        </w:rPr>
        <w:t>et al.,</w:t>
      </w:r>
      <w:r w:rsidRPr="001E33F8">
        <w:rPr>
          <w:color w:val="auto"/>
        </w:rPr>
        <w:t xml:space="preserve"> 2023, p.3803). Tata Steel is one of the most carbon-intensive industries in the world, and is under unprecedented pressure from governments, investors, customers and environmental groups to be more environmentally friendly.</w:t>
      </w:r>
    </w:p>
    <w:p w14:paraId="40C44A15" w14:textId="77777777" w:rsidR="00280DDA" w:rsidRPr="001E33F8" w:rsidRDefault="009814C7">
      <w:pPr>
        <w:rPr>
          <w:color w:val="auto"/>
        </w:rPr>
      </w:pPr>
      <w:r w:rsidRPr="001E33F8">
        <w:rPr>
          <w:color w:val="auto"/>
        </w:rPr>
        <w:t xml:space="preserve">Tata Steel has not just managed to overcome the challenge of environmental laws but has seen it as an opportunity. The company has announced commitments to become a net-zero carbon emissions company by 2045, and invests in low-carbon manufacturing technologies (Tata Steel, 2026). The applications that include these are: using more renewables, boosting energy efficiency, expanding steel recycling, and developing </w:t>
      </w:r>
      <w:r w:rsidRPr="001E33F8">
        <w:rPr>
          <w:color w:val="auto"/>
        </w:rPr>
        <w:lastRenderedPageBreak/>
        <w:t>hydrogen steelmaking technology. These measures allow Tata Steel to position itself as a supplier of cleaner steel products and position.</w:t>
      </w:r>
    </w:p>
    <w:p w14:paraId="455AD58E" w14:textId="77777777" w:rsidR="00280DDA" w:rsidRPr="001E33F8" w:rsidRDefault="009814C7">
      <w:pPr>
        <w:rPr>
          <w:color w:val="auto"/>
        </w:rPr>
      </w:pPr>
      <w:r w:rsidRPr="001E33F8">
        <w:rPr>
          <w:color w:val="auto"/>
        </w:rPr>
        <w:t>The environmental transition is at the same time a big challenge. Investing in low-carbon production technologies is significantly larger, and cleaner production processes are likely to raise the initial production costs (Cenci and Tang, 2024, p.161). In addition, inbound material availability and new climate-related norms can negatively impact production planning and operations in the channel. As a result, the policy of sustainability and profitability is an important issue for management.</w:t>
      </w:r>
    </w:p>
    <w:p w14:paraId="48BF7ED4" w14:textId="77777777" w:rsidR="00280DDA" w:rsidRPr="001E33F8" w:rsidRDefault="009814C7">
      <w:pPr>
        <w:rPr>
          <w:color w:val="auto"/>
        </w:rPr>
      </w:pPr>
      <w:r w:rsidRPr="001E33F8">
        <w:rPr>
          <w:color w:val="auto"/>
        </w:rPr>
        <w:t xml:space="preserve">For marketing, sustainability is a key part of the positioning of Tata Steel's brand (Aithal, 2024, p.187). These environmental considerations are gaining recognition among major automobile manufacturers and the construction industry and are included as part of supplier selection decisions. </w:t>
      </w:r>
    </w:p>
    <w:p w14:paraId="75716779" w14:textId="77777777" w:rsidR="00280DDA" w:rsidRPr="001E33F8" w:rsidRDefault="009814C7">
      <w:pPr>
        <w:rPr>
          <w:color w:val="auto"/>
        </w:rPr>
      </w:pPr>
      <w:r w:rsidRPr="001E33F8">
        <w:rPr>
          <w:color w:val="auto"/>
        </w:rPr>
        <w:t>Africa's nature is generally a threat and an opportunity: a threat because regulations are increasingly hindering the use of steel, but also an opportunity as demand for sustainable steel is rising. Tata Steel led the way in investing in cleaner technologies, successfully turning environmental issues into strategic marketing opportunities (Panchali, 2024, p.181).</w:t>
      </w:r>
    </w:p>
    <w:p w14:paraId="1A9B92B5" w14:textId="77777777" w:rsidR="00280DDA" w:rsidRPr="001E33F8" w:rsidRDefault="009814C7">
      <w:pPr>
        <w:pStyle w:val="Heading3"/>
        <w:rPr>
          <w:color w:val="auto"/>
        </w:rPr>
      </w:pPr>
      <w:bookmarkStart w:id="8" w:name="_Toc235698337"/>
      <w:r w:rsidRPr="001E33F8">
        <w:rPr>
          <w:color w:val="auto"/>
        </w:rPr>
        <w:t>2. Technological Environment (Secondary Actor)</w:t>
      </w:r>
      <w:bookmarkEnd w:id="8"/>
    </w:p>
    <w:p w14:paraId="5D57E612" w14:textId="77777777" w:rsidR="00280DDA" w:rsidRPr="001E33F8" w:rsidRDefault="009814C7">
      <w:pPr>
        <w:rPr>
          <w:color w:val="auto"/>
        </w:rPr>
      </w:pPr>
      <w:r w:rsidRPr="001E33F8">
        <w:rPr>
          <w:color w:val="auto"/>
        </w:rPr>
        <w:t>Technological innovations have a significant impact on Tata Steel's journey towards decarbonisation. The rapid innovation in the steel sector has helped companies continue to produce high-quality products and remain efficient in steel production while lowering emissions. Innovative technologies like electric arc furnaces, AI, digital monitoring systems, hydrogen-based steelmaking, and carbon capture are revolutionising the global steel industry (Siddiqui, 2023, p.175).</w:t>
      </w:r>
    </w:p>
    <w:p w14:paraId="102222D9" w14:textId="77777777" w:rsidR="00280DDA" w:rsidRPr="001E33F8" w:rsidRDefault="009814C7">
      <w:pPr>
        <w:rPr>
          <w:color w:val="auto"/>
        </w:rPr>
      </w:pPr>
      <w:r w:rsidRPr="001E33F8">
        <w:rPr>
          <w:color w:val="auto"/>
        </w:rPr>
        <w:lastRenderedPageBreak/>
        <w:t>Tata Steel has been a key participant in digital transformation and the adoption of cutting-edge manufacturing innovations, aiming to enhance operational efficiency and sustainability. AI aids in predictive maintenance, energy optimisation, and quality control, thus minimising production expenses and emissions (Bello et al., 2024, p.2825). At the same time, and increasingly, investments in hydrogen-related steel production and renewables infrastructure lead the company to meet future regulatory and customer expectations.</w:t>
      </w:r>
    </w:p>
    <w:p w14:paraId="089F9E4D" w14:textId="77777777" w:rsidR="00280DDA" w:rsidRPr="001E33F8" w:rsidRDefault="009814C7">
      <w:pPr>
        <w:rPr>
          <w:color w:val="auto"/>
        </w:rPr>
      </w:pPr>
      <w:r w:rsidRPr="001E33F8">
        <w:rPr>
          <w:color w:val="auto"/>
        </w:rPr>
        <w:t xml:space="preserve">But there are risks in technological changes, too. In the case of new technologies, large investments are needed, qualified personnel are required, and continuous innovation is needed for these to stay competitive. Similar technologies developed by smaller players can diminish Tata Steel's technological edge in the long run. Yet, Tata Steel's use of technological innovation and sustainability goals is helping to boost its operational efficiency, while bolstering its marketing stature as a sustainable steelmaker (Tata Steel, 2026). </w:t>
      </w:r>
    </w:p>
    <w:p w14:paraId="6E889DAD" w14:textId="77777777" w:rsidR="00280DDA" w:rsidRPr="001E33F8" w:rsidRDefault="009814C7">
      <w:pPr>
        <w:rPr>
          <w:b/>
          <w:bCs/>
          <w:i/>
          <w:iCs/>
          <w:color w:val="auto"/>
        </w:rPr>
      </w:pPr>
      <w:r w:rsidRPr="001E33F8">
        <w:rPr>
          <w:b/>
          <w:bCs/>
          <w:i/>
          <w:iCs/>
          <w:color w:val="auto"/>
        </w:rPr>
        <w:t xml:space="preserve">Opportunity and threat </w:t>
      </w:r>
    </w:p>
    <w:p w14:paraId="0A15EE69" w14:textId="77777777" w:rsidR="00280DDA" w:rsidRPr="001E33F8" w:rsidRDefault="009814C7">
      <w:pPr>
        <w:rPr>
          <w:color w:val="auto"/>
        </w:rPr>
      </w:pPr>
      <w:r w:rsidRPr="001E33F8">
        <w:rPr>
          <w:color w:val="auto"/>
        </w:rPr>
        <w:t xml:space="preserve">For Tata Steel, the external marketing environment offers a lot of opportunities, yet is also fraught with threats. Rising demand for low-carbon steel in the global market, government incentives on going </w:t>
      </w:r>
      <w:r w:rsidR="0075014E" w:rsidRPr="001E33F8">
        <w:rPr>
          <w:color w:val="auto"/>
        </w:rPr>
        <w:t>green</w:t>
      </w:r>
      <w:r w:rsidRPr="001E33F8">
        <w:rPr>
          <w:color w:val="auto"/>
        </w:rPr>
        <w:t xml:space="preserve"> and technological advancements are among the opportunities. Rising environmental regulations, high decarbonisation cost, global competition, and the uncertainty over customers' readiness to pay higher prices for green steel are key challenges. </w:t>
      </w:r>
    </w:p>
    <w:p w14:paraId="0667EFAA" w14:textId="77777777" w:rsidR="00280DDA" w:rsidRPr="001E33F8" w:rsidRDefault="009814C7">
      <w:pPr>
        <w:pStyle w:val="Heading1"/>
        <w:rPr>
          <w:color w:val="auto"/>
        </w:rPr>
      </w:pPr>
      <w:bookmarkStart w:id="9" w:name="_heading=h.hevw4zh9hw2" w:colFirst="0" w:colLast="0"/>
      <w:bookmarkEnd w:id="9"/>
      <w:r w:rsidRPr="001E33F8">
        <w:rPr>
          <w:color w:val="auto"/>
        </w:rPr>
        <w:br w:type="page"/>
      </w:r>
    </w:p>
    <w:p w14:paraId="5C62051A" w14:textId="77777777" w:rsidR="00280DDA" w:rsidRPr="001E33F8" w:rsidRDefault="009814C7">
      <w:pPr>
        <w:pStyle w:val="Heading1"/>
        <w:rPr>
          <w:color w:val="auto"/>
        </w:rPr>
      </w:pPr>
      <w:bookmarkStart w:id="10" w:name="_Toc235698338"/>
      <w:r w:rsidRPr="001E33F8">
        <w:rPr>
          <w:color w:val="auto"/>
        </w:rPr>
        <w:lastRenderedPageBreak/>
        <w:t>Task 2: Strategic Growth and Competitive Positioning</w:t>
      </w:r>
      <w:bookmarkEnd w:id="10"/>
      <w:r w:rsidRPr="001E33F8">
        <w:rPr>
          <w:color w:val="auto"/>
        </w:rPr>
        <w:t xml:space="preserve"> </w:t>
      </w:r>
    </w:p>
    <w:p w14:paraId="376AA710" w14:textId="77777777" w:rsidR="00280DDA" w:rsidRPr="001E33F8" w:rsidRDefault="009814C7">
      <w:pPr>
        <w:pStyle w:val="Heading2"/>
        <w:rPr>
          <w:color w:val="auto"/>
        </w:rPr>
      </w:pPr>
      <w:bookmarkStart w:id="11" w:name="_Toc235698339"/>
      <w:r w:rsidRPr="001E33F8">
        <w:rPr>
          <w:color w:val="auto"/>
        </w:rPr>
        <w:t>Introduction</w:t>
      </w:r>
      <w:bookmarkEnd w:id="11"/>
      <w:r w:rsidRPr="001E33F8">
        <w:rPr>
          <w:color w:val="auto"/>
        </w:rPr>
        <w:t xml:space="preserve"> </w:t>
      </w:r>
    </w:p>
    <w:p w14:paraId="1197EAE1" w14:textId="77777777" w:rsidR="00280DDA" w:rsidRPr="001E33F8" w:rsidRDefault="009814C7">
      <w:pPr>
        <w:rPr>
          <w:color w:val="auto"/>
        </w:rPr>
      </w:pPr>
      <w:r w:rsidRPr="001E33F8">
        <w:rPr>
          <w:color w:val="auto"/>
        </w:rPr>
        <w:t xml:space="preserve">The steel industry is under continuing pressure to reduce greenhouse gas (GHG) emissions, without sacrificing profitability or competitiveness at the global level. Tata Steel is one of the biggest steel manufacturers in the world and recognises these challenges and has taken steps to cut down on its carbon footprint by means of sustainable manufacturing, innovation in technologies and investment in renewable sources of energy (Bilgihan and Ricci, 2024, p.4). In order to grow sustainably through this transition, the company needs a strategy that will enable the business to expand as well as be environmentally sustainable. </w:t>
      </w:r>
    </w:p>
    <w:p w14:paraId="0C1A79F5" w14:textId="77777777" w:rsidR="00280DDA" w:rsidRPr="001E33F8" w:rsidRDefault="009814C7">
      <w:pPr>
        <w:pStyle w:val="Heading2"/>
        <w:rPr>
          <w:color w:val="auto"/>
        </w:rPr>
      </w:pPr>
      <w:bookmarkStart w:id="12" w:name="_Toc235698340"/>
      <w:r w:rsidRPr="001E33F8">
        <w:rPr>
          <w:color w:val="auto"/>
        </w:rPr>
        <w:t>Ansoff Matrix</w:t>
      </w:r>
      <w:bookmarkEnd w:id="12"/>
    </w:p>
    <w:p w14:paraId="6EC552AA" w14:textId="77777777" w:rsidR="00280DDA" w:rsidRPr="001E33F8" w:rsidRDefault="009814C7">
      <w:pPr>
        <w:rPr>
          <w:color w:val="auto"/>
        </w:rPr>
      </w:pPr>
      <w:r w:rsidRPr="001E33F8">
        <w:rPr>
          <w:color w:val="auto"/>
        </w:rPr>
        <w:t xml:space="preserve">Ansoff Matrix is a strategic planning tool that assists the organisation to see the growth opportunities available, which include existing products in new markets, or new products in existing markets. There are 4 strategic options in the model: market penetration, market development, product development and diversification (Liu </w:t>
      </w:r>
      <w:r w:rsidRPr="001E33F8">
        <w:rPr>
          <w:i/>
          <w:iCs/>
          <w:color w:val="auto"/>
        </w:rPr>
        <w:t xml:space="preserve">et al., </w:t>
      </w:r>
      <w:r w:rsidRPr="001E33F8">
        <w:rPr>
          <w:color w:val="auto"/>
        </w:rPr>
        <w:t xml:space="preserve">2023, p2272). The advantages of the Ansoff matrix are that it provides a simple framework for identifying growth opportunities, supports strategic decision-making, and helps compare different growth options based on product and market combinations (Liu </w:t>
      </w:r>
      <w:r w:rsidRPr="001E33F8">
        <w:rPr>
          <w:i/>
          <w:iCs/>
          <w:color w:val="auto"/>
        </w:rPr>
        <w:t xml:space="preserve">et al., </w:t>
      </w:r>
      <w:r w:rsidRPr="001E33F8">
        <w:rPr>
          <w:color w:val="auto"/>
        </w:rPr>
        <w:t>2023, p. 2272). The disadvantages are that it does not consider competitors or external market changes, oversimplifies complex business environments, and does not assess financial feasibility or implementation challenges of each strategy.</w:t>
      </w:r>
    </w:p>
    <w:p w14:paraId="23013979" w14:textId="77777777" w:rsidR="00280DDA" w:rsidRPr="001E33F8" w:rsidRDefault="009814C7">
      <w:pPr>
        <w:jc w:val="center"/>
        <w:rPr>
          <w:color w:val="auto"/>
        </w:rPr>
      </w:pPr>
      <w:r w:rsidRPr="001E33F8">
        <w:rPr>
          <w:noProof/>
          <w:color w:val="auto"/>
        </w:rPr>
        <w:lastRenderedPageBreak/>
        <w:drawing>
          <wp:inline distT="0" distB="0" distL="0" distR="0" wp14:anchorId="1146FF75" wp14:editId="6BC2DAEE">
            <wp:extent cx="3676650" cy="3371850"/>
            <wp:effectExtent l="9525" t="9525" r="9525" b="9525"/>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3676650" cy="3371850"/>
                    </a:xfrm>
                    <a:prstGeom prst="rect">
                      <a:avLst/>
                    </a:prstGeom>
                    <a:ln w="9525">
                      <a:solidFill>
                        <a:srgbClr val="000000"/>
                      </a:solidFill>
                      <a:prstDash val="solid"/>
                    </a:ln>
                  </pic:spPr>
                </pic:pic>
              </a:graphicData>
            </a:graphic>
          </wp:inline>
        </w:drawing>
      </w:r>
    </w:p>
    <w:p w14:paraId="01069839" w14:textId="77777777" w:rsidR="00280DDA" w:rsidRPr="001E33F8" w:rsidRDefault="009814C7">
      <w:pPr>
        <w:jc w:val="center"/>
        <w:rPr>
          <w:b/>
          <w:bCs/>
          <w:color w:val="auto"/>
        </w:rPr>
      </w:pPr>
      <w:r w:rsidRPr="001E33F8">
        <w:rPr>
          <w:b/>
          <w:bCs/>
          <w:color w:val="auto"/>
        </w:rPr>
        <w:t xml:space="preserve">Figure 3: Ansoff matrix </w:t>
      </w:r>
    </w:p>
    <w:p w14:paraId="750A7E32" w14:textId="77777777" w:rsidR="00280DDA" w:rsidRPr="001E33F8" w:rsidRDefault="009814C7">
      <w:pPr>
        <w:jc w:val="center"/>
        <w:rPr>
          <w:color w:val="auto"/>
        </w:rPr>
      </w:pPr>
      <w:r w:rsidRPr="001E33F8">
        <w:rPr>
          <w:color w:val="auto"/>
        </w:rPr>
        <w:t>(Source: self-created)</w:t>
      </w:r>
    </w:p>
    <w:p w14:paraId="2E984CE9" w14:textId="77777777" w:rsidR="00280DDA" w:rsidRPr="001E33F8" w:rsidRDefault="009814C7">
      <w:pPr>
        <w:rPr>
          <w:color w:val="auto"/>
        </w:rPr>
      </w:pPr>
      <w:r w:rsidRPr="001E33F8">
        <w:rPr>
          <w:color w:val="auto"/>
        </w:rPr>
        <w:t>Both alternatives come with their own share of risk and potential. Before deciding on the most appropriate strategy, Tata Steel must take into account the market conditions, customers' expectations, technological advancements, and environmental concerns that impact the steel industry globally.</w:t>
      </w:r>
    </w:p>
    <w:p w14:paraId="23CB58B1" w14:textId="77777777" w:rsidR="00280DDA" w:rsidRPr="001E33F8" w:rsidRDefault="009814C7">
      <w:pPr>
        <w:rPr>
          <w:color w:val="auto"/>
        </w:rPr>
      </w:pPr>
      <w:r w:rsidRPr="001E33F8">
        <w:rPr>
          <w:noProof/>
          <w:color w:val="auto"/>
        </w:rPr>
        <w:drawing>
          <wp:inline distT="114300" distB="114300" distL="114300" distR="114300" wp14:anchorId="2D55DBD7" wp14:editId="51DF98DA">
            <wp:extent cx="5943600" cy="13081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1308100"/>
                    </a:xfrm>
                    <a:prstGeom prst="rect">
                      <a:avLst/>
                    </a:prstGeom>
                    <a:ln w="25400">
                      <a:solidFill>
                        <a:srgbClr val="000000"/>
                      </a:solidFill>
                      <a:prstDash val="solid"/>
                    </a:ln>
                  </pic:spPr>
                </pic:pic>
              </a:graphicData>
            </a:graphic>
          </wp:inline>
        </w:drawing>
      </w:r>
    </w:p>
    <w:p w14:paraId="4B16542B" w14:textId="77777777" w:rsidR="00280DDA" w:rsidRPr="001E33F8" w:rsidRDefault="009814C7">
      <w:pPr>
        <w:jc w:val="center"/>
        <w:rPr>
          <w:b/>
          <w:bCs/>
          <w:color w:val="auto"/>
        </w:rPr>
      </w:pPr>
      <w:r w:rsidRPr="001E33F8">
        <w:rPr>
          <w:b/>
          <w:bCs/>
          <w:color w:val="auto"/>
        </w:rPr>
        <w:lastRenderedPageBreak/>
        <w:t>Figure 4: Ansoff evaluation</w:t>
      </w:r>
    </w:p>
    <w:p w14:paraId="32A7D59B" w14:textId="77777777" w:rsidR="00280DDA" w:rsidRPr="001E33F8" w:rsidRDefault="009814C7">
      <w:pPr>
        <w:jc w:val="center"/>
        <w:rPr>
          <w:color w:val="auto"/>
        </w:rPr>
      </w:pPr>
      <w:r w:rsidRPr="001E33F8">
        <w:rPr>
          <w:color w:val="auto"/>
        </w:rPr>
        <w:t>(Source: Self-developed)</w:t>
      </w:r>
    </w:p>
    <w:p w14:paraId="6BBA68EF" w14:textId="77777777" w:rsidR="00280DDA" w:rsidRPr="001E33F8" w:rsidRDefault="009814C7">
      <w:pPr>
        <w:pStyle w:val="Heading2"/>
        <w:rPr>
          <w:color w:val="auto"/>
        </w:rPr>
      </w:pPr>
      <w:bookmarkStart w:id="13" w:name="_Toc235698341"/>
      <w:r w:rsidRPr="001E33F8">
        <w:rPr>
          <w:color w:val="auto"/>
        </w:rPr>
        <w:t>Product Development</w:t>
      </w:r>
      <w:bookmarkEnd w:id="13"/>
    </w:p>
    <w:p w14:paraId="6958798E" w14:textId="77777777" w:rsidR="00280DDA" w:rsidRPr="001E33F8" w:rsidRDefault="009814C7">
      <w:pPr>
        <w:rPr>
          <w:color w:val="auto"/>
        </w:rPr>
      </w:pPr>
      <w:r w:rsidRPr="001E33F8">
        <w:rPr>
          <w:color w:val="auto"/>
        </w:rPr>
        <w:t xml:space="preserve">Product development is the most suitable option for Tata Steel to opt for as a growth strategy, as it allows the company to launch new and low-carbon steel products and remain service-oriented to its existing customers. The transition towards green steel is becoming an important competitive factor within the global metals industry (Anjum, 2022, p.4). Consumers are looking for suppliers with a reduced carbon footprint along the supply chain. </w:t>
      </w:r>
    </w:p>
    <w:p w14:paraId="023C299C" w14:textId="77777777" w:rsidR="00280DDA" w:rsidRPr="001E33F8" w:rsidRDefault="009814C7">
      <w:pPr>
        <w:rPr>
          <w:b/>
          <w:bCs/>
          <w:color w:val="auto"/>
        </w:rPr>
      </w:pPr>
      <w:r w:rsidRPr="001E33F8">
        <w:rPr>
          <w:b/>
          <w:bCs/>
          <w:color w:val="auto"/>
        </w:rPr>
        <w:t>Market Development</w:t>
      </w:r>
    </w:p>
    <w:p w14:paraId="59150429" w14:textId="77777777" w:rsidR="00280DDA" w:rsidRPr="001E33F8" w:rsidRDefault="009814C7">
      <w:pPr>
        <w:rPr>
          <w:color w:val="auto"/>
        </w:rPr>
      </w:pPr>
      <w:r w:rsidRPr="001E33F8">
        <w:rPr>
          <w:color w:val="auto"/>
        </w:rPr>
        <w:t xml:space="preserve">Market development involves selling Tata Steel's existing sustainable steel products in new geographical markets where demand for environmentally friendly construction and manufacturing materials is increasing (Liu </w:t>
      </w:r>
      <w:r w:rsidRPr="001E33F8">
        <w:rPr>
          <w:i/>
          <w:iCs/>
          <w:color w:val="auto"/>
        </w:rPr>
        <w:t xml:space="preserve">et al., </w:t>
      </w:r>
      <w:r w:rsidRPr="001E33F8">
        <w:rPr>
          <w:color w:val="auto"/>
        </w:rPr>
        <w:t>2023, p. 2272). This strategy enables business growth by expanding the customer base without requiring entirely new product lines.</w:t>
      </w:r>
    </w:p>
    <w:p w14:paraId="164D8579" w14:textId="77777777" w:rsidR="00280DDA" w:rsidRPr="001E33F8" w:rsidRDefault="009814C7">
      <w:pPr>
        <w:pStyle w:val="Heading2"/>
        <w:rPr>
          <w:color w:val="auto"/>
        </w:rPr>
      </w:pPr>
      <w:bookmarkStart w:id="14" w:name="_Toc235698342"/>
      <w:r w:rsidRPr="001E33F8">
        <w:rPr>
          <w:color w:val="auto"/>
        </w:rPr>
        <w:t>Porter's Generic Strategy</w:t>
      </w:r>
      <w:bookmarkEnd w:id="14"/>
      <w:r w:rsidRPr="001E33F8">
        <w:rPr>
          <w:color w:val="auto"/>
        </w:rPr>
        <w:t xml:space="preserve"> </w:t>
      </w:r>
    </w:p>
    <w:p w14:paraId="37061EA4" w14:textId="77777777" w:rsidR="00280DDA" w:rsidRPr="001E33F8" w:rsidRDefault="009814C7">
      <w:pPr>
        <w:rPr>
          <w:color w:val="auto"/>
        </w:rPr>
      </w:pPr>
      <w:r w:rsidRPr="001E33F8">
        <w:rPr>
          <w:color w:val="auto"/>
        </w:rPr>
        <w:t xml:space="preserve">Tata Steel's growth strategy aligns with Porter's differentiation strategy by offering low-carbon, high-quality steel products that create value beyond price. Investing in sustainable production, technological innovation, and environmentally responsible manufacturing enables the company to strengthen its brand reputation, attract sustainability-focused customers, and achieve a sustainable competitive advantage in the global steel market (Handoyo </w:t>
      </w:r>
      <w:r w:rsidRPr="001E33F8">
        <w:rPr>
          <w:i/>
          <w:iCs/>
          <w:color w:val="auto"/>
        </w:rPr>
        <w:t>et al.,</w:t>
      </w:r>
      <w:r w:rsidRPr="001E33F8">
        <w:rPr>
          <w:color w:val="auto"/>
        </w:rPr>
        <w:t xml:space="preserve"> 2023, p.5).</w:t>
      </w:r>
    </w:p>
    <w:p w14:paraId="00D24F73" w14:textId="77777777" w:rsidR="00280DDA" w:rsidRPr="001E33F8" w:rsidRDefault="009814C7">
      <w:pPr>
        <w:jc w:val="center"/>
        <w:rPr>
          <w:color w:val="auto"/>
        </w:rPr>
      </w:pPr>
      <w:r w:rsidRPr="001E33F8">
        <w:rPr>
          <w:noProof/>
          <w:color w:val="auto"/>
        </w:rPr>
        <w:lastRenderedPageBreak/>
        <w:drawing>
          <wp:inline distT="0" distB="0" distL="0" distR="0" wp14:anchorId="09F7C38F" wp14:editId="0115E8B2">
            <wp:extent cx="3838575" cy="3733800"/>
            <wp:effectExtent l="9525" t="9525"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838575" cy="3733800"/>
                    </a:xfrm>
                    <a:prstGeom prst="rect">
                      <a:avLst/>
                    </a:prstGeom>
                    <a:ln w="9525">
                      <a:solidFill>
                        <a:srgbClr val="000000"/>
                      </a:solidFill>
                      <a:prstDash val="solid"/>
                    </a:ln>
                  </pic:spPr>
                </pic:pic>
              </a:graphicData>
            </a:graphic>
          </wp:inline>
        </w:drawing>
      </w:r>
    </w:p>
    <w:p w14:paraId="1F3EA866" w14:textId="77777777" w:rsidR="00280DDA" w:rsidRPr="001E33F8" w:rsidRDefault="009814C7">
      <w:pPr>
        <w:jc w:val="center"/>
        <w:rPr>
          <w:b/>
          <w:bCs/>
          <w:color w:val="auto"/>
        </w:rPr>
      </w:pPr>
      <w:r w:rsidRPr="001E33F8">
        <w:rPr>
          <w:b/>
          <w:bCs/>
          <w:color w:val="auto"/>
        </w:rPr>
        <w:t xml:space="preserve">Figure 5: Porter's Generic Strategy </w:t>
      </w:r>
    </w:p>
    <w:p w14:paraId="41CF1EAF" w14:textId="77777777" w:rsidR="00280DDA" w:rsidRPr="001E33F8" w:rsidRDefault="009814C7">
      <w:pPr>
        <w:jc w:val="center"/>
        <w:rPr>
          <w:color w:val="auto"/>
        </w:rPr>
      </w:pPr>
      <w:r w:rsidRPr="001E33F8">
        <w:rPr>
          <w:color w:val="auto"/>
        </w:rPr>
        <w:t>(Source: self-created)</w:t>
      </w:r>
    </w:p>
    <w:p w14:paraId="41D8E572" w14:textId="77777777" w:rsidR="00280DDA" w:rsidRPr="001E33F8" w:rsidRDefault="009814C7">
      <w:pPr>
        <w:pStyle w:val="Heading2"/>
        <w:rPr>
          <w:color w:val="auto"/>
        </w:rPr>
      </w:pPr>
      <w:bookmarkStart w:id="15" w:name="_Toc235698343"/>
      <w:r w:rsidRPr="001E33F8">
        <w:rPr>
          <w:color w:val="auto"/>
        </w:rPr>
        <w:t>Positioning by competition</w:t>
      </w:r>
      <w:bookmarkEnd w:id="15"/>
      <w:r w:rsidRPr="001E33F8">
        <w:rPr>
          <w:color w:val="auto"/>
        </w:rPr>
        <w:t xml:space="preserve"> </w:t>
      </w:r>
    </w:p>
    <w:p w14:paraId="38E71BAF" w14:textId="77777777" w:rsidR="00280DDA" w:rsidRPr="001E33F8" w:rsidRDefault="009814C7">
      <w:pPr>
        <w:rPr>
          <w:color w:val="auto"/>
        </w:rPr>
      </w:pPr>
      <w:r w:rsidRPr="001E33F8">
        <w:rPr>
          <w:color w:val="auto"/>
        </w:rPr>
        <w:t xml:space="preserve">Product development offers Tata Steel a chance to distinguish itself from the competition by providing it with products that meet both high quality and environmental value. Tata Steel has the opportunity to create a more competitive position by emphasising sustainable and responsible manufacturing practices, innovation, and sustainability. In industries like construction, automotive, and engineering, customers are more likely to include environmental considerations in their buying decisions. Tata Steel had a 345 billion rupee market share in 2020 (Statista, 2026). Providing certified low-carbon steel can therefore help to reinforce the customers' loyalty and the company's reputation as a </w:t>
      </w:r>
      <w:r w:rsidRPr="001E33F8">
        <w:rPr>
          <w:color w:val="auto"/>
        </w:rPr>
        <w:lastRenderedPageBreak/>
        <w:t xml:space="preserve">responsible manufacturer. Innovation also helps to enhance operational efficiency (Gajdzik and Wolniak, 2022, p.4). Energy use can be reduced, waste minimised and better use of resources made through investment in advanced production technologies. </w:t>
      </w:r>
    </w:p>
    <w:p w14:paraId="151DD72D" w14:textId="77777777" w:rsidR="00280DDA" w:rsidRPr="001E33F8" w:rsidRDefault="009814C7">
      <w:pPr>
        <w:jc w:val="center"/>
        <w:rPr>
          <w:color w:val="auto"/>
        </w:rPr>
      </w:pPr>
      <w:r w:rsidRPr="001E33F8">
        <w:rPr>
          <w:noProof/>
          <w:color w:val="auto"/>
        </w:rPr>
        <w:drawing>
          <wp:inline distT="114300" distB="114300" distL="114300" distR="114300" wp14:anchorId="408C9A6E" wp14:editId="6D0D366A">
            <wp:extent cx="3411507" cy="3335301"/>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411507" cy="3335301"/>
                    </a:xfrm>
                    <a:prstGeom prst="rect">
                      <a:avLst/>
                    </a:prstGeom>
                    <a:ln w="25400">
                      <a:solidFill>
                        <a:srgbClr val="000000"/>
                      </a:solidFill>
                      <a:prstDash val="solid"/>
                    </a:ln>
                  </pic:spPr>
                </pic:pic>
              </a:graphicData>
            </a:graphic>
          </wp:inline>
        </w:drawing>
      </w:r>
    </w:p>
    <w:p w14:paraId="34D4A194" w14:textId="77777777" w:rsidR="00280DDA" w:rsidRPr="001E33F8" w:rsidRDefault="009814C7">
      <w:pPr>
        <w:jc w:val="center"/>
        <w:rPr>
          <w:b/>
          <w:bCs/>
          <w:color w:val="auto"/>
        </w:rPr>
      </w:pPr>
      <w:r w:rsidRPr="001E33F8">
        <w:rPr>
          <w:b/>
          <w:bCs/>
          <w:color w:val="auto"/>
        </w:rPr>
        <w:t>Figure 6: Tata Steel empire</w:t>
      </w:r>
    </w:p>
    <w:p w14:paraId="5C478880" w14:textId="77777777" w:rsidR="00280DDA" w:rsidRPr="001E33F8" w:rsidRDefault="009814C7">
      <w:pPr>
        <w:jc w:val="center"/>
        <w:rPr>
          <w:color w:val="auto"/>
        </w:rPr>
      </w:pPr>
      <w:r w:rsidRPr="001E33F8">
        <w:rPr>
          <w:color w:val="auto"/>
        </w:rPr>
        <w:t>(Source: Statista, 2026)</w:t>
      </w:r>
    </w:p>
    <w:p w14:paraId="3F4C7941" w14:textId="77777777" w:rsidR="00280DDA" w:rsidRPr="001E33F8" w:rsidRDefault="009814C7">
      <w:pPr>
        <w:pStyle w:val="Heading2"/>
        <w:rPr>
          <w:color w:val="auto"/>
        </w:rPr>
      </w:pPr>
      <w:bookmarkStart w:id="16" w:name="_Toc235698344"/>
      <w:r w:rsidRPr="001E33F8">
        <w:rPr>
          <w:color w:val="auto"/>
        </w:rPr>
        <w:t>Low Carbon Transition</w:t>
      </w:r>
      <w:bookmarkEnd w:id="16"/>
    </w:p>
    <w:p w14:paraId="73D49BE2" w14:textId="77777777" w:rsidR="00280DDA" w:rsidRPr="001E33F8" w:rsidRDefault="009814C7">
      <w:pPr>
        <w:rPr>
          <w:color w:val="auto"/>
        </w:rPr>
      </w:pPr>
      <w:r w:rsidRPr="001E33F8">
        <w:rPr>
          <w:color w:val="auto"/>
        </w:rPr>
        <w:t>The approach recommended is very similar to Tata Steel's net-zero emission strategy. Product development is a way of motivating ongoing investment in R&amp;D, which allows the company to develop a greener steel without sacrificing the quality and performance of the product (Wang</w:t>
      </w:r>
      <w:r w:rsidRPr="001E33F8">
        <w:rPr>
          <w:i/>
          <w:iCs/>
          <w:color w:val="auto"/>
        </w:rPr>
        <w:t xml:space="preserve"> et al., </w:t>
      </w:r>
      <w:r w:rsidRPr="001E33F8">
        <w:rPr>
          <w:color w:val="auto"/>
        </w:rPr>
        <w:t xml:space="preserve">2022, p.4). 10-15% will be reduced in emission intensity for Tata Steel Limited by 2030 (TataSteel, 2026). Artificial intelligence and data analysis are also </w:t>
      </w:r>
      <w:r w:rsidRPr="001E33F8">
        <w:rPr>
          <w:color w:val="auto"/>
        </w:rPr>
        <w:lastRenderedPageBreak/>
        <w:t>digital technologies that can enhance production planning, track emissions, and optimise energy use.</w:t>
      </w:r>
    </w:p>
    <w:p w14:paraId="3E6D352C" w14:textId="77777777" w:rsidR="00280DDA" w:rsidRPr="001E33F8" w:rsidRDefault="009814C7">
      <w:pPr>
        <w:pStyle w:val="Heading2"/>
        <w:rPr>
          <w:color w:val="auto"/>
        </w:rPr>
      </w:pPr>
      <w:bookmarkStart w:id="17" w:name="_Toc235698345"/>
      <w:r w:rsidRPr="001E33F8">
        <w:rPr>
          <w:color w:val="auto"/>
        </w:rPr>
        <w:t>Competitive Advantage</w:t>
      </w:r>
      <w:bookmarkEnd w:id="17"/>
    </w:p>
    <w:p w14:paraId="7E9DAD6D" w14:textId="77777777" w:rsidR="00280DDA" w:rsidRPr="001E33F8" w:rsidRDefault="009814C7">
      <w:pPr>
        <w:rPr>
          <w:color w:val="auto"/>
        </w:rPr>
      </w:pPr>
      <w:r w:rsidRPr="001E33F8">
        <w:rPr>
          <w:color w:val="auto"/>
        </w:rPr>
        <w:t xml:space="preserve">Product development is used to support a differentiation strategy, and Tata Steel can provide products which may be difficult for other companies to match. The company does not do it solely based on the price, but also through the value added to the market by innovation, environmental concern and product performance. This method not only enhances the brand name of the company but also attracts customers who are looking for sustainable supply chain partners (Nguyen </w:t>
      </w:r>
      <w:r w:rsidRPr="001E33F8">
        <w:rPr>
          <w:i/>
          <w:iCs/>
          <w:color w:val="auto"/>
        </w:rPr>
        <w:t>et al.,</w:t>
      </w:r>
      <w:r w:rsidRPr="001E33F8">
        <w:rPr>
          <w:color w:val="auto"/>
        </w:rPr>
        <w:t xml:space="preserve"> 2022, p.5). </w:t>
      </w:r>
    </w:p>
    <w:p w14:paraId="021323A4" w14:textId="77777777" w:rsidR="00280DDA" w:rsidRPr="001E33F8" w:rsidRDefault="009814C7">
      <w:pPr>
        <w:pStyle w:val="Heading2"/>
        <w:rPr>
          <w:color w:val="auto"/>
        </w:rPr>
      </w:pPr>
      <w:bookmarkStart w:id="18" w:name="_Toc235698346"/>
      <w:r w:rsidRPr="001E33F8">
        <w:rPr>
          <w:color w:val="auto"/>
        </w:rPr>
        <w:t>Risks and Challenges</w:t>
      </w:r>
      <w:bookmarkEnd w:id="18"/>
    </w:p>
    <w:p w14:paraId="334AF391" w14:textId="77777777" w:rsidR="00280DDA" w:rsidRPr="001E33F8" w:rsidRDefault="009814C7">
      <w:pPr>
        <w:rPr>
          <w:color w:val="auto"/>
        </w:rPr>
      </w:pPr>
      <w:r w:rsidRPr="001E33F8">
        <w:rPr>
          <w:color w:val="auto"/>
        </w:rPr>
        <w:t xml:space="preserve">Product development has a few drawbacks, even though it has its benefits. It takes a considerable amount of money to adopt new production technologies, and they can be costly in the start-up phase. The technology for hydrogen steelmaking and carbon capture is also in development and is yet to be commercially available on a large scale in a few years (Abd-El-Salam, 2023, p.8). The willingness of the customer to pay premium prices for low-carbon steel is also uncertain, especially in markets where the price is sensitive. Competitors are also making sustainability investments, and there is a need for ongoing innovation. Hence, Tata Steel has to keep the R&amp;D activities at a higher level and stay abreast with the technological advancements and the expectations of customers. </w:t>
      </w:r>
    </w:p>
    <w:tbl>
      <w:tblPr>
        <w:tblStyle w:val="a0"/>
        <w:tblW w:w="912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745"/>
        <w:gridCol w:w="1890"/>
        <w:gridCol w:w="1635"/>
        <w:gridCol w:w="2850"/>
      </w:tblGrid>
      <w:tr w:rsidR="00280DDA" w:rsidRPr="001E33F8" w14:paraId="0479E730" w14:textId="77777777">
        <w:trPr>
          <w:trHeight w:val="300"/>
          <w:jc w:val="center"/>
        </w:trPr>
        <w:tc>
          <w:tcPr>
            <w:tcW w:w="274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D6EC2DD" w14:textId="77777777" w:rsidR="00280DDA" w:rsidRPr="001E33F8" w:rsidRDefault="009814C7">
            <w:pPr>
              <w:spacing w:before="0" w:after="0"/>
              <w:jc w:val="center"/>
              <w:rPr>
                <w:b/>
                <w:bCs/>
                <w:color w:val="auto"/>
              </w:rPr>
            </w:pPr>
            <w:r w:rsidRPr="001E33F8">
              <w:rPr>
                <w:b/>
                <w:bCs/>
                <w:color w:val="auto"/>
              </w:rPr>
              <w:t>Risk</w:t>
            </w:r>
          </w:p>
        </w:tc>
        <w:tc>
          <w:tcPr>
            <w:tcW w:w="189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D368A2C" w14:textId="77777777" w:rsidR="00280DDA" w:rsidRPr="001E33F8" w:rsidRDefault="009814C7">
            <w:pPr>
              <w:spacing w:before="0" w:after="0"/>
              <w:jc w:val="center"/>
              <w:rPr>
                <w:b/>
                <w:bCs/>
                <w:color w:val="auto"/>
              </w:rPr>
            </w:pPr>
            <w:r w:rsidRPr="001E33F8">
              <w:rPr>
                <w:b/>
                <w:bCs/>
                <w:color w:val="auto"/>
              </w:rPr>
              <w:t>Likelihood</w:t>
            </w:r>
          </w:p>
        </w:tc>
        <w:tc>
          <w:tcPr>
            <w:tcW w:w="16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5FBDC9" w14:textId="77777777" w:rsidR="00280DDA" w:rsidRPr="001E33F8" w:rsidRDefault="009814C7">
            <w:pPr>
              <w:spacing w:before="0" w:after="0"/>
              <w:jc w:val="center"/>
              <w:rPr>
                <w:b/>
                <w:bCs/>
                <w:color w:val="auto"/>
              </w:rPr>
            </w:pPr>
            <w:r w:rsidRPr="001E33F8">
              <w:rPr>
                <w:b/>
                <w:bCs/>
                <w:color w:val="auto"/>
              </w:rPr>
              <w:t>Impact</w:t>
            </w:r>
          </w:p>
        </w:tc>
        <w:tc>
          <w:tcPr>
            <w:tcW w:w="285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4008EFA" w14:textId="77777777" w:rsidR="00280DDA" w:rsidRPr="001E33F8" w:rsidRDefault="009814C7">
            <w:pPr>
              <w:spacing w:before="0" w:after="0"/>
              <w:jc w:val="center"/>
              <w:rPr>
                <w:b/>
                <w:bCs/>
                <w:color w:val="auto"/>
              </w:rPr>
            </w:pPr>
            <w:r w:rsidRPr="001E33F8">
              <w:rPr>
                <w:b/>
                <w:bCs/>
                <w:color w:val="auto"/>
              </w:rPr>
              <w:t>Mitigation</w:t>
            </w:r>
          </w:p>
        </w:tc>
      </w:tr>
      <w:tr w:rsidR="00280DDA" w:rsidRPr="001E33F8" w14:paraId="32446FCF" w14:textId="77777777">
        <w:trPr>
          <w:trHeight w:val="570"/>
          <w:jc w:val="center"/>
        </w:trPr>
        <w:tc>
          <w:tcPr>
            <w:tcW w:w="27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3A6D229" w14:textId="77777777" w:rsidR="00280DDA" w:rsidRPr="001E33F8" w:rsidRDefault="009814C7">
            <w:pPr>
              <w:spacing w:before="0" w:after="0"/>
              <w:jc w:val="left"/>
              <w:rPr>
                <w:color w:val="auto"/>
              </w:rPr>
            </w:pPr>
            <w:r w:rsidRPr="001E33F8">
              <w:rPr>
                <w:color w:val="auto"/>
              </w:rPr>
              <w:t>High investment costs for green technologies</w:t>
            </w:r>
          </w:p>
        </w:tc>
        <w:tc>
          <w:tcPr>
            <w:tcW w:w="1890"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41D951CD" w14:textId="77777777" w:rsidR="00280DDA" w:rsidRPr="001E33F8" w:rsidRDefault="009814C7">
            <w:pPr>
              <w:spacing w:before="0" w:after="0"/>
              <w:jc w:val="left"/>
              <w:rPr>
                <w:color w:val="auto"/>
              </w:rPr>
            </w:pPr>
            <w:r w:rsidRPr="001E33F8">
              <w:rPr>
                <w:color w:val="auto"/>
              </w:rPr>
              <w:t>High</w:t>
            </w:r>
          </w:p>
        </w:tc>
        <w:tc>
          <w:tcPr>
            <w:tcW w:w="1635"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4923F652" w14:textId="77777777" w:rsidR="00280DDA" w:rsidRPr="001E33F8" w:rsidRDefault="009814C7">
            <w:pPr>
              <w:spacing w:before="0" w:after="0"/>
              <w:jc w:val="left"/>
              <w:rPr>
                <w:color w:val="auto"/>
              </w:rPr>
            </w:pPr>
            <w:r w:rsidRPr="001E33F8">
              <w:rPr>
                <w:color w:val="auto"/>
              </w:rPr>
              <w:t>High</w:t>
            </w:r>
          </w:p>
        </w:tc>
        <w:tc>
          <w:tcPr>
            <w:tcW w:w="2850" w:type="dxa"/>
            <w:tcBorders>
              <w:top w:val="nil"/>
              <w:left w:val="nil"/>
              <w:bottom w:val="single" w:sz="6" w:space="0" w:color="000000"/>
              <w:right w:val="single" w:sz="6" w:space="0" w:color="000000"/>
            </w:tcBorders>
            <w:tcMar>
              <w:top w:w="0" w:type="dxa"/>
              <w:left w:w="100" w:type="dxa"/>
              <w:bottom w:w="0" w:type="dxa"/>
              <w:right w:w="100" w:type="dxa"/>
            </w:tcMar>
          </w:tcPr>
          <w:p w14:paraId="03AD8142" w14:textId="77777777" w:rsidR="00280DDA" w:rsidRPr="001E33F8" w:rsidRDefault="009814C7">
            <w:pPr>
              <w:spacing w:before="0" w:after="0"/>
              <w:jc w:val="left"/>
              <w:rPr>
                <w:color w:val="auto"/>
              </w:rPr>
            </w:pPr>
            <w:r w:rsidRPr="001E33F8">
              <w:rPr>
                <w:color w:val="auto"/>
              </w:rPr>
              <w:t>Phase investments and seek government incentives.</w:t>
            </w:r>
          </w:p>
        </w:tc>
      </w:tr>
      <w:tr w:rsidR="00280DDA" w:rsidRPr="001E33F8" w14:paraId="3E54C045" w14:textId="77777777">
        <w:trPr>
          <w:trHeight w:val="570"/>
          <w:jc w:val="center"/>
        </w:trPr>
        <w:tc>
          <w:tcPr>
            <w:tcW w:w="27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6821FD6" w14:textId="77777777" w:rsidR="00280DDA" w:rsidRPr="001E33F8" w:rsidRDefault="009814C7">
            <w:pPr>
              <w:spacing w:before="0" w:after="0"/>
              <w:jc w:val="left"/>
              <w:rPr>
                <w:color w:val="auto"/>
              </w:rPr>
            </w:pPr>
            <w:r w:rsidRPr="001E33F8">
              <w:rPr>
                <w:color w:val="auto"/>
              </w:rPr>
              <w:lastRenderedPageBreak/>
              <w:t>Slow adoption of hydrogen and low-carbon technologies</w:t>
            </w:r>
          </w:p>
        </w:tc>
        <w:tc>
          <w:tcPr>
            <w:tcW w:w="1890"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490BFABB" w14:textId="77777777" w:rsidR="00280DDA" w:rsidRPr="001E33F8" w:rsidRDefault="009814C7">
            <w:pPr>
              <w:spacing w:before="0" w:after="0"/>
              <w:jc w:val="left"/>
              <w:rPr>
                <w:color w:val="auto"/>
              </w:rPr>
            </w:pPr>
            <w:r w:rsidRPr="001E33F8">
              <w:rPr>
                <w:color w:val="auto"/>
              </w:rPr>
              <w:t>Medium</w:t>
            </w:r>
          </w:p>
        </w:tc>
        <w:tc>
          <w:tcPr>
            <w:tcW w:w="1635" w:type="dxa"/>
            <w:tcBorders>
              <w:top w:val="nil"/>
              <w:left w:val="nil"/>
              <w:bottom w:val="single" w:sz="6" w:space="0" w:color="000000"/>
              <w:right w:val="single" w:sz="6" w:space="0" w:color="000000"/>
            </w:tcBorders>
            <w:shd w:val="clear" w:color="auto" w:fill="00FF00"/>
            <w:tcMar>
              <w:top w:w="0" w:type="dxa"/>
              <w:left w:w="100" w:type="dxa"/>
              <w:bottom w:w="0" w:type="dxa"/>
              <w:right w:w="100" w:type="dxa"/>
            </w:tcMar>
          </w:tcPr>
          <w:p w14:paraId="6B9EB54B" w14:textId="77777777" w:rsidR="00280DDA" w:rsidRPr="001E33F8" w:rsidRDefault="009814C7">
            <w:pPr>
              <w:spacing w:before="0" w:after="0"/>
              <w:jc w:val="left"/>
              <w:rPr>
                <w:color w:val="auto"/>
              </w:rPr>
            </w:pPr>
            <w:r w:rsidRPr="001E33F8">
              <w:rPr>
                <w:color w:val="auto"/>
              </w:rPr>
              <w:t xml:space="preserve">Low </w:t>
            </w:r>
          </w:p>
        </w:tc>
        <w:tc>
          <w:tcPr>
            <w:tcW w:w="2850" w:type="dxa"/>
            <w:tcBorders>
              <w:top w:val="nil"/>
              <w:left w:val="nil"/>
              <w:bottom w:val="single" w:sz="6" w:space="0" w:color="000000"/>
              <w:right w:val="single" w:sz="6" w:space="0" w:color="000000"/>
            </w:tcBorders>
            <w:tcMar>
              <w:top w:w="0" w:type="dxa"/>
              <w:left w:w="100" w:type="dxa"/>
              <w:bottom w:w="0" w:type="dxa"/>
              <w:right w:w="100" w:type="dxa"/>
            </w:tcMar>
          </w:tcPr>
          <w:p w14:paraId="429DE486" w14:textId="77777777" w:rsidR="00280DDA" w:rsidRPr="001E33F8" w:rsidRDefault="009814C7">
            <w:pPr>
              <w:spacing w:before="0" w:after="0"/>
              <w:jc w:val="left"/>
              <w:rPr>
                <w:color w:val="auto"/>
              </w:rPr>
            </w:pPr>
            <w:r w:rsidRPr="001E33F8">
              <w:rPr>
                <w:color w:val="auto"/>
              </w:rPr>
              <w:t>Increase R&amp;D and form technology partnerships.</w:t>
            </w:r>
          </w:p>
        </w:tc>
      </w:tr>
      <w:tr w:rsidR="00280DDA" w:rsidRPr="001E33F8" w14:paraId="5017DF04" w14:textId="77777777">
        <w:trPr>
          <w:trHeight w:val="570"/>
          <w:jc w:val="center"/>
        </w:trPr>
        <w:tc>
          <w:tcPr>
            <w:tcW w:w="27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460FDDE" w14:textId="77777777" w:rsidR="00280DDA" w:rsidRPr="001E33F8" w:rsidRDefault="009814C7">
            <w:pPr>
              <w:spacing w:before="0" w:after="0"/>
              <w:jc w:val="left"/>
              <w:rPr>
                <w:color w:val="auto"/>
              </w:rPr>
            </w:pPr>
            <w:r w:rsidRPr="001E33F8">
              <w:rPr>
                <w:color w:val="auto"/>
              </w:rPr>
              <w:t>Uncertain customer demand for green steel</w:t>
            </w:r>
          </w:p>
        </w:tc>
        <w:tc>
          <w:tcPr>
            <w:tcW w:w="1890"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27F80F95" w14:textId="77777777" w:rsidR="00280DDA" w:rsidRPr="001E33F8" w:rsidRDefault="009814C7">
            <w:pPr>
              <w:spacing w:before="0" w:after="0"/>
              <w:jc w:val="left"/>
              <w:rPr>
                <w:color w:val="auto"/>
              </w:rPr>
            </w:pPr>
            <w:r w:rsidRPr="001E33F8">
              <w:rPr>
                <w:color w:val="auto"/>
              </w:rPr>
              <w:t>Medium</w:t>
            </w:r>
          </w:p>
        </w:tc>
        <w:tc>
          <w:tcPr>
            <w:tcW w:w="1635"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727A8A1D" w14:textId="77777777" w:rsidR="00280DDA" w:rsidRPr="001E33F8" w:rsidRDefault="009814C7">
            <w:pPr>
              <w:spacing w:before="0" w:after="0"/>
              <w:jc w:val="left"/>
              <w:rPr>
                <w:color w:val="auto"/>
              </w:rPr>
            </w:pPr>
            <w:r w:rsidRPr="001E33F8">
              <w:rPr>
                <w:color w:val="auto"/>
              </w:rPr>
              <w:t>Medium</w:t>
            </w:r>
          </w:p>
        </w:tc>
        <w:tc>
          <w:tcPr>
            <w:tcW w:w="2850" w:type="dxa"/>
            <w:tcBorders>
              <w:top w:val="nil"/>
              <w:left w:val="nil"/>
              <w:bottom w:val="single" w:sz="6" w:space="0" w:color="000000"/>
              <w:right w:val="single" w:sz="6" w:space="0" w:color="000000"/>
            </w:tcBorders>
            <w:tcMar>
              <w:top w:w="0" w:type="dxa"/>
              <w:left w:w="100" w:type="dxa"/>
              <w:bottom w:w="0" w:type="dxa"/>
              <w:right w:w="100" w:type="dxa"/>
            </w:tcMar>
          </w:tcPr>
          <w:p w14:paraId="62116335" w14:textId="77777777" w:rsidR="00280DDA" w:rsidRPr="001E33F8" w:rsidRDefault="009814C7">
            <w:pPr>
              <w:spacing w:before="0" w:after="0"/>
              <w:jc w:val="left"/>
              <w:rPr>
                <w:color w:val="auto"/>
              </w:rPr>
            </w:pPr>
            <w:r w:rsidRPr="001E33F8">
              <w:rPr>
                <w:color w:val="auto"/>
              </w:rPr>
              <w:t>Raise awareness and secure long-term customer contracts.</w:t>
            </w:r>
          </w:p>
        </w:tc>
      </w:tr>
      <w:tr w:rsidR="00280DDA" w:rsidRPr="001E33F8" w14:paraId="2465271D" w14:textId="77777777">
        <w:trPr>
          <w:trHeight w:val="570"/>
          <w:jc w:val="center"/>
        </w:trPr>
        <w:tc>
          <w:tcPr>
            <w:tcW w:w="27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ED37279" w14:textId="77777777" w:rsidR="00280DDA" w:rsidRPr="001E33F8" w:rsidRDefault="009814C7">
            <w:pPr>
              <w:spacing w:before="0" w:after="0"/>
              <w:jc w:val="left"/>
              <w:rPr>
                <w:color w:val="auto"/>
              </w:rPr>
            </w:pPr>
            <w:r w:rsidRPr="001E33F8">
              <w:rPr>
                <w:color w:val="auto"/>
              </w:rPr>
              <w:t>Strong competition from global steel producers</w:t>
            </w:r>
          </w:p>
        </w:tc>
        <w:tc>
          <w:tcPr>
            <w:tcW w:w="1890"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50DB5383" w14:textId="77777777" w:rsidR="00280DDA" w:rsidRPr="001E33F8" w:rsidRDefault="009814C7">
            <w:pPr>
              <w:spacing w:before="0" w:after="0"/>
              <w:jc w:val="left"/>
              <w:rPr>
                <w:color w:val="auto"/>
              </w:rPr>
            </w:pPr>
            <w:r w:rsidRPr="001E33F8">
              <w:rPr>
                <w:color w:val="auto"/>
              </w:rPr>
              <w:t>High</w:t>
            </w:r>
          </w:p>
        </w:tc>
        <w:tc>
          <w:tcPr>
            <w:tcW w:w="1635"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14:paraId="091FB457" w14:textId="77777777" w:rsidR="00280DDA" w:rsidRPr="001E33F8" w:rsidRDefault="009814C7">
            <w:pPr>
              <w:spacing w:before="0" w:after="0"/>
              <w:jc w:val="left"/>
              <w:rPr>
                <w:color w:val="auto"/>
              </w:rPr>
            </w:pPr>
            <w:r w:rsidRPr="001E33F8">
              <w:rPr>
                <w:color w:val="auto"/>
              </w:rPr>
              <w:t>Medium</w:t>
            </w:r>
          </w:p>
        </w:tc>
        <w:tc>
          <w:tcPr>
            <w:tcW w:w="2850" w:type="dxa"/>
            <w:tcBorders>
              <w:top w:val="nil"/>
              <w:left w:val="nil"/>
              <w:bottom w:val="single" w:sz="6" w:space="0" w:color="000000"/>
              <w:right w:val="single" w:sz="6" w:space="0" w:color="000000"/>
            </w:tcBorders>
            <w:tcMar>
              <w:top w:w="0" w:type="dxa"/>
              <w:left w:w="100" w:type="dxa"/>
              <w:bottom w:w="0" w:type="dxa"/>
              <w:right w:w="100" w:type="dxa"/>
            </w:tcMar>
          </w:tcPr>
          <w:p w14:paraId="205628BA" w14:textId="77777777" w:rsidR="00280DDA" w:rsidRPr="001E33F8" w:rsidRDefault="009814C7">
            <w:pPr>
              <w:spacing w:before="0" w:after="0"/>
              <w:jc w:val="left"/>
              <w:rPr>
                <w:color w:val="auto"/>
              </w:rPr>
            </w:pPr>
            <w:r w:rsidRPr="001E33F8">
              <w:rPr>
                <w:color w:val="auto"/>
              </w:rPr>
              <w:t>Differentiate through innovation and sustainability.</w:t>
            </w:r>
          </w:p>
        </w:tc>
      </w:tr>
    </w:tbl>
    <w:p w14:paraId="579A3835" w14:textId="77777777" w:rsidR="00280DDA" w:rsidRPr="001E33F8" w:rsidRDefault="009814C7">
      <w:pPr>
        <w:jc w:val="center"/>
        <w:rPr>
          <w:b/>
          <w:bCs/>
          <w:color w:val="auto"/>
        </w:rPr>
      </w:pPr>
      <w:r w:rsidRPr="001E33F8">
        <w:rPr>
          <w:b/>
          <w:bCs/>
          <w:color w:val="auto"/>
        </w:rPr>
        <w:t xml:space="preserve">Table 2: Risk register </w:t>
      </w:r>
    </w:p>
    <w:p w14:paraId="526B3DB1" w14:textId="77777777" w:rsidR="00280DDA" w:rsidRPr="001E33F8" w:rsidRDefault="009814C7">
      <w:pPr>
        <w:jc w:val="center"/>
        <w:rPr>
          <w:color w:val="auto"/>
        </w:rPr>
      </w:pPr>
      <w:r w:rsidRPr="001E33F8">
        <w:rPr>
          <w:color w:val="auto"/>
        </w:rPr>
        <w:t>(Source: Self-developed)</w:t>
      </w:r>
    </w:p>
    <w:p w14:paraId="772A937A" w14:textId="77777777" w:rsidR="00280DDA" w:rsidRPr="001E33F8" w:rsidRDefault="009814C7">
      <w:pPr>
        <w:pStyle w:val="Heading2"/>
        <w:rPr>
          <w:color w:val="auto"/>
        </w:rPr>
      </w:pPr>
      <w:bookmarkStart w:id="19" w:name="_Toc235698347"/>
      <w:r w:rsidRPr="001E33F8">
        <w:rPr>
          <w:color w:val="auto"/>
        </w:rPr>
        <w:t>Conclusion</w:t>
      </w:r>
      <w:bookmarkEnd w:id="19"/>
      <w:r w:rsidRPr="001E33F8">
        <w:rPr>
          <w:color w:val="auto"/>
        </w:rPr>
        <w:t xml:space="preserve"> </w:t>
      </w:r>
    </w:p>
    <w:p w14:paraId="3768A9E7" w14:textId="77777777" w:rsidR="00280DDA" w:rsidRPr="001E33F8" w:rsidRDefault="009814C7">
      <w:pPr>
        <w:rPr>
          <w:rFonts w:ascii="Times New Roman" w:eastAsia="Times New Roman" w:hAnsi="Times New Roman" w:cs="Times New Roman"/>
          <w:color w:val="auto"/>
        </w:rPr>
      </w:pPr>
      <w:r w:rsidRPr="001E33F8">
        <w:rPr>
          <w:color w:val="auto"/>
        </w:rPr>
        <w:t>Product development is the most appropriate growth strategy for Tata Steel as it enables the company to innovate, sustain the business, and remain competitive in the long run. Low-carbon steel products creation allows the company to be sensitive to market demands, decrease the environmental impacts, and follow new regulations. Sustainable manufacturing and technological innovation can help Tata Steel build its competitive edge and add value to the company and its stakeholders in the long haul.</w:t>
      </w:r>
    </w:p>
    <w:p w14:paraId="454AE30D" w14:textId="77777777" w:rsidR="00280DDA" w:rsidRPr="001E33F8" w:rsidRDefault="009814C7">
      <w:pPr>
        <w:pStyle w:val="Heading1"/>
        <w:shd w:val="clear" w:color="auto" w:fill="FFFFFF"/>
        <w:rPr>
          <w:color w:val="auto"/>
        </w:rPr>
      </w:pPr>
      <w:bookmarkStart w:id="20" w:name="_heading=h.kn7owgw9iur7" w:colFirst="0" w:colLast="0"/>
      <w:bookmarkEnd w:id="20"/>
      <w:r w:rsidRPr="001E33F8">
        <w:rPr>
          <w:color w:val="auto"/>
        </w:rPr>
        <w:br w:type="page"/>
      </w:r>
    </w:p>
    <w:p w14:paraId="64F54548" w14:textId="77777777" w:rsidR="00280DDA" w:rsidRPr="001E33F8" w:rsidRDefault="009814C7">
      <w:pPr>
        <w:pStyle w:val="Heading1"/>
        <w:shd w:val="clear" w:color="auto" w:fill="FFFFFF"/>
        <w:rPr>
          <w:color w:val="auto"/>
        </w:rPr>
      </w:pPr>
      <w:bookmarkStart w:id="21" w:name="_Toc235698348"/>
      <w:r w:rsidRPr="001E33F8">
        <w:rPr>
          <w:color w:val="auto"/>
        </w:rPr>
        <w:lastRenderedPageBreak/>
        <w:t>Task 3: Critical Reflection on AI Usage</w:t>
      </w:r>
      <w:bookmarkEnd w:id="21"/>
      <w:r w:rsidRPr="001E33F8">
        <w:rPr>
          <w:color w:val="auto"/>
        </w:rPr>
        <w:t xml:space="preserve"> </w:t>
      </w:r>
    </w:p>
    <w:p w14:paraId="306FDA03" w14:textId="77777777" w:rsidR="00280DDA" w:rsidRPr="001E33F8" w:rsidRDefault="009814C7">
      <w:pPr>
        <w:pStyle w:val="Heading2"/>
        <w:rPr>
          <w:color w:val="auto"/>
        </w:rPr>
      </w:pPr>
      <w:bookmarkStart w:id="22" w:name="_Toc235698349"/>
      <w:r w:rsidRPr="001E33F8">
        <w:rPr>
          <w:color w:val="auto"/>
        </w:rPr>
        <w:t>Tool Disclosure</w:t>
      </w:r>
      <w:bookmarkEnd w:id="22"/>
    </w:p>
    <w:p w14:paraId="4E0B6C6C" w14:textId="77777777" w:rsidR="00280DDA" w:rsidRPr="001E33F8" w:rsidRDefault="009814C7">
      <w:pPr>
        <w:rPr>
          <w:color w:val="auto"/>
        </w:rPr>
      </w:pPr>
      <w:r w:rsidRPr="001E33F8">
        <w:rPr>
          <w:color w:val="auto"/>
        </w:rPr>
        <w:t xml:space="preserve">To support research, planning and writing, and to enhance the efficiency of this report, this report was prepared with the aid of Artificial Intelligence (AI). The main ways in which ChatGPT was used were to brainstorm ideas, clarify marketing concepts, provide outlines for reports, and edit written text for clarity and academic style. AI also helped in summarising publicly available information on the sustainability initiatives carried out by Tata Steel and identifying relevant strategic frameworks that could be used for the analysis (Roberts </w:t>
      </w:r>
      <w:r w:rsidRPr="001E33F8">
        <w:rPr>
          <w:i/>
          <w:iCs/>
          <w:color w:val="auto"/>
        </w:rPr>
        <w:t>et al.,</w:t>
      </w:r>
      <w:r w:rsidRPr="001E33F8">
        <w:rPr>
          <w:color w:val="auto"/>
        </w:rPr>
        <w:t xml:space="preserve"> 2024, p.1454). The final report was not, however, created solely using artificial intelligence. The outputs of its were used as guidance and carefully reviewed before being used in the assignment. Using AI was recognised as per the University's Academic Integrity and AI usage guidelines.</w:t>
      </w:r>
    </w:p>
    <w:p w14:paraId="274B4214" w14:textId="77777777" w:rsidR="00280DDA" w:rsidRPr="001E33F8" w:rsidRDefault="009814C7">
      <w:pPr>
        <w:pStyle w:val="Heading2"/>
        <w:rPr>
          <w:color w:val="auto"/>
        </w:rPr>
      </w:pPr>
      <w:bookmarkStart w:id="23" w:name="_Toc235698350"/>
      <w:r w:rsidRPr="001E33F8">
        <w:rPr>
          <w:color w:val="auto"/>
        </w:rPr>
        <w:t>Critical Evaluation of AI Output</w:t>
      </w:r>
      <w:bookmarkEnd w:id="23"/>
    </w:p>
    <w:p w14:paraId="0D32C0C0" w14:textId="77777777" w:rsidR="00280DDA" w:rsidRPr="001E33F8" w:rsidRDefault="009814C7">
      <w:pPr>
        <w:rPr>
          <w:color w:val="auto"/>
        </w:rPr>
      </w:pPr>
      <w:r w:rsidRPr="001E33F8">
        <w:rPr>
          <w:color w:val="auto"/>
        </w:rPr>
        <w:t>While AI helped develop ideas, all content created was fact-checked to prevent inaccuracies and biases. The information on the company was verified with Tata Steel's official sustainability report, annual reports, academic textbooks and other credible sources, along with information about environmental and strategic recommendations (Schultz and Seele, 2023, p.100). Comparing with accurate sources, these inaccuracies were either corrected or eliminated. This process helped to keep the report accurate, evidence-based, and up to date with current business practices.</w:t>
      </w:r>
    </w:p>
    <w:p w14:paraId="6F19442A" w14:textId="77777777" w:rsidR="00280DDA" w:rsidRPr="001E33F8" w:rsidRDefault="009814C7">
      <w:pPr>
        <w:pStyle w:val="Heading2"/>
        <w:rPr>
          <w:color w:val="auto"/>
        </w:rPr>
      </w:pPr>
      <w:bookmarkStart w:id="24" w:name="_Toc235698351"/>
      <w:r w:rsidRPr="001E33F8">
        <w:rPr>
          <w:color w:val="auto"/>
        </w:rPr>
        <w:t>Contribution Analysis</w:t>
      </w:r>
      <w:bookmarkEnd w:id="24"/>
    </w:p>
    <w:p w14:paraId="3758E4DD" w14:textId="77777777" w:rsidR="00280DDA" w:rsidRPr="001E33F8" w:rsidRDefault="009814C7">
      <w:pPr>
        <w:rPr>
          <w:color w:val="auto"/>
        </w:rPr>
      </w:pPr>
      <w:r w:rsidRPr="001E33F8">
        <w:rPr>
          <w:color w:val="auto"/>
        </w:rPr>
        <w:t xml:space="preserve">The critical analysis of the report was largely due to human effort, with AI primarily helping with organisation and presentation. It helped to clarify theory, refine language and </w:t>
      </w:r>
      <w:r w:rsidRPr="001E33F8">
        <w:rPr>
          <w:color w:val="auto"/>
        </w:rPr>
        <w:lastRenderedPageBreak/>
        <w:t>sentence structure. The overall structure of the report was framed by the AI suggestions, but the selection of Tata Steel as a case company, external environment analysis, strategic growth opportunities analysis and recommendation of product development strategy were done manually (Lap and Çakır, 2025, p. 276). The author's interpretation of the theories of marketing and how these theories could be related to Tata Steel's sustainability policy was based on personal understanding, independent research and critical evaluation. Therefore, the final report is my own analysis and judgment, and AI was merely a tool to assist me with the writing process.</w:t>
      </w:r>
    </w:p>
    <w:p w14:paraId="6850B173" w14:textId="77777777" w:rsidR="00280DDA" w:rsidRPr="001E33F8" w:rsidRDefault="009814C7">
      <w:pPr>
        <w:pStyle w:val="Heading2"/>
        <w:rPr>
          <w:color w:val="auto"/>
        </w:rPr>
      </w:pPr>
      <w:bookmarkStart w:id="25" w:name="_Toc235698352"/>
      <w:r w:rsidRPr="001E33F8">
        <w:rPr>
          <w:color w:val="auto"/>
        </w:rPr>
        <w:t>Ethical and Professional Reflection</w:t>
      </w:r>
      <w:bookmarkEnd w:id="25"/>
    </w:p>
    <w:p w14:paraId="7AB46755" w14:textId="77777777" w:rsidR="00280DDA" w:rsidRPr="001E33F8" w:rsidRDefault="009814C7">
      <w:pPr>
        <w:rPr>
          <w:color w:val="auto"/>
        </w:rPr>
      </w:pPr>
      <w:r w:rsidRPr="001E33F8">
        <w:rPr>
          <w:color w:val="auto"/>
        </w:rPr>
        <w:t xml:space="preserve">As AI becomes more prevalent in education and the workplace, there are opportunities and challenges. By streamlining research, organisation, and communication, AI can boost productivity, enabling users to accomplish tasks more efficiently. But excessive use of AI could limit opportunities to cultivate independent critical thinking and analytical abilities. Artificial Intelligence (AI) can also produce false information, give an opinion on facts that are not accurate, or make unsupported statements; this is why it is important to have human verification (Atobishi and Mansur, 2025, p.5). It is important to be transparent about how it has been used and to ensure that any analysis done at the end is the student's work. In real-world marketing, it's important to acknowledge that AI recommendations can't be the sole basis for strategy. Ethical thinking and critical analysis are indispensable tools for producing accurate analysis and responsible business decisions. </w:t>
      </w:r>
    </w:p>
    <w:p w14:paraId="75ED30EB" w14:textId="77777777" w:rsidR="00280DDA" w:rsidRPr="001E33F8" w:rsidRDefault="00280DDA">
      <w:pPr>
        <w:pStyle w:val="Heading1"/>
        <w:rPr>
          <w:color w:val="auto"/>
        </w:rPr>
      </w:pPr>
    </w:p>
    <w:p w14:paraId="277AB01E" w14:textId="77777777" w:rsidR="00280DDA" w:rsidRPr="001E33F8" w:rsidRDefault="009814C7">
      <w:pPr>
        <w:rPr>
          <w:b/>
          <w:bCs/>
          <w:color w:val="auto"/>
          <w:sz w:val="28"/>
          <w:szCs w:val="28"/>
        </w:rPr>
      </w:pPr>
      <w:r w:rsidRPr="001E33F8">
        <w:rPr>
          <w:color w:val="auto"/>
        </w:rPr>
        <w:br w:type="page"/>
      </w:r>
    </w:p>
    <w:p w14:paraId="28C33568" w14:textId="77777777" w:rsidR="00280DDA" w:rsidRPr="001E33F8" w:rsidRDefault="009814C7">
      <w:pPr>
        <w:pStyle w:val="Heading1"/>
        <w:rPr>
          <w:color w:val="auto"/>
        </w:rPr>
      </w:pPr>
      <w:bookmarkStart w:id="26" w:name="_Toc235698353"/>
      <w:r w:rsidRPr="001E33F8">
        <w:rPr>
          <w:color w:val="auto"/>
        </w:rPr>
        <w:lastRenderedPageBreak/>
        <w:t>Overall Conclusion</w:t>
      </w:r>
      <w:bookmarkEnd w:id="26"/>
      <w:r w:rsidRPr="001E33F8">
        <w:rPr>
          <w:color w:val="auto"/>
        </w:rPr>
        <w:t xml:space="preserve"> </w:t>
      </w:r>
    </w:p>
    <w:p w14:paraId="63E4ADB2" w14:textId="77777777" w:rsidR="00280DDA" w:rsidRPr="001E33F8" w:rsidRDefault="009814C7">
      <w:pPr>
        <w:rPr>
          <w:color w:val="auto"/>
        </w:rPr>
      </w:pPr>
      <w:r w:rsidRPr="001E33F8">
        <w:rPr>
          <w:color w:val="auto"/>
        </w:rPr>
        <w:t>Overall, Tata Steel's transition towards lower-carbon steel is primarily shaped by environmental and technological forces, enabling sustainable innovation, stronger market positioning, regulatory compliance, and long-term competitive advantage in the global steel industry.</w:t>
      </w:r>
    </w:p>
    <w:p w14:paraId="56E87A7A" w14:textId="77777777" w:rsidR="00280DDA" w:rsidRPr="001E33F8" w:rsidRDefault="009814C7">
      <w:pPr>
        <w:rPr>
          <w:b/>
          <w:bCs/>
          <w:color w:val="auto"/>
          <w:sz w:val="28"/>
          <w:szCs w:val="28"/>
        </w:rPr>
      </w:pPr>
      <w:bookmarkStart w:id="27" w:name="_heading=h.liipeyvhnatj" w:colFirst="0" w:colLast="0"/>
      <w:bookmarkEnd w:id="27"/>
      <w:r w:rsidRPr="001E33F8">
        <w:rPr>
          <w:color w:val="auto"/>
        </w:rPr>
        <w:br w:type="page"/>
      </w:r>
    </w:p>
    <w:p w14:paraId="2FAF7AFB" w14:textId="77777777" w:rsidR="00280DDA" w:rsidRPr="001E33F8" w:rsidRDefault="009814C7">
      <w:pPr>
        <w:pStyle w:val="Heading1"/>
        <w:rPr>
          <w:color w:val="auto"/>
        </w:rPr>
      </w:pPr>
      <w:bookmarkStart w:id="28" w:name="_Toc235698354"/>
      <w:r w:rsidRPr="001E33F8">
        <w:rPr>
          <w:color w:val="auto"/>
        </w:rPr>
        <w:lastRenderedPageBreak/>
        <w:t>References</w:t>
      </w:r>
      <w:bookmarkEnd w:id="28"/>
      <w:r w:rsidRPr="001E33F8">
        <w:rPr>
          <w:color w:val="auto"/>
        </w:rPr>
        <w:t xml:space="preserve"> </w:t>
      </w:r>
    </w:p>
    <w:p w14:paraId="7A0DAECB" w14:textId="77777777" w:rsidR="00280DDA" w:rsidRPr="001E33F8" w:rsidRDefault="009814C7">
      <w:pPr>
        <w:rPr>
          <w:color w:val="auto"/>
        </w:rPr>
      </w:pPr>
      <w:r w:rsidRPr="001E33F8">
        <w:rPr>
          <w:color w:val="auto"/>
        </w:rPr>
        <w:t xml:space="preserve">Abd-El-Salam, E.M., (2023). Exploring factors affecting Employee Loyalty through the relationship between Service Quality and Management Commitment a case study analysis in the iron and steel industry Al Ezz Dekheila Steel Company in Egypt. </w:t>
      </w:r>
      <w:r w:rsidRPr="001E33F8">
        <w:rPr>
          <w:i/>
          <w:iCs/>
          <w:color w:val="auto"/>
        </w:rPr>
        <w:t>Cogent Business &amp; Management</w:t>
      </w:r>
      <w:r w:rsidRPr="001E33F8">
        <w:rPr>
          <w:color w:val="auto"/>
        </w:rPr>
        <w:t xml:space="preserve">, </w:t>
      </w:r>
      <w:r w:rsidRPr="001E33F8">
        <w:rPr>
          <w:i/>
          <w:iCs/>
          <w:color w:val="auto"/>
        </w:rPr>
        <w:t>10</w:t>
      </w:r>
      <w:r w:rsidRPr="001E33F8">
        <w:rPr>
          <w:color w:val="auto"/>
        </w:rPr>
        <w:t>(2), p.2212492.</w:t>
      </w:r>
    </w:p>
    <w:p w14:paraId="79F7AA1D" w14:textId="77777777" w:rsidR="00280DDA" w:rsidRPr="001E33F8" w:rsidRDefault="009814C7">
      <w:pPr>
        <w:spacing w:after="0"/>
        <w:rPr>
          <w:color w:val="auto"/>
        </w:rPr>
      </w:pPr>
      <w:r w:rsidRPr="001E33F8">
        <w:rPr>
          <w:color w:val="auto"/>
        </w:rPr>
        <w:t>Aithal, P. S. (2024). Achieving business excellence through ethical business model: A success story of Tata Group, India. Poornaprajna Int. J. Manag. Educ. Soc. Sci, 1(2), 165.</w:t>
      </w:r>
    </w:p>
    <w:p w14:paraId="2D460ADB" w14:textId="77777777" w:rsidR="00280DDA" w:rsidRPr="001E33F8" w:rsidRDefault="009814C7">
      <w:pPr>
        <w:rPr>
          <w:color w:val="auto"/>
        </w:rPr>
      </w:pPr>
      <w:r w:rsidRPr="001E33F8">
        <w:rPr>
          <w:color w:val="auto"/>
        </w:rPr>
        <w:t xml:space="preserve">Anjum, F., (2022). Diversification Strategies of Tata group of companies: A Case Study. </w:t>
      </w:r>
      <w:r w:rsidRPr="001E33F8">
        <w:rPr>
          <w:i/>
          <w:iCs/>
          <w:color w:val="auto"/>
        </w:rPr>
        <w:t>International Journal of Scientific Research in Engineering and Management</w:t>
      </w:r>
      <w:r w:rsidRPr="001E33F8">
        <w:rPr>
          <w:color w:val="auto"/>
        </w:rPr>
        <w:t xml:space="preserve">, </w:t>
      </w:r>
      <w:r w:rsidRPr="001E33F8">
        <w:rPr>
          <w:i/>
          <w:iCs/>
          <w:color w:val="auto"/>
        </w:rPr>
        <w:t>6</w:t>
      </w:r>
      <w:r w:rsidRPr="001E33F8">
        <w:rPr>
          <w:color w:val="auto"/>
        </w:rPr>
        <w:t>(10).</w:t>
      </w:r>
    </w:p>
    <w:p w14:paraId="731B31D2" w14:textId="77777777" w:rsidR="00280DDA" w:rsidRPr="001E33F8" w:rsidRDefault="009814C7">
      <w:pPr>
        <w:rPr>
          <w:color w:val="auto"/>
        </w:rPr>
      </w:pPr>
      <w:r w:rsidRPr="001E33F8">
        <w:rPr>
          <w:color w:val="auto"/>
        </w:rPr>
        <w:t xml:space="preserve">Atobishi, T. and Mansur, H., (2025). Bridging digital divides: Validating government ICT investments accelerating sustainable development goals. </w:t>
      </w:r>
      <w:r w:rsidRPr="001E33F8">
        <w:rPr>
          <w:i/>
          <w:iCs/>
          <w:color w:val="auto"/>
        </w:rPr>
        <w:t>Sustainability</w:t>
      </w:r>
      <w:r w:rsidRPr="001E33F8">
        <w:rPr>
          <w:color w:val="auto"/>
        </w:rPr>
        <w:t xml:space="preserve">, </w:t>
      </w:r>
      <w:r w:rsidRPr="001E33F8">
        <w:rPr>
          <w:i/>
          <w:iCs/>
          <w:color w:val="auto"/>
        </w:rPr>
        <w:t>17</w:t>
      </w:r>
      <w:r w:rsidRPr="001E33F8">
        <w:rPr>
          <w:color w:val="auto"/>
        </w:rPr>
        <w:t>(5), p.2191.</w:t>
      </w:r>
    </w:p>
    <w:p w14:paraId="75534351" w14:textId="77777777" w:rsidR="00280DDA" w:rsidRPr="001E33F8" w:rsidRDefault="009814C7">
      <w:pPr>
        <w:spacing w:after="0"/>
        <w:rPr>
          <w:color w:val="auto"/>
        </w:rPr>
      </w:pPr>
      <w:r w:rsidRPr="001E33F8">
        <w:rPr>
          <w:color w:val="auto"/>
        </w:rPr>
        <w:t>Bello, S., Wada, I., Ige, O., Chianumba, E. and Adebayo, S., (2024). AI-driven predictive maintenance and optimization of renewable energy systems for enhanced operational efficiency and longevity. International journal of science and research archive, 13(1), pp.2823-2837.</w:t>
      </w:r>
    </w:p>
    <w:p w14:paraId="164A6859" w14:textId="77777777" w:rsidR="00280DDA" w:rsidRPr="001E33F8" w:rsidRDefault="009814C7">
      <w:pPr>
        <w:rPr>
          <w:color w:val="auto"/>
        </w:rPr>
      </w:pPr>
      <w:r w:rsidRPr="001E33F8">
        <w:rPr>
          <w:color w:val="auto"/>
        </w:rPr>
        <w:t xml:space="preserve">Bilgihan, A. and Ricci, P., (2024). The new era of hotel marketing: integrating cutting-edge technologies with core marketing principles. </w:t>
      </w:r>
      <w:r w:rsidRPr="001E33F8">
        <w:rPr>
          <w:i/>
          <w:iCs/>
          <w:color w:val="auto"/>
        </w:rPr>
        <w:t>Journal of Hospitality and Tourism Technology</w:t>
      </w:r>
      <w:r w:rsidRPr="001E33F8">
        <w:rPr>
          <w:color w:val="auto"/>
        </w:rPr>
        <w:t xml:space="preserve">, </w:t>
      </w:r>
      <w:r w:rsidRPr="001E33F8">
        <w:rPr>
          <w:i/>
          <w:iCs/>
          <w:color w:val="auto"/>
        </w:rPr>
        <w:t>15</w:t>
      </w:r>
      <w:r w:rsidRPr="001E33F8">
        <w:rPr>
          <w:color w:val="auto"/>
        </w:rPr>
        <w:t>(1), pp.123-137.</w:t>
      </w:r>
    </w:p>
    <w:p w14:paraId="3F91E3CA" w14:textId="77777777" w:rsidR="00280DDA" w:rsidRPr="001E33F8" w:rsidRDefault="009814C7">
      <w:pPr>
        <w:spacing w:after="0"/>
        <w:rPr>
          <w:color w:val="auto"/>
        </w:rPr>
      </w:pPr>
      <w:r w:rsidRPr="001E33F8">
        <w:rPr>
          <w:color w:val="auto"/>
        </w:rPr>
        <w:t>Cenci, S. and Tang, S., (2024). Addressing companies’ low-carbon transition challenges requires diversified investments in environmental initiatives. Climatic Change, 177(11), p.161.</w:t>
      </w:r>
    </w:p>
    <w:p w14:paraId="5ADCA4D5" w14:textId="77777777" w:rsidR="00280DDA" w:rsidRPr="001E33F8" w:rsidRDefault="009814C7">
      <w:pPr>
        <w:rPr>
          <w:color w:val="auto"/>
        </w:rPr>
      </w:pPr>
      <w:r w:rsidRPr="001E33F8">
        <w:rPr>
          <w:color w:val="auto"/>
        </w:rPr>
        <w:lastRenderedPageBreak/>
        <w:t xml:space="preserve">Gajdzik, B. and Wolniak, R., (2022). Framework for R&amp;D&amp;I activities in the steel industry in popularizing the idea of industry 4.0. </w:t>
      </w:r>
      <w:r w:rsidRPr="001E33F8">
        <w:rPr>
          <w:i/>
          <w:iCs/>
          <w:color w:val="auto"/>
        </w:rPr>
        <w:t>Journal of Open Innovation: Technology, Market, and Complexity</w:t>
      </w:r>
      <w:r w:rsidRPr="001E33F8">
        <w:rPr>
          <w:color w:val="auto"/>
        </w:rPr>
        <w:t xml:space="preserve">, </w:t>
      </w:r>
      <w:r w:rsidRPr="001E33F8">
        <w:rPr>
          <w:i/>
          <w:iCs/>
          <w:color w:val="auto"/>
        </w:rPr>
        <w:t>8</w:t>
      </w:r>
      <w:r w:rsidRPr="001E33F8">
        <w:rPr>
          <w:color w:val="auto"/>
        </w:rPr>
        <w:t>(3), p.133.</w:t>
      </w:r>
    </w:p>
    <w:p w14:paraId="5DAC6129" w14:textId="77777777" w:rsidR="00280DDA" w:rsidRPr="001E33F8" w:rsidRDefault="009814C7">
      <w:pPr>
        <w:spacing w:after="0"/>
        <w:rPr>
          <w:color w:val="auto"/>
        </w:rPr>
      </w:pPr>
      <w:r w:rsidRPr="001E33F8">
        <w:rPr>
          <w:color w:val="auto"/>
        </w:rPr>
        <w:t>Handoyo, S., Suharman, H., Ghani, E.K. and Soedarsono, S., (2023). A business strategy, operational efficiency, ownership structure, and manufacturing performance: The moderating role of market uncertainty and competition intensity and its implication on open innovation. Journal of Open Innovation: Technology, Market, and Complexity, 9(2), p.100039.</w:t>
      </w:r>
    </w:p>
    <w:p w14:paraId="39183D4F" w14:textId="77777777" w:rsidR="00280DDA" w:rsidRPr="001E33F8" w:rsidRDefault="009814C7">
      <w:pPr>
        <w:spacing w:after="0"/>
        <w:rPr>
          <w:color w:val="auto"/>
        </w:rPr>
      </w:pPr>
      <w:r w:rsidRPr="001E33F8">
        <w:rPr>
          <w:color w:val="auto"/>
        </w:rPr>
        <w:t xml:space="preserve">International Monetary Fund (2026). </w:t>
      </w:r>
      <w:r w:rsidRPr="001E33F8">
        <w:rPr>
          <w:i/>
          <w:iCs/>
          <w:color w:val="auto"/>
        </w:rPr>
        <w:t>World Economic Outlook.</w:t>
      </w:r>
      <w:r w:rsidRPr="001E33F8">
        <w:rPr>
          <w:color w:val="auto"/>
        </w:rPr>
        <w:t xml:space="preserve"> Available at: </w:t>
      </w:r>
      <w:hyperlink r:id="rId14">
        <w:r w:rsidRPr="001E33F8">
          <w:rPr>
            <w:color w:val="auto"/>
            <w:u w:val="single"/>
          </w:rPr>
          <w:t>https://www.imf.org/en/publications/weo</w:t>
        </w:r>
      </w:hyperlink>
      <w:r w:rsidRPr="001E33F8">
        <w:rPr>
          <w:color w:val="auto"/>
        </w:rPr>
        <w:t xml:space="preserve"> [Accessed: 10 July 2026]</w:t>
      </w:r>
    </w:p>
    <w:p w14:paraId="71F4CA40" w14:textId="77777777" w:rsidR="00280DDA" w:rsidRPr="001E33F8" w:rsidRDefault="009814C7">
      <w:pPr>
        <w:spacing w:after="0"/>
        <w:rPr>
          <w:color w:val="auto"/>
        </w:rPr>
      </w:pPr>
      <w:r w:rsidRPr="001E33F8">
        <w:rPr>
          <w:color w:val="auto"/>
        </w:rPr>
        <w:t>Islam, M., Wattoo, O.M. and Saleem, S., (2023). Environmental regulations and their implications for global sustainability. Pakistan Journal of Humanities and Social Sciences, 11(3), pp.3801-3809.</w:t>
      </w:r>
    </w:p>
    <w:p w14:paraId="56FFEF30" w14:textId="77777777" w:rsidR="00280DDA" w:rsidRPr="001E33F8" w:rsidRDefault="009814C7">
      <w:pPr>
        <w:rPr>
          <w:color w:val="auto"/>
        </w:rPr>
      </w:pPr>
      <w:r w:rsidRPr="001E33F8">
        <w:rPr>
          <w:color w:val="auto"/>
        </w:rPr>
        <w:t xml:space="preserve">Lap, N.D. and Çakır, R., (2025). An Analysis of University Students’ Artificial Intelligence Literacy and Acceptance Levels of Generative AI Applications Across Various Variables. </w:t>
      </w:r>
      <w:r w:rsidRPr="001E33F8">
        <w:rPr>
          <w:i/>
          <w:iCs/>
          <w:color w:val="auto"/>
        </w:rPr>
        <w:t>Journal of Teacher Education and Lifelong Learning</w:t>
      </w:r>
      <w:r w:rsidRPr="001E33F8">
        <w:rPr>
          <w:color w:val="auto"/>
        </w:rPr>
        <w:t xml:space="preserve">, </w:t>
      </w:r>
      <w:r w:rsidRPr="001E33F8">
        <w:rPr>
          <w:i/>
          <w:iCs/>
          <w:color w:val="auto"/>
        </w:rPr>
        <w:t>7</w:t>
      </w:r>
      <w:r w:rsidRPr="001E33F8">
        <w:rPr>
          <w:color w:val="auto"/>
        </w:rPr>
        <w:t>(2), pp.274-288.</w:t>
      </w:r>
    </w:p>
    <w:p w14:paraId="3387DAAE" w14:textId="77777777" w:rsidR="00280DDA" w:rsidRPr="001E33F8" w:rsidRDefault="009814C7">
      <w:pPr>
        <w:rPr>
          <w:color w:val="auto"/>
        </w:rPr>
      </w:pPr>
      <w:r w:rsidRPr="001E33F8">
        <w:rPr>
          <w:color w:val="auto"/>
        </w:rPr>
        <w:t xml:space="preserve">Liu, R., Gupta, S. and Patel, P., (2023). The application of the principles of responsible AI on social media marketing for digital health. </w:t>
      </w:r>
      <w:r w:rsidRPr="001E33F8">
        <w:rPr>
          <w:i/>
          <w:iCs/>
          <w:color w:val="auto"/>
        </w:rPr>
        <w:t>Information Systems Frontiers</w:t>
      </w:r>
      <w:r w:rsidRPr="001E33F8">
        <w:rPr>
          <w:color w:val="auto"/>
        </w:rPr>
        <w:t xml:space="preserve">, </w:t>
      </w:r>
      <w:r w:rsidRPr="001E33F8">
        <w:rPr>
          <w:i/>
          <w:iCs/>
          <w:color w:val="auto"/>
        </w:rPr>
        <w:t>25</w:t>
      </w:r>
      <w:r w:rsidRPr="001E33F8">
        <w:rPr>
          <w:color w:val="auto"/>
        </w:rPr>
        <w:t>(6), pp.2275-2299.</w:t>
      </w:r>
    </w:p>
    <w:p w14:paraId="7DDD21AB" w14:textId="77777777" w:rsidR="00280DDA" w:rsidRPr="001E33F8" w:rsidRDefault="009814C7">
      <w:pPr>
        <w:rPr>
          <w:color w:val="auto"/>
        </w:rPr>
      </w:pPr>
      <w:r w:rsidRPr="001E33F8">
        <w:rPr>
          <w:color w:val="auto"/>
        </w:rPr>
        <w:t xml:space="preserve">Nguyen, T.L., Nguyen, P.H., Pham, H.A., Nguyen, T.G., Nguyen, D.T., Tran, T.H., Le, H.C. and Phung, H.T., (2022). A novel integrating data envelopment analysis and spherical fuzzy MCDM approach for sustainable supplier selection in steel industry. </w:t>
      </w:r>
      <w:r w:rsidRPr="001E33F8">
        <w:rPr>
          <w:i/>
          <w:iCs/>
          <w:color w:val="auto"/>
        </w:rPr>
        <w:t>Mathematics</w:t>
      </w:r>
      <w:r w:rsidRPr="001E33F8">
        <w:rPr>
          <w:color w:val="auto"/>
        </w:rPr>
        <w:t xml:space="preserve">, </w:t>
      </w:r>
      <w:r w:rsidRPr="001E33F8">
        <w:rPr>
          <w:i/>
          <w:iCs/>
          <w:color w:val="auto"/>
        </w:rPr>
        <w:t>10</w:t>
      </w:r>
      <w:r w:rsidRPr="001E33F8">
        <w:rPr>
          <w:color w:val="auto"/>
        </w:rPr>
        <w:t>(11), p.1897.</w:t>
      </w:r>
    </w:p>
    <w:p w14:paraId="2761A2DF" w14:textId="77777777" w:rsidR="00280DDA" w:rsidRPr="001E33F8" w:rsidRDefault="009814C7">
      <w:pPr>
        <w:spacing w:after="0"/>
        <w:rPr>
          <w:color w:val="auto"/>
        </w:rPr>
      </w:pPr>
      <w:r w:rsidRPr="001E33F8">
        <w:rPr>
          <w:color w:val="auto"/>
        </w:rPr>
        <w:lastRenderedPageBreak/>
        <w:t>Panchali, J. (2024). Tata Steel’s Acquisition of Bhushan Steel: Steeling the Competition. Vikalpa, 49(2), 181-189.</w:t>
      </w:r>
    </w:p>
    <w:p w14:paraId="67B20154" w14:textId="77777777" w:rsidR="00280DDA" w:rsidRPr="001E33F8" w:rsidRDefault="009814C7">
      <w:pPr>
        <w:rPr>
          <w:color w:val="auto"/>
        </w:rPr>
      </w:pPr>
      <w:r w:rsidRPr="001E33F8">
        <w:rPr>
          <w:color w:val="auto"/>
        </w:rPr>
        <w:t xml:space="preserve">Roberts, H., Zhang, J., Bariach, B., Cowls, J., Gilburt, B., Juneja, P., Tsamados, A., Ziosi, M., Taddeo, M. and Floridi, L., (2024). Artificial intelligence in support of the circular economy: ethical considerations and a path forward. </w:t>
      </w:r>
      <w:r w:rsidRPr="001E33F8">
        <w:rPr>
          <w:i/>
          <w:iCs/>
          <w:color w:val="auto"/>
        </w:rPr>
        <w:t>AI &amp; society</w:t>
      </w:r>
      <w:r w:rsidRPr="001E33F8">
        <w:rPr>
          <w:color w:val="auto"/>
        </w:rPr>
        <w:t xml:space="preserve">, </w:t>
      </w:r>
      <w:r w:rsidRPr="001E33F8">
        <w:rPr>
          <w:i/>
          <w:iCs/>
          <w:color w:val="auto"/>
        </w:rPr>
        <w:t>39</w:t>
      </w:r>
      <w:r w:rsidRPr="001E33F8">
        <w:rPr>
          <w:color w:val="auto"/>
        </w:rPr>
        <w:t>(3), pp.1451-1464.</w:t>
      </w:r>
    </w:p>
    <w:p w14:paraId="32E9D5D3" w14:textId="77777777" w:rsidR="00280DDA" w:rsidRPr="001E33F8" w:rsidRDefault="009814C7">
      <w:pPr>
        <w:rPr>
          <w:color w:val="auto"/>
        </w:rPr>
      </w:pPr>
      <w:r w:rsidRPr="001E33F8">
        <w:rPr>
          <w:color w:val="auto"/>
        </w:rPr>
        <w:t xml:space="preserve">Schultz, M.D. and Seele, P., (2023). Towards AI ethics’ institutionalization: knowledge bridges from business ethics to advance organizational AI ethics. </w:t>
      </w:r>
      <w:r w:rsidRPr="001E33F8">
        <w:rPr>
          <w:i/>
          <w:iCs/>
          <w:color w:val="auto"/>
        </w:rPr>
        <w:t>AI and Ethics</w:t>
      </w:r>
      <w:r w:rsidRPr="001E33F8">
        <w:rPr>
          <w:color w:val="auto"/>
        </w:rPr>
        <w:t xml:space="preserve">, </w:t>
      </w:r>
      <w:r w:rsidRPr="001E33F8">
        <w:rPr>
          <w:i/>
          <w:iCs/>
          <w:color w:val="auto"/>
        </w:rPr>
        <w:t>3</w:t>
      </w:r>
      <w:r w:rsidRPr="001E33F8">
        <w:rPr>
          <w:color w:val="auto"/>
        </w:rPr>
        <w:t>(1), pp.99-111.</w:t>
      </w:r>
    </w:p>
    <w:p w14:paraId="4FBCBF1E" w14:textId="77777777" w:rsidR="00280DDA" w:rsidRPr="001E33F8" w:rsidRDefault="009814C7">
      <w:pPr>
        <w:spacing w:after="0"/>
        <w:rPr>
          <w:color w:val="auto"/>
        </w:rPr>
      </w:pPr>
      <w:r w:rsidRPr="001E33F8">
        <w:rPr>
          <w:color w:val="auto"/>
        </w:rPr>
        <w:t>Siddiqui, M. I. H. (2023). Innovative green steelmaking process for sustainable steel production. VW Applied Sciences, 5(1), 171-176.</w:t>
      </w:r>
    </w:p>
    <w:p w14:paraId="16FCB5F9" w14:textId="711581C2" w:rsidR="00280DDA" w:rsidRPr="001E33F8" w:rsidRDefault="009814C7">
      <w:pPr>
        <w:rPr>
          <w:color w:val="auto"/>
        </w:rPr>
      </w:pPr>
      <w:r w:rsidRPr="001E33F8">
        <w:rPr>
          <w:color w:val="auto"/>
        </w:rPr>
        <w:t xml:space="preserve">Statista, (2026) </w:t>
      </w:r>
      <w:r w:rsidRPr="001E33F8">
        <w:rPr>
          <w:i/>
          <w:iCs/>
          <w:color w:val="auto"/>
        </w:rPr>
        <w:t>tata-group-market-caps</w:t>
      </w:r>
      <w:r w:rsidRPr="001E33F8">
        <w:rPr>
          <w:color w:val="auto"/>
        </w:rPr>
        <w:t xml:space="preserve"> available at: </w:t>
      </w:r>
      <w:hyperlink r:id="rId15">
        <w:r w:rsidRPr="001E33F8">
          <w:rPr>
            <w:color w:val="auto"/>
            <w:u w:val="single"/>
          </w:rPr>
          <w:t>https://www.statista.com/chart/19091/tata-group-market-caps/?srsltid=AfmBOopqxN-YOuy8keQimI8G4H8ygiNvKD7J94Ogh0wP8RcOe54zkY3c</w:t>
        </w:r>
      </w:hyperlink>
      <w:r w:rsidRPr="001E33F8">
        <w:rPr>
          <w:color w:val="auto"/>
        </w:rPr>
        <w:t xml:space="preserve"> [Accessed: 1</w:t>
      </w:r>
      <w:r w:rsidR="000E745D">
        <w:rPr>
          <w:color w:val="auto"/>
        </w:rPr>
        <w:t>0</w:t>
      </w:r>
      <w:r w:rsidRPr="001E33F8">
        <w:rPr>
          <w:color w:val="auto"/>
        </w:rPr>
        <w:t xml:space="preserve"> July 2026]</w:t>
      </w:r>
    </w:p>
    <w:p w14:paraId="77DDBD49" w14:textId="1ECDD3E5" w:rsidR="00280DDA" w:rsidRPr="001E33F8" w:rsidRDefault="009814C7">
      <w:pPr>
        <w:spacing w:after="0"/>
        <w:rPr>
          <w:color w:val="auto"/>
        </w:rPr>
      </w:pPr>
      <w:r w:rsidRPr="001E33F8">
        <w:rPr>
          <w:color w:val="auto"/>
        </w:rPr>
        <w:t xml:space="preserve">Tata Steel (2025). </w:t>
      </w:r>
      <w:r w:rsidRPr="001E33F8">
        <w:rPr>
          <w:i/>
          <w:iCs/>
          <w:color w:val="auto"/>
        </w:rPr>
        <w:t xml:space="preserve">Integrated Report and Annual Accounts 2025-26. </w:t>
      </w:r>
      <w:r w:rsidRPr="001E33F8">
        <w:rPr>
          <w:color w:val="auto"/>
        </w:rPr>
        <w:t xml:space="preserve">Available at: </w:t>
      </w:r>
      <w:hyperlink r:id="rId16">
        <w:r w:rsidRPr="001E33F8">
          <w:rPr>
            <w:color w:val="auto"/>
            <w:u w:val="single"/>
          </w:rPr>
          <w:t>https://www.tatasteel.com/media/25904/tatasteel-iar-2025-26.pdf</w:t>
        </w:r>
      </w:hyperlink>
      <w:r w:rsidRPr="001E33F8">
        <w:rPr>
          <w:color w:val="auto"/>
        </w:rPr>
        <w:t xml:space="preserve"> [Accessed: 1</w:t>
      </w:r>
      <w:r w:rsidR="000E745D">
        <w:rPr>
          <w:color w:val="auto"/>
        </w:rPr>
        <w:t>3</w:t>
      </w:r>
      <w:r w:rsidRPr="001E33F8">
        <w:rPr>
          <w:color w:val="auto"/>
        </w:rPr>
        <w:t xml:space="preserve"> July 2026]</w:t>
      </w:r>
    </w:p>
    <w:p w14:paraId="10B3A3B1" w14:textId="190647E7" w:rsidR="00280DDA" w:rsidRPr="001E33F8" w:rsidRDefault="009814C7">
      <w:pPr>
        <w:spacing w:after="0"/>
        <w:rPr>
          <w:color w:val="auto"/>
        </w:rPr>
      </w:pPr>
      <w:r w:rsidRPr="001E33F8">
        <w:rPr>
          <w:color w:val="auto"/>
        </w:rPr>
        <w:t xml:space="preserve">Tata Steel (2026). </w:t>
      </w:r>
      <w:r w:rsidRPr="001E33F8">
        <w:rPr>
          <w:i/>
          <w:iCs/>
          <w:color w:val="auto"/>
        </w:rPr>
        <w:t xml:space="preserve">Climate Change Report aligned with the Recommendations of the Taskforce on Climate-Related Financial Disclosures. </w:t>
      </w:r>
      <w:r w:rsidRPr="001E33F8">
        <w:rPr>
          <w:color w:val="auto"/>
        </w:rPr>
        <w:t xml:space="preserve">Available at: </w:t>
      </w:r>
      <w:hyperlink r:id="rId17" w:anchor=":~:text=It%20aligns%20with,commitment%20to%20sustainability">
        <w:r w:rsidRPr="001E33F8">
          <w:rPr>
            <w:color w:val="auto"/>
            <w:u w:val="single"/>
          </w:rPr>
          <w:t>https://www.tatasteel.com/investors/integrated-report-2023-24/climate-change-report.html#:~:text=It%20aligns%20with,commitment%20to%20sustainability</w:t>
        </w:r>
      </w:hyperlink>
      <w:r w:rsidRPr="001E33F8">
        <w:rPr>
          <w:color w:val="auto"/>
        </w:rPr>
        <w:t>. [Accessed: 1</w:t>
      </w:r>
      <w:r w:rsidR="000E745D">
        <w:rPr>
          <w:color w:val="auto"/>
        </w:rPr>
        <w:t>5</w:t>
      </w:r>
      <w:r w:rsidRPr="001E33F8">
        <w:rPr>
          <w:color w:val="auto"/>
        </w:rPr>
        <w:t xml:space="preserve"> July 2026]</w:t>
      </w:r>
    </w:p>
    <w:p w14:paraId="569B6EAD" w14:textId="6C3290CA" w:rsidR="00280DDA" w:rsidRPr="001E33F8" w:rsidRDefault="009814C7">
      <w:pPr>
        <w:spacing w:after="0"/>
        <w:rPr>
          <w:color w:val="auto"/>
        </w:rPr>
      </w:pPr>
      <w:r w:rsidRPr="001E33F8">
        <w:rPr>
          <w:color w:val="auto"/>
        </w:rPr>
        <w:lastRenderedPageBreak/>
        <w:t xml:space="preserve">Tata Steel (2026). </w:t>
      </w:r>
      <w:r w:rsidRPr="001E33F8">
        <w:rPr>
          <w:i/>
          <w:iCs/>
          <w:color w:val="auto"/>
        </w:rPr>
        <w:t>Forging Sustainable Steel.</w:t>
      </w:r>
      <w:r w:rsidRPr="001E33F8">
        <w:rPr>
          <w:color w:val="auto"/>
        </w:rPr>
        <w:t xml:space="preserve"> Available at: </w:t>
      </w:r>
      <w:hyperlink r:id="rId18">
        <w:r w:rsidRPr="001E33F8">
          <w:rPr>
            <w:color w:val="auto"/>
            <w:u w:val="single"/>
          </w:rPr>
          <w:t>https://www.tata.com/newsroom/business/tata-steel-sustainable-aalingana</w:t>
        </w:r>
      </w:hyperlink>
      <w:r w:rsidRPr="001E33F8">
        <w:rPr>
          <w:color w:val="auto"/>
        </w:rPr>
        <w:t xml:space="preserve"> [Accessed: 1</w:t>
      </w:r>
      <w:r w:rsidR="000E745D">
        <w:rPr>
          <w:color w:val="auto"/>
        </w:rPr>
        <w:t>6</w:t>
      </w:r>
      <w:r w:rsidRPr="001E33F8">
        <w:rPr>
          <w:color w:val="auto"/>
        </w:rPr>
        <w:t xml:space="preserve"> July 2026]</w:t>
      </w:r>
    </w:p>
    <w:p w14:paraId="23F1D797" w14:textId="6D07D270" w:rsidR="00280DDA" w:rsidRPr="001E33F8" w:rsidRDefault="009814C7">
      <w:pPr>
        <w:spacing w:after="0"/>
        <w:rPr>
          <w:color w:val="auto"/>
        </w:rPr>
      </w:pPr>
      <w:r w:rsidRPr="001E33F8">
        <w:rPr>
          <w:color w:val="auto"/>
        </w:rPr>
        <w:t xml:space="preserve">Tata Steel (2026). </w:t>
      </w:r>
      <w:r w:rsidRPr="001E33F8">
        <w:rPr>
          <w:i/>
          <w:iCs/>
          <w:color w:val="auto"/>
        </w:rPr>
        <w:t>History.</w:t>
      </w:r>
      <w:r w:rsidRPr="001E33F8">
        <w:rPr>
          <w:color w:val="auto"/>
        </w:rPr>
        <w:t xml:space="preserve"> Available at: </w:t>
      </w:r>
      <w:hyperlink r:id="rId19">
        <w:r w:rsidRPr="001E33F8">
          <w:rPr>
            <w:color w:val="auto"/>
            <w:u w:val="single"/>
          </w:rPr>
          <w:t>https://www.tatasteel.com/rnd/about-us/history.asp</w:t>
        </w:r>
      </w:hyperlink>
      <w:r w:rsidRPr="001E33F8">
        <w:rPr>
          <w:color w:val="auto"/>
        </w:rPr>
        <w:t xml:space="preserve"> [Accessed: 1</w:t>
      </w:r>
      <w:r w:rsidR="000E745D">
        <w:rPr>
          <w:color w:val="auto"/>
        </w:rPr>
        <w:t>6</w:t>
      </w:r>
      <w:r w:rsidRPr="001E33F8">
        <w:rPr>
          <w:color w:val="auto"/>
        </w:rPr>
        <w:t xml:space="preserve"> July 2026]</w:t>
      </w:r>
    </w:p>
    <w:p w14:paraId="0FE86F2F" w14:textId="20348219" w:rsidR="00280DDA" w:rsidRPr="001E33F8" w:rsidRDefault="009814C7">
      <w:pPr>
        <w:spacing w:after="0"/>
        <w:rPr>
          <w:color w:val="auto"/>
        </w:rPr>
      </w:pPr>
      <w:r w:rsidRPr="001E33F8">
        <w:rPr>
          <w:color w:val="auto"/>
        </w:rPr>
        <w:t xml:space="preserve">Tata Steel (2026). </w:t>
      </w:r>
      <w:r w:rsidRPr="001E33F8">
        <w:rPr>
          <w:i/>
          <w:iCs/>
          <w:color w:val="auto"/>
        </w:rPr>
        <w:t>Tata Steel.</w:t>
      </w:r>
      <w:r w:rsidRPr="001E33F8">
        <w:rPr>
          <w:color w:val="auto"/>
        </w:rPr>
        <w:t xml:space="preserve"> Available at: </w:t>
      </w:r>
      <w:hyperlink r:id="rId20">
        <w:r w:rsidRPr="001E33F8">
          <w:rPr>
            <w:color w:val="auto"/>
            <w:u w:val="single"/>
          </w:rPr>
          <w:t>https://www.tatasteel.com/</w:t>
        </w:r>
      </w:hyperlink>
      <w:r w:rsidRPr="001E33F8">
        <w:rPr>
          <w:color w:val="auto"/>
        </w:rPr>
        <w:t xml:space="preserve"> [Accessed: 1</w:t>
      </w:r>
      <w:r w:rsidR="000E745D">
        <w:rPr>
          <w:color w:val="auto"/>
        </w:rPr>
        <w:t>7</w:t>
      </w:r>
      <w:r w:rsidRPr="001E33F8">
        <w:rPr>
          <w:color w:val="auto"/>
        </w:rPr>
        <w:t xml:space="preserve"> July 2026]</w:t>
      </w:r>
    </w:p>
    <w:p w14:paraId="62FE21CF" w14:textId="4CB686BE" w:rsidR="00280DDA" w:rsidRPr="001E33F8" w:rsidRDefault="009814C7">
      <w:pPr>
        <w:spacing w:after="0"/>
        <w:rPr>
          <w:color w:val="auto"/>
        </w:rPr>
      </w:pPr>
      <w:r w:rsidRPr="001E33F8">
        <w:rPr>
          <w:color w:val="auto"/>
        </w:rPr>
        <w:t xml:space="preserve">Tata Steel (2026). </w:t>
      </w:r>
      <w:r w:rsidRPr="001E33F8">
        <w:rPr>
          <w:i/>
          <w:iCs/>
          <w:color w:val="auto"/>
        </w:rPr>
        <w:t xml:space="preserve">Vision, Mission &amp; Values. </w:t>
      </w:r>
      <w:r w:rsidRPr="001E33F8">
        <w:rPr>
          <w:color w:val="auto"/>
        </w:rPr>
        <w:t xml:space="preserve">Available at: </w:t>
      </w:r>
      <w:hyperlink r:id="rId21">
        <w:r w:rsidRPr="001E33F8">
          <w:rPr>
            <w:color w:val="auto"/>
            <w:u w:val="single"/>
          </w:rPr>
          <w:t>https://www.tatasteel.com/corporate/our-organisation/vision-mission-values/</w:t>
        </w:r>
      </w:hyperlink>
      <w:r w:rsidRPr="001E33F8">
        <w:rPr>
          <w:color w:val="auto"/>
        </w:rPr>
        <w:t xml:space="preserve"> [Accessed: 1</w:t>
      </w:r>
      <w:r w:rsidR="000E745D">
        <w:rPr>
          <w:color w:val="auto"/>
        </w:rPr>
        <w:t>7</w:t>
      </w:r>
      <w:r w:rsidRPr="001E33F8">
        <w:rPr>
          <w:color w:val="auto"/>
        </w:rPr>
        <w:t xml:space="preserve"> July 2026]</w:t>
      </w:r>
    </w:p>
    <w:p w14:paraId="4A63E3D5" w14:textId="3F5343A8" w:rsidR="00280DDA" w:rsidRPr="001E33F8" w:rsidRDefault="009814C7">
      <w:pPr>
        <w:rPr>
          <w:color w:val="auto"/>
        </w:rPr>
      </w:pPr>
      <w:r w:rsidRPr="001E33F8">
        <w:rPr>
          <w:color w:val="auto"/>
        </w:rPr>
        <w:t xml:space="preserve">tatasteel, (2026) </w:t>
      </w:r>
      <w:r w:rsidRPr="001E33F8">
        <w:rPr>
          <w:i/>
          <w:iCs/>
          <w:color w:val="auto"/>
        </w:rPr>
        <w:t>investors</w:t>
      </w:r>
      <w:r w:rsidRPr="001E33F8">
        <w:rPr>
          <w:color w:val="auto"/>
        </w:rPr>
        <w:t xml:space="preserve"> available at: </w:t>
      </w:r>
      <w:hyperlink r:id="rId22">
        <w:r w:rsidRPr="001E33F8">
          <w:rPr>
            <w:color w:val="auto"/>
            <w:u w:val="single"/>
          </w:rPr>
          <w:t>https://www.tatasteel.com/investors/integrated-report-2024-25/esg-goals.html</w:t>
        </w:r>
      </w:hyperlink>
      <w:r w:rsidRPr="001E33F8">
        <w:rPr>
          <w:color w:val="auto"/>
        </w:rPr>
        <w:t xml:space="preserve"> [Accessed: </w:t>
      </w:r>
      <w:r w:rsidR="000E745D">
        <w:rPr>
          <w:color w:val="auto"/>
        </w:rPr>
        <w:t xml:space="preserve">18 </w:t>
      </w:r>
      <w:r w:rsidRPr="001E33F8">
        <w:rPr>
          <w:color w:val="auto"/>
        </w:rPr>
        <w:t>July 2026]</w:t>
      </w:r>
    </w:p>
    <w:p w14:paraId="75282FDA" w14:textId="77777777" w:rsidR="00280DDA" w:rsidRPr="001E33F8" w:rsidRDefault="009814C7">
      <w:pPr>
        <w:rPr>
          <w:color w:val="auto"/>
        </w:rPr>
      </w:pPr>
      <w:r w:rsidRPr="001E33F8">
        <w:rPr>
          <w:color w:val="auto"/>
        </w:rPr>
        <w:t xml:space="preserve">Wang, X., Chen, Y., Dong, Y., Zhang, T. and Shi, B., (2025). How does environmental regulation impact low-carbon transition? Evidence from China’s iron and steel industry. </w:t>
      </w:r>
      <w:r w:rsidRPr="001E33F8">
        <w:rPr>
          <w:i/>
          <w:iCs/>
          <w:color w:val="auto"/>
        </w:rPr>
        <w:t>Annals of Operations Research</w:t>
      </w:r>
      <w:r w:rsidRPr="001E33F8">
        <w:rPr>
          <w:color w:val="auto"/>
        </w:rPr>
        <w:t xml:space="preserve">, </w:t>
      </w:r>
      <w:r w:rsidRPr="001E33F8">
        <w:rPr>
          <w:i/>
          <w:iCs/>
          <w:color w:val="auto"/>
        </w:rPr>
        <w:t>345</w:t>
      </w:r>
      <w:r w:rsidRPr="001E33F8">
        <w:rPr>
          <w:color w:val="auto"/>
        </w:rPr>
        <w:t>(2), pp.637-663.</w:t>
      </w:r>
    </w:p>
    <w:p w14:paraId="21C0B75B" w14:textId="0BD6E5E3" w:rsidR="00280DDA" w:rsidRPr="001E33F8" w:rsidRDefault="009814C7">
      <w:pPr>
        <w:spacing w:after="0"/>
        <w:rPr>
          <w:color w:val="auto"/>
        </w:rPr>
      </w:pPr>
      <w:r w:rsidRPr="001E33F8">
        <w:rPr>
          <w:color w:val="auto"/>
        </w:rPr>
        <w:t xml:space="preserve">WIPO (2026). </w:t>
      </w:r>
      <w:r w:rsidRPr="001E33F8">
        <w:rPr>
          <w:i/>
          <w:iCs/>
          <w:color w:val="auto"/>
        </w:rPr>
        <w:t>Global Innovation Tracker Dashboard.</w:t>
      </w:r>
      <w:r w:rsidRPr="001E33F8">
        <w:rPr>
          <w:color w:val="auto"/>
        </w:rPr>
        <w:t xml:space="preserve"> Available at: </w:t>
      </w:r>
      <w:hyperlink r:id="rId23">
        <w:r w:rsidRPr="001E33F8">
          <w:rPr>
            <w:color w:val="auto"/>
            <w:u w:val="single"/>
          </w:rPr>
          <w:t>https://www.wipo.int/web-publications/global-innovation-index-2025/en/global-innovation-tracker.html</w:t>
        </w:r>
      </w:hyperlink>
      <w:r w:rsidRPr="001E33F8">
        <w:rPr>
          <w:color w:val="auto"/>
        </w:rPr>
        <w:t xml:space="preserve"> [Accessed: </w:t>
      </w:r>
      <w:r w:rsidR="000E745D">
        <w:rPr>
          <w:color w:val="auto"/>
        </w:rPr>
        <w:t>20</w:t>
      </w:r>
      <w:r w:rsidRPr="001E33F8">
        <w:rPr>
          <w:color w:val="auto"/>
        </w:rPr>
        <w:t xml:space="preserve"> July 2026]</w:t>
      </w:r>
    </w:p>
    <w:sectPr w:rsidR="00280DDA" w:rsidRPr="001E33F8" w:rsidSect="00C72226">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3C448" w14:textId="77777777" w:rsidR="00723751" w:rsidRDefault="00723751">
      <w:pPr>
        <w:spacing w:before="0" w:after="0" w:line="240" w:lineRule="auto"/>
      </w:pPr>
      <w:r>
        <w:separator/>
      </w:r>
    </w:p>
  </w:endnote>
  <w:endnote w:type="continuationSeparator" w:id="0">
    <w:p w14:paraId="1DE448AB" w14:textId="77777777" w:rsidR="00723751" w:rsidRDefault="0072375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B7D10F54-435E-4ABB-BE17-309674DBB7A4}"/>
  </w:font>
  <w:font w:name="Tahoma">
    <w:panose1 w:val="020B0604030504040204"/>
    <w:charset w:val="00"/>
    <w:family w:val="swiss"/>
    <w:pitch w:val="variable"/>
    <w:sig w:usb0="E1002EFF" w:usb1="C000605B" w:usb2="00000029" w:usb3="00000000" w:csb0="000101FF" w:csb1="00000000"/>
    <w:embedRegular r:id="rId2" w:fontKey="{E2F3B4F9-88AA-4D0B-946A-98ACAF212D84}"/>
  </w:font>
  <w:font w:name="Calibri">
    <w:panose1 w:val="020F0502020204030204"/>
    <w:charset w:val="00"/>
    <w:family w:val="swiss"/>
    <w:pitch w:val="variable"/>
    <w:sig w:usb0="E4002EFF" w:usb1="C200247B" w:usb2="00000009" w:usb3="00000000" w:csb0="000001FF" w:csb1="00000000"/>
    <w:embedRegular r:id="rId3" w:fontKey="{6C93F765-E6A8-43D0-8A33-D658DC11EF66}"/>
  </w:font>
  <w:font w:name="Cambria">
    <w:panose1 w:val="02040503050406030204"/>
    <w:charset w:val="00"/>
    <w:family w:val="roman"/>
    <w:pitch w:val="variable"/>
    <w:sig w:usb0="E00006FF" w:usb1="420024FF" w:usb2="02000000" w:usb3="00000000" w:csb0="0000019F" w:csb1="00000000"/>
    <w:embedRegular r:id="rId4" w:fontKey="{E13445E1-8991-4196-84D6-8623A20C3A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9A5E6" w14:textId="77777777" w:rsidR="00280DDA" w:rsidRDefault="009814C7">
    <w:pPr>
      <w:jc w:val="right"/>
    </w:pPr>
    <w:r>
      <w:fldChar w:fldCharType="begin"/>
    </w:r>
    <w:r>
      <w:instrText>PAGE</w:instrText>
    </w:r>
    <w:r>
      <w:fldChar w:fldCharType="separate"/>
    </w:r>
    <w:r w:rsidR="0006167F">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EAF05" w14:textId="77777777" w:rsidR="00723751" w:rsidRDefault="00723751">
      <w:pPr>
        <w:spacing w:before="0" w:after="0" w:line="240" w:lineRule="auto"/>
      </w:pPr>
      <w:r>
        <w:separator/>
      </w:r>
    </w:p>
  </w:footnote>
  <w:footnote w:type="continuationSeparator" w:id="0">
    <w:p w14:paraId="61478BE3" w14:textId="77777777" w:rsidR="00723751" w:rsidRDefault="0072375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DDA"/>
    <w:rsid w:val="0006167F"/>
    <w:rsid w:val="000E745D"/>
    <w:rsid w:val="001E33F8"/>
    <w:rsid w:val="00280DDA"/>
    <w:rsid w:val="00294879"/>
    <w:rsid w:val="004909EB"/>
    <w:rsid w:val="006B0B00"/>
    <w:rsid w:val="00723751"/>
    <w:rsid w:val="0075014E"/>
    <w:rsid w:val="0075795A"/>
    <w:rsid w:val="00845136"/>
    <w:rsid w:val="00880DF3"/>
    <w:rsid w:val="009814C7"/>
    <w:rsid w:val="00B16DA9"/>
    <w:rsid w:val="00C72226"/>
    <w:rsid w:val="00CC203A"/>
    <w:rsid w:val="00D672F5"/>
    <w:rsid w:val="00D84DE7"/>
    <w:rsid w:val="00F66F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258F0"/>
  <w15:docId w15:val="{33DE9F9C-E091-48E3-B461-140C2F63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222222"/>
        <w:sz w:val="24"/>
        <w:szCs w:val="24"/>
        <w:lang w:val="en-IN" w:eastAsia="en-IN" w:bidi="ar-SA"/>
      </w:rPr>
    </w:rPrDefault>
    <w:pPrDefault>
      <w:pPr>
        <w:spacing w:before="48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75014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14E"/>
    <w:rPr>
      <w:rFonts w:ascii="Tahoma" w:hAnsi="Tahoma" w:cs="Tahoma"/>
      <w:sz w:val="16"/>
      <w:szCs w:val="16"/>
    </w:rPr>
  </w:style>
  <w:style w:type="paragraph" w:styleId="TOC1">
    <w:name w:val="toc 1"/>
    <w:basedOn w:val="Normal"/>
    <w:next w:val="Normal"/>
    <w:autoRedefine/>
    <w:uiPriority w:val="39"/>
    <w:unhideWhenUsed/>
    <w:rsid w:val="000E745D"/>
    <w:pPr>
      <w:spacing w:after="100"/>
    </w:pPr>
  </w:style>
  <w:style w:type="paragraph" w:styleId="TOC2">
    <w:name w:val="toc 2"/>
    <w:basedOn w:val="Normal"/>
    <w:next w:val="Normal"/>
    <w:autoRedefine/>
    <w:uiPriority w:val="39"/>
    <w:unhideWhenUsed/>
    <w:rsid w:val="000E745D"/>
    <w:pPr>
      <w:spacing w:after="100"/>
      <w:ind w:left="240"/>
    </w:pPr>
  </w:style>
  <w:style w:type="paragraph" w:styleId="TOC3">
    <w:name w:val="toc 3"/>
    <w:basedOn w:val="Normal"/>
    <w:next w:val="Normal"/>
    <w:autoRedefine/>
    <w:uiPriority w:val="39"/>
    <w:unhideWhenUsed/>
    <w:rsid w:val="000E745D"/>
    <w:pPr>
      <w:spacing w:after="100"/>
      <w:ind w:left="480"/>
    </w:pPr>
  </w:style>
  <w:style w:type="character" w:styleId="Hyperlink">
    <w:name w:val="Hyperlink"/>
    <w:basedOn w:val="DefaultParagraphFont"/>
    <w:uiPriority w:val="99"/>
    <w:unhideWhenUsed/>
    <w:rsid w:val="000E74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ata.com/newsroom/business/tata-steel-sustainable-aalingan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atasteel.com/corporate/our-organisation/vision-mission-valu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tatasteel.com/investors/integrated-report-2023-24/climate-change-report.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tasteel.com/media/25904/tatasteel-iar-2025-26.pdf" TargetMode="External"/><Relationship Id="rId20" Type="http://schemas.openxmlformats.org/officeDocument/2006/relationships/hyperlink" Target="https://www.tatasteel.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tatista.com/chart/19091/tata-group-market-caps/?srsltid=AfmBOopqxN-YOuy8keQimI8G4H8ygiNvKD7J94Ogh0wP8RcOe54zkY3c" TargetMode="External"/><Relationship Id="rId23" Type="http://schemas.openxmlformats.org/officeDocument/2006/relationships/hyperlink" Target="https://www.wipo.int/web-publications/global-innovation-index-2025/en/global-innovation-tracker.html" TargetMode="External"/><Relationship Id="rId10" Type="http://schemas.openxmlformats.org/officeDocument/2006/relationships/image" Target="media/image4.png"/><Relationship Id="rId19" Type="http://schemas.openxmlformats.org/officeDocument/2006/relationships/hyperlink" Target="https://www.tatasteel.com/rnd/about-us/history.as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mf.org/en/publications/weo" TargetMode="External"/><Relationship Id="rId22" Type="http://schemas.openxmlformats.org/officeDocument/2006/relationships/hyperlink" Target="https://www.tatasteel.com/investors/integrated-report-2024-25/esg-goals.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FNU1dQey40AXbNqlfn8sYW36Mw==">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3783</Words>
  <Characters>21567</Characters>
  <Application>Microsoft Office Word</Application>
  <DocSecurity>0</DocSecurity>
  <Lines>179</Lines>
  <Paragraphs>50</Paragraphs>
  <ScaleCrop>false</ScaleCrop>
  <Company>home</Company>
  <LinksUpToDate>false</LinksUpToDate>
  <CharactersWithSpaces>25300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Adduru Divya</cp:lastModifiedBy>
  <cp:revision>4</cp:revision>
  <cp:lastPrinted>2026-07-23T10:30:00Z</cp:lastPrinted>
  <dcterms:created xsi:type="dcterms:W3CDTF">2026-07-23T10:32:00Z</dcterms:created>
  <dcterms:modified xsi:type="dcterms:W3CDTF">2026-07-23T10:33:00Z</dcterms:modified>
</cp:coreProperties>
</file>