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00D0CF" w14:textId="4D84AB32" w:rsidR="00BB7E98" w:rsidRDefault="00BB7E98">
      <w:r>
        <w:t>This report is going to reflect on a teaching experience where I have worked with someone who has dyslexia. I am going to document some of the existing research into dyslexia and use the Gibbs reflective cycle</w:t>
      </w:r>
      <w:r w:rsidR="00406A60">
        <w:t xml:space="preserve"> (</w:t>
      </w:r>
      <w:r w:rsidR="00406A60" w:rsidRPr="00571F34">
        <w:t>Gibbs, G. 1988). </w:t>
      </w:r>
      <w:r>
        <w:t xml:space="preserve">to reflect on this experience. </w:t>
      </w:r>
    </w:p>
    <w:p w14:paraId="570BAC51" w14:textId="173D17EE" w:rsidR="009F1DA3" w:rsidRDefault="00BB7E98">
      <w:r>
        <w:t xml:space="preserve">I have worked with many individuals within my role, and this has included </w:t>
      </w:r>
      <w:r w:rsidR="00DC21D8">
        <w:t xml:space="preserve">working with </w:t>
      </w:r>
      <w:r>
        <w:t xml:space="preserve">those who have </w:t>
      </w:r>
      <w:r w:rsidR="00DC21D8">
        <w:t>additional learning needs</w:t>
      </w:r>
      <w:r>
        <w:t>. These can range from those with attention deficit hyperactivity disorder</w:t>
      </w:r>
      <w:r w:rsidR="00773DFE">
        <w:t xml:space="preserve"> (ADHD)</w:t>
      </w:r>
      <w:r>
        <w:t>, autism</w:t>
      </w:r>
      <w:r w:rsidR="006D3CCD">
        <w:t xml:space="preserve"> </w:t>
      </w:r>
      <w:r>
        <w:t>and dyslexia. Many of these conditions are categorised as a disability and therefor</w:t>
      </w:r>
      <w:r w:rsidR="009F1DA3">
        <w:t xml:space="preserve">e included within the </w:t>
      </w:r>
      <w:r w:rsidR="006D3CCD">
        <w:t>E</w:t>
      </w:r>
      <w:r w:rsidR="009F1DA3">
        <w:t xml:space="preserve">quality </w:t>
      </w:r>
      <w:r w:rsidR="006D3CCD">
        <w:t>A</w:t>
      </w:r>
      <w:r w:rsidR="009F1DA3">
        <w:t>ct 2010. The act defines a disability as ‘</w:t>
      </w:r>
      <w:r w:rsidR="009F1DA3" w:rsidRPr="009F1DA3">
        <w:t>a physical or mental impairment that has a ‘substantial’ and ‘long-term’ negative effect on your ability to do normal daily activities</w:t>
      </w:r>
      <w:r w:rsidR="009F1DA3">
        <w:t>’ (Gov.uk, 2004). Therefore, it is a lawful requirement for organisations to not discriminate against individuals who have conditions like those noted above</w:t>
      </w:r>
      <w:r w:rsidR="00773DFE">
        <w:t xml:space="preserve"> and a </w:t>
      </w:r>
      <w:r w:rsidR="009F1DA3">
        <w:t xml:space="preserve">requirement for adjustments to be implemented provided they are reasonable. </w:t>
      </w:r>
      <w:r w:rsidR="00773DFE">
        <w:t xml:space="preserve">If organisations do not comply with the law, they maybe required to pay large sums of money within employment tribunals and morally should support their staff. </w:t>
      </w:r>
    </w:p>
    <w:p w14:paraId="3E4331F6" w14:textId="2B177212" w:rsidR="005675C1" w:rsidRDefault="009F1DA3">
      <w:r>
        <w:t>Additionally, w</w:t>
      </w:r>
      <w:r w:rsidR="00DC21D8">
        <w:t xml:space="preserve">ithin my organisation, there is an ongoing pledge </w:t>
      </w:r>
      <w:r>
        <w:t xml:space="preserve">set out by our chief officers </w:t>
      </w:r>
      <w:r w:rsidR="00DC21D8">
        <w:t xml:space="preserve">for us to be representative of the communities in which we serve and means we </w:t>
      </w:r>
      <w:r w:rsidR="006D3CCD">
        <w:t xml:space="preserve">actively aim to </w:t>
      </w:r>
      <w:r w:rsidR="00DC21D8">
        <w:t xml:space="preserve">recruit those who have additional learning needs such as dyslexia. </w:t>
      </w:r>
      <w:r>
        <w:t>However, even if this pledge did not exist</w:t>
      </w:r>
      <w:r w:rsidR="006D3CCD">
        <w:t>, it</w:t>
      </w:r>
      <w:r>
        <w:t xml:space="preserve"> </w:t>
      </w:r>
      <w:r w:rsidR="006D3CCD">
        <w:t>h</w:t>
      </w:r>
      <w:r w:rsidR="00DC21D8">
        <w:t xml:space="preserve">as </w:t>
      </w:r>
      <w:r w:rsidR="006D3CCD">
        <w:t xml:space="preserve">been </w:t>
      </w:r>
      <w:r w:rsidR="00DC21D8">
        <w:t xml:space="preserve">documented by Knight 2018, </w:t>
      </w:r>
      <w:r w:rsidR="006D3CCD">
        <w:t xml:space="preserve">that </w:t>
      </w:r>
      <w:r w:rsidR="00DC21D8">
        <w:t xml:space="preserve">approximately 5-10% of the overall population have dyslexia meaning the likelihood of me working with someone with dyslexia is high. </w:t>
      </w:r>
    </w:p>
    <w:p w14:paraId="78EB5C7A" w14:textId="2FDE5858" w:rsidR="00484984" w:rsidRDefault="00773DFE" w:rsidP="002E6524">
      <w:r>
        <w:t xml:space="preserve">Whilst working within learning and development within my organisation, I </w:t>
      </w:r>
      <w:r w:rsidR="006D3CCD">
        <w:t>supported</w:t>
      </w:r>
      <w:r>
        <w:t xml:space="preserve"> an individual who was significantly impacted by dyslexia and recently joined the police service. </w:t>
      </w:r>
      <w:r w:rsidR="006D3CCD">
        <w:t>I</w:t>
      </w:r>
      <w:r>
        <w:t>t is not easy to just define someone as dyslexic as there</w:t>
      </w:r>
      <w:r w:rsidR="00FE7EB1">
        <w:t xml:space="preserve"> are many different definitions within academic literature. A report was conducted by the Welsh government and found 11 different definitions of dyslexia consisting of different elements. One element however that was constant throughout, was relating to individuals having challenges with literacy </w:t>
      </w:r>
      <w:r w:rsidR="00FE7EB1" w:rsidRPr="00FE7EB1">
        <w:t>(</w:t>
      </w:r>
      <w:proofErr w:type="spellStart"/>
      <w:r w:rsidR="00FE7EB1" w:rsidRPr="00FE7EB1">
        <w:t>Caravolas</w:t>
      </w:r>
      <w:proofErr w:type="spellEnd"/>
      <w:r w:rsidR="00FE7EB1" w:rsidRPr="00FE7EB1">
        <w:t xml:space="preserve">, </w:t>
      </w:r>
      <w:r w:rsidR="00FE7EB1" w:rsidRPr="00FE7EB1">
        <w:rPr>
          <w:i/>
          <w:iCs/>
        </w:rPr>
        <w:t xml:space="preserve">et al </w:t>
      </w:r>
      <w:r w:rsidR="00FE7EB1" w:rsidRPr="00FE7EB1">
        <w:t>2012).</w:t>
      </w:r>
      <w:r w:rsidR="00FE7EB1">
        <w:t xml:space="preserve"> </w:t>
      </w:r>
    </w:p>
    <w:p w14:paraId="66713FC7" w14:textId="55B91B90" w:rsidR="00484984" w:rsidRDefault="00FE7EB1" w:rsidP="002E6524">
      <w:r>
        <w:t>The British Dyslexia Association have adopted the definition that it is a ‘learning difficulty’ affecting skills linked to ‘fluent word reading and spelling’. It further defines person</w:t>
      </w:r>
      <w:r w:rsidR="00484984">
        <w:t>s</w:t>
      </w:r>
      <w:r>
        <w:t xml:space="preserve"> with dyslexia having difficulties with ‘verbal memory and processing skills’ as well as</w:t>
      </w:r>
      <w:r w:rsidR="002E6524">
        <w:t xml:space="preserve"> issues with</w:t>
      </w:r>
      <w:r>
        <w:t xml:space="preserve"> motor co-</w:t>
      </w:r>
      <w:r w:rsidR="002E6524">
        <w:t xml:space="preserve">ordination, concentration and personal organisation </w:t>
      </w:r>
      <w:r w:rsidR="002E6524" w:rsidRPr="002E6524">
        <w:t>(British Dyslexia Association, 2010)</w:t>
      </w:r>
      <w:r w:rsidR="002E6524">
        <w:t xml:space="preserve">. </w:t>
      </w:r>
      <w:r w:rsidR="006D3CCD">
        <w:t>Using this definition and relating it back to the student I was supporting, it was clear they had some</w:t>
      </w:r>
      <w:r w:rsidR="00484984">
        <w:t xml:space="preserve"> of the traits </w:t>
      </w:r>
      <w:r w:rsidR="006D3CCD">
        <w:t xml:space="preserve">mentioned above. </w:t>
      </w:r>
      <w:r w:rsidR="00484984">
        <w:t xml:space="preserve">When speaking to the student over </w:t>
      </w:r>
      <w:proofErr w:type="gramStart"/>
      <w:r w:rsidR="00484984">
        <w:t>a period</w:t>
      </w:r>
      <w:r w:rsidR="006D3CCD">
        <w:t xml:space="preserve"> of time</w:t>
      </w:r>
      <w:proofErr w:type="gramEnd"/>
      <w:r w:rsidR="00484984">
        <w:t>, you could observe their concentration deteriorating as they became less responsive as time went on. Furthermore, they were a lot slower than other</w:t>
      </w:r>
      <w:r w:rsidR="006D3CCD">
        <w:t>s</w:t>
      </w:r>
      <w:r w:rsidR="00484984">
        <w:t xml:space="preserve"> when it came to processing information and documenting it on the relevant systems</w:t>
      </w:r>
      <w:r w:rsidR="006D3CCD">
        <w:t>. This became evident when they</w:t>
      </w:r>
      <w:r w:rsidR="00484984">
        <w:t xml:space="preserve"> kept asking questions around topics we had already discussed</w:t>
      </w:r>
      <w:r w:rsidR="006D3CCD">
        <w:t xml:space="preserve"> not too long ago. </w:t>
      </w:r>
    </w:p>
    <w:p w14:paraId="06A74574" w14:textId="725593BA" w:rsidR="002E6524" w:rsidRDefault="002E6524" w:rsidP="002E6524">
      <w:r>
        <w:t xml:space="preserve">It has been suggested that dyslexia </w:t>
      </w:r>
      <w:proofErr w:type="gramStart"/>
      <w:r>
        <w:t>is</w:t>
      </w:r>
      <w:proofErr w:type="gramEnd"/>
      <w:r>
        <w:t xml:space="preserve"> based off an continuum with individuals being impacted differently </w:t>
      </w:r>
      <w:r w:rsidRPr="002E6524">
        <w:t>(British Dyslexia Association, 2010</w:t>
      </w:r>
      <w:r>
        <w:t xml:space="preserve">; </w:t>
      </w:r>
      <w:r w:rsidRPr="002E6524">
        <w:t>Riddick, 2001)</w:t>
      </w:r>
      <w:r>
        <w:t xml:space="preserve">. Furthermore, it has also been noted that dyslexic individuals also have difficulties with visual and auditory processing and can impact persons with a range of different intellectual </w:t>
      </w:r>
      <w:bookmarkStart w:id="0" w:name="_Hlk183450837"/>
      <w:r>
        <w:t xml:space="preserve">abilities </w:t>
      </w:r>
      <w:r w:rsidRPr="002E6524">
        <w:t>(British Dyslexia Association, 2010</w:t>
      </w:r>
      <w:r>
        <w:t xml:space="preserve">). </w:t>
      </w:r>
      <w:bookmarkEnd w:id="0"/>
      <w:r w:rsidR="00484984">
        <w:t xml:space="preserve">As someone who also has dyslexia, I was conscious of the above in that individuals are impacted differently and </w:t>
      </w:r>
      <w:proofErr w:type="gramStart"/>
      <w:r w:rsidR="00484984">
        <w:t>made an effort</w:t>
      </w:r>
      <w:proofErr w:type="gramEnd"/>
      <w:r w:rsidR="00484984">
        <w:t xml:space="preserve"> to not </w:t>
      </w:r>
      <w:r w:rsidR="00960A2E">
        <w:t>predetermine</w:t>
      </w:r>
      <w:r w:rsidR="00484984">
        <w:t xml:space="preserve"> what </w:t>
      </w:r>
      <w:r w:rsidR="006D3CCD">
        <w:t>might be</w:t>
      </w:r>
      <w:r w:rsidR="00484984">
        <w:t xml:space="preserve"> best for this student without first speaking to them personally. </w:t>
      </w:r>
    </w:p>
    <w:p w14:paraId="3A7DCBC0" w14:textId="5FB31456" w:rsidR="00A458ED" w:rsidRDefault="00A458ED" w:rsidP="002E6524">
      <w:r>
        <w:t xml:space="preserve">The causes of dyslexia </w:t>
      </w:r>
      <w:r w:rsidR="006D3CCD">
        <w:t>are</w:t>
      </w:r>
      <w:r>
        <w:t xml:space="preserve"> also widely disputed but has been documented by the American Brain Foundation as being linked to inherited genes and other factors such as premature birth, </w:t>
      </w:r>
      <w:r>
        <w:lastRenderedPageBreak/>
        <w:t xml:space="preserve">low birth weight or ‘being exposed to substances during gestation’ impacting the development of the brain (American Brain Foundation, 2024). However, it has been noted that the specifics of these are unclear but that </w:t>
      </w:r>
      <w:r w:rsidR="006D3CCD">
        <w:t xml:space="preserve">dyslexia </w:t>
      </w:r>
      <w:proofErr w:type="gramStart"/>
      <w:r w:rsidR="006D3CCD">
        <w:t>is</w:t>
      </w:r>
      <w:proofErr w:type="gramEnd"/>
      <w:r w:rsidR="006D3CCD">
        <w:t xml:space="preserve"> </w:t>
      </w:r>
      <w:r>
        <w:t>linked to brain structure. Reading and</w:t>
      </w:r>
      <w:r w:rsidR="00484984">
        <w:t xml:space="preserve"> </w:t>
      </w:r>
      <w:r>
        <w:t xml:space="preserve">information processing </w:t>
      </w:r>
      <w:r w:rsidR="00A53A1D">
        <w:t xml:space="preserve">are </w:t>
      </w:r>
      <w:r>
        <w:t xml:space="preserve">very complex </w:t>
      </w:r>
      <w:r w:rsidR="00A53A1D">
        <w:t xml:space="preserve">processes </w:t>
      </w:r>
      <w:r>
        <w:t>within the brain and dyslexia could be linked to small variations in how information is moved between regions of the brain, across the left hemisphere of the brain (American Brain Foundation, 2024).</w:t>
      </w:r>
    </w:p>
    <w:p w14:paraId="7BBEE579" w14:textId="1B62DB6F" w:rsidR="00A53A1D" w:rsidRDefault="00A458ED" w:rsidP="002E6524">
      <w:r>
        <w:t xml:space="preserve">There is no ‘cure’ as such for dyslexia </w:t>
      </w:r>
      <w:r w:rsidR="00EF11FF">
        <w:t>and no ‘medical intervention’ is required</w:t>
      </w:r>
      <w:r w:rsidR="00A53A1D">
        <w:t xml:space="preserve"> (American Brain Foundation, 2024)</w:t>
      </w:r>
      <w:r w:rsidR="00EF11FF">
        <w:t xml:space="preserve">. However, </w:t>
      </w:r>
      <w:r w:rsidR="00733D48">
        <w:t>to</w:t>
      </w:r>
      <w:r w:rsidR="00EF11FF">
        <w:t xml:space="preserve"> overcome the challenges</w:t>
      </w:r>
      <w:r w:rsidR="00A53A1D">
        <w:t xml:space="preserve"> it has been documented that </w:t>
      </w:r>
      <w:r w:rsidR="00C6466B">
        <w:t>alterations in teaching styles and methods of learning can be incorporated to meet the individuals needs</w:t>
      </w:r>
      <w:r w:rsidR="00733D48">
        <w:t xml:space="preserve"> </w:t>
      </w:r>
      <w:hyperlink r:id="rId4" w:anchor="bibr37-15257401241275900" w:history="1">
        <w:proofErr w:type="spellStart"/>
        <w:r w:rsidR="00733D48" w:rsidRPr="00733D48">
          <w:t>MacCullagh</w:t>
        </w:r>
        <w:proofErr w:type="spellEnd"/>
        <w:r w:rsidR="00733D48" w:rsidRPr="00733D48">
          <w:t xml:space="preserve"> et al., (2017</w:t>
        </w:r>
      </w:hyperlink>
      <w:r w:rsidR="00733D48">
        <w:t>)</w:t>
      </w:r>
      <w:r w:rsidR="00733D48" w:rsidRPr="00733D48">
        <w:t>; </w:t>
      </w:r>
      <w:proofErr w:type="spellStart"/>
      <w:r w:rsidR="00733D48" w:rsidRPr="00733D48">
        <w:fldChar w:fldCharType="begin"/>
      </w:r>
      <w:r w:rsidR="00733D48" w:rsidRPr="00733D48">
        <w:instrText>HYPERLINK "https://journals-sagepub-com.ezproxy.uwtsd.ac.uk/doi/full/10.1177/15257401241275900" \l "bibr40-15257401241275900"</w:instrText>
      </w:r>
      <w:r w:rsidR="00733D48" w:rsidRPr="00733D48">
        <w:fldChar w:fldCharType="separate"/>
      </w:r>
      <w:r w:rsidR="00733D48" w:rsidRPr="00733D48">
        <w:t>Moojen</w:t>
      </w:r>
      <w:proofErr w:type="spellEnd"/>
      <w:r w:rsidR="00733D48" w:rsidRPr="00733D48">
        <w:t xml:space="preserve"> et al., (2020</w:t>
      </w:r>
      <w:r w:rsidR="00733D48" w:rsidRPr="00733D48">
        <w:fldChar w:fldCharType="end"/>
      </w:r>
      <w:r w:rsidR="00733D48">
        <w:t>)</w:t>
      </w:r>
      <w:r w:rsidR="00733D48" w:rsidRPr="00733D48">
        <w:t>; </w:t>
      </w:r>
      <w:hyperlink r:id="rId5" w:anchor="bibr50-15257401241275900" w:history="1">
        <w:r w:rsidR="00733D48" w:rsidRPr="00733D48">
          <w:t>Richardson, (2021</w:t>
        </w:r>
      </w:hyperlink>
      <w:r w:rsidR="00733D48" w:rsidRPr="00733D48">
        <w:t>)</w:t>
      </w:r>
      <w:r w:rsidR="00C6466B">
        <w:t xml:space="preserve">. </w:t>
      </w:r>
      <w:r w:rsidR="00A53A1D">
        <w:t>This was something that I was keen to incorporate to support this student. Moreover</w:t>
      </w:r>
      <w:r w:rsidR="00C6466B">
        <w:t xml:space="preserve">, </w:t>
      </w:r>
      <w:r w:rsidR="00A53A1D">
        <w:t xml:space="preserve">it has also been documented that </w:t>
      </w:r>
      <w:r w:rsidR="00C6466B">
        <w:t xml:space="preserve">an individual may develop their own coping strategies to help overcome the difficulties they experience </w:t>
      </w:r>
      <w:r w:rsidR="0063191B">
        <w:t xml:space="preserve">and it is important to empower individuals so they address their own needs </w:t>
      </w:r>
      <w:r w:rsidR="0063191B" w:rsidRPr="0063191B">
        <w:t>(</w:t>
      </w:r>
      <w:hyperlink r:id="rId6" w:anchor="bibr13-15257401241275900" w:history="1">
        <w:r w:rsidR="0063191B" w:rsidRPr="0063191B">
          <w:t>Collins &amp; Wolter, 2018</w:t>
        </w:r>
      </w:hyperlink>
      <w:r w:rsidR="0063191B">
        <w:t xml:space="preserve">). </w:t>
      </w:r>
      <w:r w:rsidR="00A53A1D">
        <w:t>Therefore, as soon as I spoke to the student on a 1 to 1 basis</w:t>
      </w:r>
      <w:r w:rsidR="00B847E5">
        <w:t>, I discussed if th</w:t>
      </w:r>
      <w:r w:rsidR="00A53A1D">
        <w:t xml:space="preserve">ey have any strategies or </w:t>
      </w:r>
      <w:r w:rsidR="00293053">
        <w:t xml:space="preserve">prefer any </w:t>
      </w:r>
      <w:proofErr w:type="gramStart"/>
      <w:r w:rsidR="00293053">
        <w:t>particular method</w:t>
      </w:r>
      <w:proofErr w:type="gramEnd"/>
      <w:r w:rsidR="00293053">
        <w:t xml:space="preserve"> of learning. </w:t>
      </w:r>
    </w:p>
    <w:p w14:paraId="3371C536" w14:textId="22B66370" w:rsidR="006370F0" w:rsidRDefault="00293053" w:rsidP="002E6524">
      <w:r>
        <w:t>This was important as i</w:t>
      </w:r>
      <w:r w:rsidR="00733D48">
        <w:t xml:space="preserve">f an </w:t>
      </w:r>
      <w:r w:rsidR="006370F0">
        <w:t>individual’s</w:t>
      </w:r>
      <w:r w:rsidR="00733D48">
        <w:t xml:space="preserve"> needs are not met, as well as potentially being discriminatory, it can be detrimental </w:t>
      </w:r>
      <w:r>
        <w:t>and lead</w:t>
      </w:r>
      <w:r w:rsidR="00733D48">
        <w:t xml:space="preserve"> to psychological and emotional problems (</w:t>
      </w:r>
      <w:proofErr w:type="spellStart"/>
      <w:r w:rsidR="00733D48">
        <w:t>Potard</w:t>
      </w:r>
      <w:proofErr w:type="spellEnd"/>
      <w:r w:rsidR="00733D48">
        <w:t xml:space="preserve"> et al., 2022). This can include low confidence levels and anxiety when faced with activities such</w:t>
      </w:r>
      <w:r w:rsidR="007C6150">
        <w:t xml:space="preserve"> as reading and writing </w:t>
      </w:r>
      <w:r w:rsidR="007C6150" w:rsidRPr="007C6150">
        <w:t> </w:t>
      </w:r>
      <w:r w:rsidR="007C6150">
        <w:t>(</w:t>
      </w:r>
      <w:proofErr w:type="spellStart"/>
      <w:r w:rsidR="007C6150" w:rsidRPr="007C6150">
        <w:fldChar w:fldCharType="begin"/>
      </w:r>
      <w:r w:rsidR="007C6150" w:rsidRPr="007C6150">
        <w:instrText>HYPERLINK "https://journals-sagepub-com.ezproxy.uwtsd.ac.uk/doi/full/10.1177/15257401241275900" \l "bibr40-15257401241275900"</w:instrText>
      </w:r>
      <w:r w:rsidR="007C6150" w:rsidRPr="007C6150">
        <w:fldChar w:fldCharType="separate"/>
      </w:r>
      <w:r w:rsidR="007C6150" w:rsidRPr="007C6150">
        <w:t>Moojen</w:t>
      </w:r>
      <w:proofErr w:type="spellEnd"/>
      <w:r w:rsidR="007C6150" w:rsidRPr="007C6150">
        <w:t xml:space="preserve"> et al.,</w:t>
      </w:r>
      <w:r w:rsidR="007C6150" w:rsidRPr="007C6150">
        <w:fldChar w:fldCharType="end"/>
      </w:r>
      <w:r w:rsidR="007C6150">
        <w:t xml:space="preserve"> 2020). </w:t>
      </w:r>
    </w:p>
    <w:p w14:paraId="69D1C4DB" w14:textId="3A88E4A7" w:rsidR="006370F0" w:rsidRDefault="006370F0" w:rsidP="002E6524">
      <w:r>
        <w:t xml:space="preserve">To support individuals with dyslexia, it requires collaborative working between the individual, and colleagues as well as </w:t>
      </w:r>
      <w:r w:rsidR="003A4793">
        <w:t xml:space="preserve">other </w:t>
      </w:r>
      <w:r>
        <w:t>holistic approaches that is specific to that person (</w:t>
      </w:r>
      <w:r w:rsidRPr="006370F0">
        <w:t>Knight</w:t>
      </w:r>
      <w:r>
        <w:t xml:space="preserve"> et al; 2024; </w:t>
      </w:r>
      <w:hyperlink r:id="rId7" w:anchor="bibr60-15257401241275900" w:history="1">
        <w:r w:rsidRPr="006370F0">
          <w:t>Wagner et al., 2020</w:t>
        </w:r>
      </w:hyperlink>
      <w:r>
        <w:t xml:space="preserve">). </w:t>
      </w:r>
      <w:r w:rsidR="003A4793">
        <w:t>Offering interventions early is also important as it will allow the individual to better understand and adapt their learning in the future meaning the difficulties arising from dyslexia are minimised and the psychological impacts are also minimised (</w:t>
      </w:r>
      <w:hyperlink r:id="rId8" w:anchor="bibr18-15257401241275900" w:history="1">
        <w:r w:rsidR="003A4793" w:rsidRPr="003A4793">
          <w:t>Fallon &amp; Katz, 2020</w:t>
        </w:r>
      </w:hyperlink>
      <w:r w:rsidR="003A4793">
        <w:t>). From this</w:t>
      </w:r>
      <w:r w:rsidR="00B847E5">
        <w:t>,</w:t>
      </w:r>
      <w:r w:rsidR="003A4793">
        <w:t xml:space="preserve"> the student needs to consider what works best for </w:t>
      </w:r>
      <w:r w:rsidR="00293053">
        <w:t xml:space="preserve">them </w:t>
      </w:r>
      <w:r w:rsidR="003A4793">
        <w:t>and may consist of read/writing software or extra time to complete tasks</w:t>
      </w:r>
      <w:r w:rsidR="00293053">
        <w:t>. B</w:t>
      </w:r>
      <w:r w:rsidR="00DE0F5B">
        <w:t>y working with the organisation, it can be ensured that these adjustments are put in place (</w:t>
      </w:r>
      <w:hyperlink r:id="rId9" w:anchor="bibr41-15257401241275900" w:history="1">
        <w:r w:rsidR="00DE0F5B" w:rsidRPr="00DE0F5B">
          <w:t>Olofsson et al., 2012</w:t>
        </w:r>
      </w:hyperlink>
      <w:r w:rsidR="00DE0F5B">
        <w:t>)</w:t>
      </w:r>
      <w:r w:rsidR="00837312">
        <w:t xml:space="preserve">. </w:t>
      </w:r>
    </w:p>
    <w:p w14:paraId="01E50B75" w14:textId="77777777" w:rsidR="004A5CA4" w:rsidRDefault="004A5CA4" w:rsidP="004A5CA4">
      <w:r>
        <w:t xml:space="preserve">However, prior to speaking to the student 1 to 1, I found it challenging to determine how to bring up this subject with the individual as they appeared to demonstrate a limited understanding of dyslexia. But the student was starting to fail within their assessments, and it was reaching a point where they risked being removed from the course due to being unable to pass. Therefore, I have taken it upon myself to discuss with the student during a 1 to 1 about the possible reasons for their underperformance and identify where/why they are struggling. They would take an incredibly long time to complete tasks, and the student was unable to provide a rationale for why they this was happening. </w:t>
      </w:r>
    </w:p>
    <w:p w14:paraId="3F52D9E1" w14:textId="7CE07C97" w:rsidR="004A5CA4" w:rsidRDefault="004A5CA4" w:rsidP="004A5CA4">
      <w:r>
        <w:t>I soon</w:t>
      </w:r>
      <w:r>
        <w:t xml:space="preserve"> discovered that they were not sure what dyslexia was, nor had they ever been diagnosed with it; even though they were displaying signs. The individual was an older person who had not been exposed to any testing whilst in school or college and maybe linked to the formal processes to recognise dyslexia not being undertaken prior to 1984 in the United Kingdom (</w:t>
      </w:r>
      <w:r w:rsidRPr="0018712B">
        <w:t>London, K.C. 2023). </w:t>
      </w:r>
    </w:p>
    <w:p w14:paraId="0B43FAC1" w14:textId="77777777" w:rsidR="004A5CA4" w:rsidRDefault="004A5CA4" w:rsidP="004A5CA4">
      <w:r>
        <w:t xml:space="preserve">Due to lack of recognition prior in the 1980’s, for this generation dyslexia </w:t>
      </w:r>
      <w:proofErr w:type="gramStart"/>
      <w:r>
        <w:t>was</w:t>
      </w:r>
      <w:proofErr w:type="gramEnd"/>
      <w:r>
        <w:t xml:space="preserve"> rather unknown and I was required to provide an element of education to my student around what dyslexia is and how it impacts persons. To aid me in this, I went away and conducted my own research as I was surprised on how little they knew about it, and I wanted to provide the most accurate </w:t>
      </w:r>
      <w:r>
        <w:lastRenderedPageBreak/>
        <w:t xml:space="preserve">information about what dyslexia is. I was conscious about only giving my student information for how dyslexia </w:t>
      </w:r>
      <w:proofErr w:type="gramStart"/>
      <w:r>
        <w:t>affects</w:t>
      </w:r>
      <w:proofErr w:type="gramEnd"/>
      <w:r>
        <w:t xml:space="preserve"> me as I appreciated everyone is impacted differently. </w:t>
      </w:r>
    </w:p>
    <w:p w14:paraId="33486337" w14:textId="3457A4D5" w:rsidR="004A5CA4" w:rsidRDefault="004A5CA4" w:rsidP="002E6524">
      <w:r>
        <w:t>After explaining what dyslexia was and completing additional research, I advised the student to consider if this is what was impacting them and would they be forthcoming for a</w:t>
      </w:r>
      <w:r>
        <w:t>n</w:t>
      </w:r>
      <w:r>
        <w:t xml:space="preserve"> assessment. I have explained the types of reasonable adjustments and coping strategies that can be incorporated into the role they will be undertaking, and by getting a formal diagnosis, they will have access to a lot more support. </w:t>
      </w:r>
    </w:p>
    <w:p w14:paraId="0FF2611E" w14:textId="1AA429D8" w:rsidR="00ED7756" w:rsidRDefault="00105608" w:rsidP="002E6524">
      <w:r>
        <w:t xml:space="preserve">My organisation was providing dyslexia </w:t>
      </w:r>
      <w:r w:rsidR="005A213F">
        <w:t>screening,</w:t>
      </w:r>
      <w:r>
        <w:t xml:space="preserve"> </w:t>
      </w:r>
      <w:r w:rsidR="005A213F">
        <w:t xml:space="preserve">and I asked if my student wishes to undertake this to which they agreed. I have allowed time within our timetable for them to complete the screening and resulted in them being diagnosed with dyslexia. </w:t>
      </w:r>
      <w:r w:rsidR="001F2E53">
        <w:t>From this they were then advised to apply to access to work which is a government led scheme that provides reasonable adjustments such as reading software</w:t>
      </w:r>
      <w:r w:rsidR="00ED7756">
        <w:t xml:space="preserve">. </w:t>
      </w:r>
      <w:r w:rsidR="00D22243">
        <w:t>It was then agreed for time to be allowed for this student to complete the relevant applications forms and have a needs assessment meeting. A report was then created w</w:t>
      </w:r>
      <w:r w:rsidR="00ED7756">
        <w:t>hich</w:t>
      </w:r>
      <w:r w:rsidR="00D22243">
        <w:t xml:space="preserve"> noted all the adjustments the individual was entitled </w:t>
      </w:r>
      <w:r w:rsidR="00D9266B">
        <w:t>too,</w:t>
      </w:r>
      <w:r w:rsidR="00D22243">
        <w:t xml:space="preserve"> and this included additional time (25%) to complete written tasks. </w:t>
      </w:r>
    </w:p>
    <w:p w14:paraId="5AB86921" w14:textId="6DD2F1F3" w:rsidR="002E6524" w:rsidRDefault="00ED7756" w:rsidP="002E6524">
      <w:r>
        <w:t xml:space="preserve">Therefore, when moving forward </w:t>
      </w:r>
      <w:r w:rsidR="00D22243">
        <w:t>I have ensured this student is protected and given time to complete relevant tasks and with the consent of the student, notified our supervisors. Furthermore, the student was provided with software that needed to be downloaded onto their system which would aid them with their work such as a read/write software. Due to the security settings on their computer, the software could not just be uploaded to the computer and that only our IT department were able to resolve this issue. Therefore, I have put the student in contact with the relevant persons to instal</w:t>
      </w:r>
      <w:r w:rsidR="00B15B0D">
        <w:t>l</w:t>
      </w:r>
      <w:r w:rsidR="00D22243">
        <w:t xml:space="preserve"> these programs and then made </w:t>
      </w:r>
      <w:r w:rsidR="004A5CA4">
        <w:t xml:space="preserve">their </w:t>
      </w:r>
      <w:r w:rsidR="00D22243">
        <w:t xml:space="preserve">supervisors aware of the training dates to which the student needed to attend so they could use the new software to the best of their ability. </w:t>
      </w:r>
    </w:p>
    <w:p w14:paraId="4D45C30C" w14:textId="77777777" w:rsidR="004A5CA4" w:rsidRDefault="00D22243" w:rsidP="002E6524">
      <w:r>
        <w:t xml:space="preserve">As the student moved through their </w:t>
      </w:r>
      <w:r w:rsidR="003B2298">
        <w:t>program,</w:t>
      </w:r>
      <w:r>
        <w:t xml:space="preserve"> I continued to work with them in a mentoring capacity providing advice and guidance on how </w:t>
      </w:r>
      <w:r w:rsidR="003B2298">
        <w:t xml:space="preserve">to overcome challenges. I had regular 1 to 1’s with them where I reviewed their work and provided timely feedback which was constructive in nature. As a reasonable adjustment it was agreed with HR that the student’s probation was extended to allow them to achieve what they needed too. However, the </w:t>
      </w:r>
      <w:proofErr w:type="gramStart"/>
      <w:r w:rsidR="003B2298">
        <w:t>students</w:t>
      </w:r>
      <w:proofErr w:type="gramEnd"/>
      <w:r w:rsidR="003B2298">
        <w:t xml:space="preserve"> wage</w:t>
      </w:r>
      <w:r w:rsidR="004A5CA4">
        <w:t>s</w:t>
      </w:r>
      <w:r w:rsidR="003B2298">
        <w:t xml:space="preserve"> was based on incremental growth in year</w:t>
      </w:r>
      <w:r w:rsidR="00B15B0D">
        <w:t>s</w:t>
      </w:r>
      <w:r w:rsidR="003B2298">
        <w:t xml:space="preserve"> of service, and it was stipulated that they need</w:t>
      </w:r>
      <w:r w:rsidR="004A5CA4">
        <w:t xml:space="preserve">ed </w:t>
      </w:r>
      <w:r w:rsidR="003B2298">
        <w:t>to</w:t>
      </w:r>
      <w:r w:rsidR="004A5CA4">
        <w:t xml:space="preserve"> have</w:t>
      </w:r>
      <w:r w:rsidR="003B2298">
        <w:t xml:space="preserve"> complete</w:t>
      </w:r>
      <w:r w:rsidR="004A5CA4">
        <w:t>d</w:t>
      </w:r>
      <w:r w:rsidR="003B2298">
        <w:t xml:space="preserve"> their probation before they can have this increase in pay. I have met with HR and discussed this matter, and it was agreed that it would be discriminatory to withhold the pay increments the student was entitled to due to their disability. </w:t>
      </w:r>
    </w:p>
    <w:p w14:paraId="2AF3E40D" w14:textId="6D11570F" w:rsidR="003A4793" w:rsidRDefault="003B2298" w:rsidP="002E6524">
      <w:r>
        <w:t xml:space="preserve">Furthermore, as the student progressed through their program, a new piece of software was introduced within my organisation which provided electronic overlays. These overlays work by helping an individual with visual stress when reading and often associated with dyslexia (Crossbow Education, 2024). Therefore, I have made sure the student is offered this software on their laptop so they can use as and when they like as part of further reasonable adjustments. </w:t>
      </w:r>
    </w:p>
    <w:p w14:paraId="667D9CFA" w14:textId="0A72DF06" w:rsidR="00B15B0D" w:rsidRDefault="00B15B0D" w:rsidP="002E6524">
      <w:r>
        <w:t>Evaluating this experience, I believe the support the student was offered, help</w:t>
      </w:r>
      <w:r w:rsidR="00CB2247">
        <w:t>ed</w:t>
      </w:r>
      <w:r>
        <w:t xml:space="preserve"> them achieve what they needed to. However, with the benefit of hindsight, I would approach the student sooner to discuss this matter rather than allowing them to continue to struggle and risked being removed from the program due to failures. Furthermore, due to the time it has taken for the relevant assessments and adjustments to be made, it meant that the student fell behind their colleagues and risked having their pay increment</w:t>
      </w:r>
      <w:r w:rsidR="00CB2247">
        <w:t>s</w:t>
      </w:r>
      <w:r>
        <w:t xml:space="preserve"> withheld. Even though this was resolve, I can </w:t>
      </w:r>
      <w:r>
        <w:lastRenderedPageBreak/>
        <w:t xml:space="preserve">only imagine this prospect added anxiety to the student </w:t>
      </w:r>
      <w:r w:rsidR="00CB2247">
        <w:t xml:space="preserve">and risked </w:t>
      </w:r>
      <w:r>
        <w:t xml:space="preserve">impacting their mental health. This could have been </w:t>
      </w:r>
      <w:r w:rsidR="00AC65D3">
        <w:t>avoided</w:t>
      </w:r>
      <w:r>
        <w:t xml:space="preserve"> if earlier intervention was </w:t>
      </w:r>
      <w:r w:rsidR="00AC65D3">
        <w:t>provided.</w:t>
      </w:r>
      <w:r w:rsidR="000C66F5">
        <w:t xml:space="preserve"> Analysing why it has taken so long for this to be </w:t>
      </w:r>
      <w:r w:rsidR="00CB2247">
        <w:t>addressed;</w:t>
      </w:r>
      <w:r w:rsidR="000C66F5">
        <w:t xml:space="preserve"> I believe is due to a lack of awareness from staff within my department about the condition and how to identify it. Furthermore, I think my team have been unsure on how to approach this difficult subject with the individual and is something that I found personally as I did not want to offender them. </w:t>
      </w:r>
      <w:r w:rsidR="00ED1914">
        <w:t xml:space="preserve">Once the process was underway and the support was being provided, the student’s performance improved. Moving forward now, I have agreed to provide inputs to our team on dyslexia to prevent this scenario repeating itself. Furthermore, I have linked in with our disability network and wellbeing team to review our processes and establish how we can streamline them in future to prevent unnecessary delays in support for the students. </w:t>
      </w:r>
    </w:p>
    <w:p w14:paraId="059CB180" w14:textId="77777777" w:rsidR="003A4793" w:rsidRDefault="003A4793" w:rsidP="002E6524"/>
    <w:p w14:paraId="5448FC5E" w14:textId="77777777" w:rsidR="003A4793" w:rsidRDefault="003A4793" w:rsidP="002E6524"/>
    <w:p w14:paraId="36FD23A4" w14:textId="77777777" w:rsidR="0018712B" w:rsidRDefault="0018712B" w:rsidP="002E6524"/>
    <w:p w14:paraId="302DA90E" w14:textId="77777777" w:rsidR="0018712B" w:rsidRDefault="0018712B" w:rsidP="002E6524"/>
    <w:p w14:paraId="4837501F" w14:textId="77777777" w:rsidR="0018712B" w:rsidRDefault="0018712B" w:rsidP="002E6524"/>
    <w:p w14:paraId="455BAC3E" w14:textId="77777777" w:rsidR="0018712B" w:rsidRDefault="0018712B" w:rsidP="002E6524"/>
    <w:p w14:paraId="3373B5F3" w14:textId="77777777" w:rsidR="0018712B" w:rsidRDefault="0018712B" w:rsidP="002E6524"/>
    <w:p w14:paraId="263EE777" w14:textId="77777777" w:rsidR="0018712B" w:rsidRDefault="0018712B" w:rsidP="002E6524"/>
    <w:p w14:paraId="5109D9A5" w14:textId="77777777" w:rsidR="0018712B" w:rsidRDefault="0018712B" w:rsidP="002E6524"/>
    <w:p w14:paraId="5B007664" w14:textId="77777777" w:rsidR="0018712B" w:rsidRDefault="0018712B" w:rsidP="002E6524"/>
    <w:p w14:paraId="6EF24A4E" w14:textId="77777777" w:rsidR="0018712B" w:rsidRDefault="0018712B" w:rsidP="002E6524"/>
    <w:p w14:paraId="4D9C4689" w14:textId="77777777" w:rsidR="0018712B" w:rsidRDefault="0018712B" w:rsidP="002E6524"/>
    <w:p w14:paraId="74927F43" w14:textId="77777777" w:rsidR="0018712B" w:rsidRDefault="0018712B" w:rsidP="002E6524"/>
    <w:p w14:paraId="4D6EC31F" w14:textId="77777777" w:rsidR="0018712B" w:rsidRDefault="0018712B" w:rsidP="002E6524"/>
    <w:p w14:paraId="1A75BB20" w14:textId="77777777" w:rsidR="0018712B" w:rsidRDefault="0018712B" w:rsidP="002E6524"/>
    <w:p w14:paraId="420C32DD" w14:textId="77777777" w:rsidR="0018712B" w:rsidRDefault="0018712B" w:rsidP="002E6524"/>
    <w:p w14:paraId="595B56C9" w14:textId="77777777" w:rsidR="00CB2247" w:rsidRDefault="00CB2247" w:rsidP="002E6524"/>
    <w:p w14:paraId="1E5DCA1C" w14:textId="77777777" w:rsidR="00CB2247" w:rsidRDefault="00CB2247" w:rsidP="002E6524"/>
    <w:p w14:paraId="40E69C21" w14:textId="77777777" w:rsidR="00CB2247" w:rsidRDefault="00CB2247" w:rsidP="002E6524"/>
    <w:p w14:paraId="2D4CE559" w14:textId="77777777" w:rsidR="00CB2247" w:rsidRDefault="00CB2247" w:rsidP="002E6524"/>
    <w:p w14:paraId="043993ED" w14:textId="77777777" w:rsidR="00CB2247" w:rsidRDefault="00CB2247" w:rsidP="002E6524"/>
    <w:p w14:paraId="212ADA7E" w14:textId="77777777" w:rsidR="00CB2247" w:rsidRDefault="00CB2247" w:rsidP="002E6524"/>
    <w:p w14:paraId="791D4B44" w14:textId="77777777" w:rsidR="0018712B" w:rsidRDefault="0018712B" w:rsidP="002E6524"/>
    <w:p w14:paraId="1118093C" w14:textId="64451BBF" w:rsidR="0018712B" w:rsidRDefault="0018712B" w:rsidP="002E6524">
      <w:r>
        <w:lastRenderedPageBreak/>
        <w:t xml:space="preserve">Reference List </w:t>
      </w:r>
    </w:p>
    <w:p w14:paraId="08CC8953" w14:textId="77777777" w:rsidR="00853C96" w:rsidRDefault="00853C96" w:rsidP="002E6524"/>
    <w:p w14:paraId="09587C30" w14:textId="47C525D9" w:rsidR="0018712B" w:rsidRDefault="00853C96" w:rsidP="002E6524">
      <w:r w:rsidRPr="00853C96">
        <w:t>American Brain Foundation. (</w:t>
      </w:r>
      <w:r>
        <w:t>2024</w:t>
      </w:r>
      <w:r w:rsidRPr="00853C96">
        <w:t>). </w:t>
      </w:r>
      <w:r w:rsidRPr="00853C96">
        <w:rPr>
          <w:i/>
          <w:iCs/>
        </w:rPr>
        <w:t>Dyslexia: What It Is &amp; What Causes It | ABF</w:t>
      </w:r>
      <w:r w:rsidRPr="00853C96">
        <w:t xml:space="preserve">. [online] Available at: </w:t>
      </w:r>
      <w:hyperlink r:id="rId10" w:history="1">
        <w:r w:rsidRPr="00853C96">
          <w:rPr>
            <w:rStyle w:val="Hyperlink"/>
            <w:color w:val="auto"/>
            <w:u w:val="none"/>
          </w:rPr>
          <w:t>https://www.americanbrainfoundation.org/diseases/dyslexia/</w:t>
        </w:r>
      </w:hyperlink>
      <w:r w:rsidRPr="00853C96">
        <w:t>.</w:t>
      </w:r>
    </w:p>
    <w:p w14:paraId="7A4D3396" w14:textId="77777777" w:rsidR="00853C96" w:rsidRDefault="00853C96" w:rsidP="002E6524"/>
    <w:p w14:paraId="2E56BCF8" w14:textId="77777777" w:rsidR="002E6524" w:rsidRPr="002E6524" w:rsidRDefault="002E6524" w:rsidP="002E6524">
      <w:r w:rsidRPr="002E6524">
        <w:t>British Dyslexia Association (2010). </w:t>
      </w:r>
      <w:r w:rsidRPr="002E6524">
        <w:rPr>
          <w:i/>
          <w:iCs/>
        </w:rPr>
        <w:t xml:space="preserve">What </w:t>
      </w:r>
      <w:proofErr w:type="gramStart"/>
      <w:r w:rsidRPr="002E6524">
        <w:rPr>
          <w:i/>
          <w:iCs/>
        </w:rPr>
        <w:t>Is</w:t>
      </w:r>
      <w:proofErr w:type="gramEnd"/>
      <w:r w:rsidRPr="002E6524">
        <w:rPr>
          <w:i/>
          <w:iCs/>
        </w:rPr>
        <w:t xml:space="preserve"> dyslexia?</w:t>
      </w:r>
      <w:r w:rsidRPr="002E6524">
        <w:t> [online] British Dyslexia Association. Available at: https://www.bdadyslexia.org.uk/dyslexia/about-dyslexia/what-is-dyslexia.</w:t>
      </w:r>
    </w:p>
    <w:p w14:paraId="507EF5C5" w14:textId="77777777" w:rsidR="00FE7EB1" w:rsidRDefault="00FE7EB1" w:rsidP="00FE7EB1"/>
    <w:p w14:paraId="6BF772E4" w14:textId="18378F8D" w:rsidR="00DC21D8" w:rsidRDefault="00FE7EB1">
      <w:proofErr w:type="spellStart"/>
      <w:r w:rsidRPr="00FE7EB1">
        <w:t>Caravolas</w:t>
      </w:r>
      <w:proofErr w:type="spellEnd"/>
      <w:r w:rsidRPr="00FE7EB1">
        <w:t xml:space="preserve">, </w:t>
      </w:r>
      <w:proofErr w:type="gramStart"/>
      <w:r w:rsidRPr="00FE7EB1">
        <w:t>M. ,</w:t>
      </w:r>
      <w:proofErr w:type="gramEnd"/>
      <w:r w:rsidRPr="00FE7EB1">
        <w:t xml:space="preserve"> Kirby, A. , Fawcett, A. , &amp; Glendenning, K. (2012). Research into dyslexia provision in Wales: Literature review on the state of research for children with dyslexia. Research document (058).</w:t>
      </w:r>
    </w:p>
    <w:p w14:paraId="1518BDBB" w14:textId="77777777" w:rsidR="0018712B" w:rsidRDefault="0018712B"/>
    <w:p w14:paraId="5D04F51D" w14:textId="35CEB614" w:rsidR="00DC21D8" w:rsidRDefault="0063191B">
      <w:r w:rsidRPr="0063191B">
        <w:t>Collins G., Wolter J. A. (2018). Facilitating postsecondary transition and promoting academic success through language/literacy-based self-determination strategies. </w:t>
      </w:r>
      <w:r w:rsidRPr="0063191B">
        <w:rPr>
          <w:i/>
          <w:iCs/>
        </w:rPr>
        <w:t>Language, Speech, and Hearing Services in Schools</w:t>
      </w:r>
      <w:r w:rsidRPr="0063191B">
        <w:t>, 49(2), 176–188.</w:t>
      </w:r>
    </w:p>
    <w:p w14:paraId="593992B3" w14:textId="77777777" w:rsidR="0018712B" w:rsidRDefault="0018712B"/>
    <w:p w14:paraId="5A67C572" w14:textId="377FE1C7" w:rsidR="0018712B" w:rsidRDefault="0018712B">
      <w:r w:rsidRPr="0018712B">
        <w:t>Equality Act 2010 (2010). </w:t>
      </w:r>
      <w:r w:rsidRPr="0018712B">
        <w:rPr>
          <w:i/>
          <w:iCs/>
        </w:rPr>
        <w:t>Equality Act 2010</w:t>
      </w:r>
      <w:r w:rsidRPr="0018712B">
        <w:t xml:space="preserve">. [online] Legislation.gov.uk. Available at: </w:t>
      </w:r>
      <w:hyperlink r:id="rId11" w:history="1">
        <w:r w:rsidR="00853C96" w:rsidRPr="00366733">
          <w:rPr>
            <w:rStyle w:val="Hyperlink"/>
          </w:rPr>
          <w:t>https://www.legislation.gov.uk/ukpga/2010/15/contents</w:t>
        </w:r>
      </w:hyperlink>
      <w:r w:rsidRPr="0018712B">
        <w:t>.</w:t>
      </w:r>
    </w:p>
    <w:p w14:paraId="500642A0" w14:textId="77777777" w:rsidR="00853C96" w:rsidRDefault="00853C96"/>
    <w:p w14:paraId="34523560" w14:textId="77777777" w:rsidR="00853C96" w:rsidRDefault="00853C96" w:rsidP="00853C96">
      <w:r w:rsidRPr="003A4793">
        <w:t>Fallon K. A., Katz L. A. (2020). Structured literacy intervention for students with dyslexia: Focus on growing morphological skills. </w:t>
      </w:r>
      <w:r w:rsidRPr="003A4793">
        <w:rPr>
          <w:i/>
          <w:iCs/>
        </w:rPr>
        <w:t>Language, Speech, and Hearing Services in Schools</w:t>
      </w:r>
      <w:r w:rsidRPr="003A4793">
        <w:t>, 51(2), 336–344.</w:t>
      </w:r>
    </w:p>
    <w:p w14:paraId="75EA59E0" w14:textId="77777777" w:rsidR="00406A60" w:rsidRDefault="00406A60" w:rsidP="00853C96"/>
    <w:p w14:paraId="68814ADA" w14:textId="77777777" w:rsidR="00406A60" w:rsidRPr="00571F34" w:rsidRDefault="00406A60" w:rsidP="00406A60">
      <w:pPr>
        <w:jc w:val="both"/>
      </w:pPr>
      <w:r w:rsidRPr="00571F34">
        <w:t>Gibbs, G. (1988). Learning by doing: a Guide to Teaching and Learning Methods. Oxford: Further Education Unit.</w:t>
      </w:r>
    </w:p>
    <w:p w14:paraId="183D259F" w14:textId="77777777" w:rsidR="00853C96" w:rsidRDefault="00853C96" w:rsidP="00853C96"/>
    <w:p w14:paraId="2C6FDA0C" w14:textId="373F8BB0" w:rsidR="00853C96" w:rsidRDefault="00853C96" w:rsidP="00853C96">
      <w:r w:rsidRPr="0018712B">
        <w:t>GOV.UK (2010). </w:t>
      </w:r>
      <w:r w:rsidRPr="0018712B">
        <w:rPr>
          <w:i/>
          <w:iCs/>
        </w:rPr>
        <w:t>Definition of Disability under the Equality Act 2010</w:t>
      </w:r>
      <w:r w:rsidRPr="0018712B">
        <w:t>. [online] GOV.UK. Available at: https://www.gov.uk/definition-of-disability-under-equality-act-2010.</w:t>
      </w:r>
    </w:p>
    <w:p w14:paraId="0A6F1A01" w14:textId="77777777" w:rsidR="00853C96" w:rsidRPr="006370F0" w:rsidRDefault="00853C96" w:rsidP="00853C96"/>
    <w:p w14:paraId="271E3760" w14:textId="77777777" w:rsidR="00853C96" w:rsidRDefault="00853C96" w:rsidP="00853C96">
      <w:r w:rsidRPr="00DC21D8">
        <w:t xml:space="preserve">Knight, C. (2018). What </w:t>
      </w:r>
      <w:proofErr w:type="gramStart"/>
      <w:r w:rsidRPr="00DC21D8">
        <w:t>Is</w:t>
      </w:r>
      <w:proofErr w:type="gramEnd"/>
      <w:r w:rsidRPr="00DC21D8">
        <w:t xml:space="preserve"> Dyslexia? An Exploration of the Relationship between Teachers’ Understandings of Dyslexia and Their Training Experiences. </w:t>
      </w:r>
      <w:r w:rsidRPr="00DC21D8">
        <w:rPr>
          <w:i/>
          <w:iCs/>
        </w:rPr>
        <w:t>Dyslexia</w:t>
      </w:r>
      <w:r w:rsidRPr="00DC21D8">
        <w:t>, [online] 24(3), pp.207–219.</w:t>
      </w:r>
    </w:p>
    <w:p w14:paraId="0725BC61" w14:textId="77777777" w:rsidR="00853C96" w:rsidRDefault="00853C96" w:rsidP="00853C96"/>
    <w:p w14:paraId="6F8B0E7D" w14:textId="388E8612" w:rsidR="0018712B" w:rsidRDefault="00853C96">
      <w:r w:rsidRPr="006370F0">
        <w:t xml:space="preserve">Knight, Ruthie </w:t>
      </w:r>
      <w:proofErr w:type="gramStart"/>
      <w:r w:rsidRPr="006370F0">
        <w:t>E. ;</w:t>
      </w:r>
      <w:proofErr w:type="gramEnd"/>
      <w:r w:rsidRPr="006370F0">
        <w:t xml:space="preserve"> Ritter, Michaela J. ; Loeb, Diane F.</w:t>
      </w:r>
      <w:r>
        <w:t xml:space="preserve"> </w:t>
      </w:r>
      <w:r w:rsidRPr="006370F0">
        <w:t xml:space="preserve">, </w:t>
      </w:r>
      <w:r>
        <w:t>(</w:t>
      </w:r>
      <w:r w:rsidRPr="006370F0">
        <w:t>2024</w:t>
      </w:r>
      <w:r>
        <w:t xml:space="preserve">). </w:t>
      </w:r>
      <w:hyperlink r:id="rId12" w:history="1">
        <w:r w:rsidRPr="006370F0">
          <w:t>Strategies Used by University Students </w:t>
        </w:r>
        <w:proofErr w:type="gramStart"/>
        <w:r w:rsidRPr="006370F0">
          <w:t>With</w:t>
        </w:r>
        <w:proofErr w:type="gramEnd"/>
        <w:r w:rsidRPr="006370F0">
          <w:t> Dyslexia: A Narrative Review</w:t>
        </w:r>
      </w:hyperlink>
      <w:r>
        <w:t xml:space="preserve">. </w:t>
      </w:r>
      <w:r w:rsidRPr="006370F0">
        <w:t>Communication disorders quarterly</w:t>
      </w:r>
      <w:r>
        <w:t xml:space="preserve">. </w:t>
      </w:r>
    </w:p>
    <w:p w14:paraId="568FCD3E" w14:textId="77777777" w:rsidR="00853C96" w:rsidRDefault="00853C96"/>
    <w:p w14:paraId="59D79274" w14:textId="6F68ACA3" w:rsidR="0018712B" w:rsidRDefault="0018712B">
      <w:r w:rsidRPr="0018712B">
        <w:lastRenderedPageBreak/>
        <w:t>London, K.C. (2023). </w:t>
      </w:r>
      <w:r w:rsidRPr="0018712B">
        <w:rPr>
          <w:i/>
          <w:iCs/>
        </w:rPr>
        <w:t>History of dyslexia documented for first time</w:t>
      </w:r>
      <w:r w:rsidRPr="0018712B">
        <w:t xml:space="preserve">. [online] King’s College London. Available at: </w:t>
      </w:r>
      <w:hyperlink r:id="rId13" w:history="1">
        <w:r w:rsidRPr="00366733">
          <w:rPr>
            <w:rStyle w:val="Hyperlink"/>
          </w:rPr>
          <w:t>https://www.kcl.ac.uk/news/history-of-dyslexia-documented-for-first-time</w:t>
        </w:r>
      </w:hyperlink>
      <w:r w:rsidRPr="0018712B">
        <w:t>.</w:t>
      </w:r>
    </w:p>
    <w:p w14:paraId="1992E51B" w14:textId="77777777" w:rsidR="00853C96" w:rsidRDefault="00853C96"/>
    <w:p w14:paraId="4ED8D4CD" w14:textId="526BE9F8" w:rsidR="00853C96" w:rsidRDefault="00853C96" w:rsidP="00853C96">
      <w:proofErr w:type="spellStart"/>
      <w:r w:rsidRPr="00733D48">
        <w:t>MacCullagh</w:t>
      </w:r>
      <w:proofErr w:type="spellEnd"/>
      <w:r w:rsidRPr="00733D48">
        <w:t xml:space="preserve"> L., Bosanquet A., Badcock N. A. (2017). University students with dyslexia: A qualitative exploratory study of learning practices, challenges and strategies: Uni students with dyslexia. </w:t>
      </w:r>
      <w:r w:rsidRPr="00733D48">
        <w:rPr>
          <w:i/>
          <w:iCs/>
        </w:rPr>
        <w:t>Dyslexia</w:t>
      </w:r>
      <w:r w:rsidRPr="00733D48">
        <w:t>, 23(1), 3–23</w:t>
      </w:r>
      <w:r>
        <w:t>.</w:t>
      </w:r>
    </w:p>
    <w:p w14:paraId="19FF3F63" w14:textId="77777777" w:rsidR="00853C96" w:rsidRDefault="00853C96" w:rsidP="00853C96"/>
    <w:p w14:paraId="1C267D0E" w14:textId="77777777" w:rsidR="00853C96" w:rsidRDefault="00853C96" w:rsidP="00853C96">
      <w:proofErr w:type="spellStart"/>
      <w:r w:rsidRPr="00733D48">
        <w:t>Moojen</w:t>
      </w:r>
      <w:proofErr w:type="spellEnd"/>
      <w:r w:rsidRPr="00733D48">
        <w:t xml:space="preserve"> S. M. P., Gonçalves H. A., </w:t>
      </w:r>
      <w:proofErr w:type="spellStart"/>
      <w:r w:rsidRPr="00733D48">
        <w:t>Bassôa</w:t>
      </w:r>
      <w:proofErr w:type="spellEnd"/>
      <w:r w:rsidRPr="00733D48">
        <w:t xml:space="preserve"> A., Navas A. L., de Jou G., Miguel E. S. (2020). Adults with dyslexia: How can they achieve academic success despite impairments in basic reading and writing abilities? The role of text structure sensitivity as a compensatory skill. </w:t>
      </w:r>
      <w:r w:rsidRPr="00733D48">
        <w:rPr>
          <w:i/>
          <w:iCs/>
        </w:rPr>
        <w:t>Annals of Dyslexia</w:t>
      </w:r>
      <w:r w:rsidRPr="00733D48">
        <w:t>, 70(1), 115–140.</w:t>
      </w:r>
    </w:p>
    <w:p w14:paraId="170EEC3A" w14:textId="77777777" w:rsidR="0018712B" w:rsidRDefault="0018712B" w:rsidP="00DC21D8"/>
    <w:p w14:paraId="5100348C" w14:textId="2F1F42C7" w:rsidR="0018712B" w:rsidRDefault="00DE0F5B" w:rsidP="00DC21D8">
      <w:r w:rsidRPr="00DE0F5B">
        <w:t>Olofsson Å., Ahl A., Taube K. (2012). Learning and study strategies in university students with dyslexia: Implications for teaching. </w:t>
      </w:r>
      <w:r w:rsidRPr="00DE0F5B">
        <w:rPr>
          <w:i/>
          <w:iCs/>
        </w:rPr>
        <w:t xml:space="preserve">Procedia—Social and </w:t>
      </w:r>
      <w:proofErr w:type="spellStart"/>
      <w:r w:rsidRPr="00DE0F5B">
        <w:rPr>
          <w:i/>
          <w:iCs/>
        </w:rPr>
        <w:t>Behavioral</w:t>
      </w:r>
      <w:proofErr w:type="spellEnd"/>
      <w:r w:rsidRPr="00DE0F5B">
        <w:rPr>
          <w:i/>
          <w:iCs/>
        </w:rPr>
        <w:t xml:space="preserve"> Sciences</w:t>
      </w:r>
      <w:r w:rsidRPr="00DE0F5B">
        <w:t>, 47, 1184–1193.</w:t>
      </w:r>
    </w:p>
    <w:p w14:paraId="3B69480B" w14:textId="77777777" w:rsidR="00853C96" w:rsidRPr="00733D48" w:rsidRDefault="00853C96" w:rsidP="00853C96">
      <w:pPr>
        <w:rPr>
          <w:b/>
          <w:bCs/>
        </w:rPr>
      </w:pPr>
    </w:p>
    <w:p w14:paraId="50FDAE94" w14:textId="77777777" w:rsidR="00853C96" w:rsidRDefault="00853C96" w:rsidP="00853C96">
      <w:proofErr w:type="spellStart"/>
      <w:r w:rsidRPr="00733D48">
        <w:t>Potard</w:t>
      </w:r>
      <w:proofErr w:type="spellEnd"/>
      <w:r w:rsidRPr="00733D48">
        <w:t xml:space="preserve"> C., Auger A.-C., Lenoir-</w:t>
      </w:r>
      <w:proofErr w:type="spellStart"/>
      <w:r w:rsidRPr="00733D48">
        <w:t>Perrotel</w:t>
      </w:r>
      <w:proofErr w:type="spellEnd"/>
      <w:r w:rsidRPr="00733D48">
        <w:t xml:space="preserve"> S., Jarry C. (2022). Examining frustration intolerance beliefs among adults with dyslexia or developmental coordination disorder. </w:t>
      </w:r>
      <w:r w:rsidRPr="00733D48">
        <w:rPr>
          <w:i/>
          <w:iCs/>
        </w:rPr>
        <w:t>Research in Developmental Disabilities</w:t>
      </w:r>
      <w:r w:rsidRPr="00733D48">
        <w:t>, 123,</w:t>
      </w:r>
    </w:p>
    <w:p w14:paraId="50E6A589" w14:textId="77777777" w:rsidR="00853C96" w:rsidRDefault="00853C96" w:rsidP="00DC21D8"/>
    <w:p w14:paraId="4E587016" w14:textId="53241AB3" w:rsidR="00DE0F5B" w:rsidRDefault="00733D48" w:rsidP="00DC21D8">
      <w:r w:rsidRPr="00733D48">
        <w:t>Richardson G. (2021). Dyslexia in higher education. </w:t>
      </w:r>
      <w:r w:rsidRPr="00733D48">
        <w:rPr>
          <w:i/>
          <w:iCs/>
        </w:rPr>
        <w:t>Educational Research and Reviews</w:t>
      </w:r>
      <w:r w:rsidRPr="00733D48">
        <w:t>, 16(4), 125–135.</w:t>
      </w:r>
    </w:p>
    <w:p w14:paraId="0FE39348" w14:textId="77777777" w:rsidR="00733D48" w:rsidRDefault="00733D48" w:rsidP="00DC21D8"/>
    <w:p w14:paraId="6A04DF89" w14:textId="77777777" w:rsidR="002E6524" w:rsidRPr="002E6524" w:rsidRDefault="002E6524" w:rsidP="002E6524">
      <w:r w:rsidRPr="002E6524">
        <w:t>Riddick, B. (2001). Dyslexia and inclusion: Time for a social model of disability perspective? </w:t>
      </w:r>
      <w:r w:rsidRPr="002E6524">
        <w:rPr>
          <w:i/>
          <w:iCs/>
        </w:rPr>
        <w:t>International Studies in Sociology of Education</w:t>
      </w:r>
      <w:r w:rsidRPr="002E6524">
        <w:t>, 11(3), 223–236.</w:t>
      </w:r>
    </w:p>
    <w:p w14:paraId="476A469F" w14:textId="77777777" w:rsidR="0018712B" w:rsidRDefault="0018712B" w:rsidP="00DC21D8"/>
    <w:p w14:paraId="21789AE5" w14:textId="18893706" w:rsidR="00E14195" w:rsidRDefault="006370F0" w:rsidP="00DC21D8">
      <w:r w:rsidRPr="006370F0">
        <w:t>Wagner R. K., Torgesen J. K. (1987). The nature of phonological processing and its causal role in the acquisition of reading skills. </w:t>
      </w:r>
      <w:r w:rsidRPr="006370F0">
        <w:rPr>
          <w:i/>
          <w:iCs/>
        </w:rPr>
        <w:t>American Psychological Association Incorporated</w:t>
      </w:r>
      <w:r w:rsidRPr="006370F0">
        <w:t>, 101(2), 192–212</w:t>
      </w:r>
    </w:p>
    <w:p w14:paraId="7EECA3A8" w14:textId="77777777" w:rsidR="0018712B" w:rsidRDefault="0018712B" w:rsidP="00DC21D8"/>
    <w:p w14:paraId="232BBE0C" w14:textId="1F9E983B" w:rsidR="00E14195" w:rsidRDefault="0018712B" w:rsidP="00DC21D8">
      <w:r w:rsidRPr="0018712B">
        <w:t>www.crossboweducation.com. (n.d.). </w:t>
      </w:r>
      <w:r w:rsidRPr="0018712B">
        <w:rPr>
          <w:i/>
          <w:iCs/>
        </w:rPr>
        <w:t>Visual Stress</w:t>
      </w:r>
      <w:r w:rsidRPr="0018712B">
        <w:t xml:space="preserve">. [online] Available at: </w:t>
      </w:r>
      <w:hyperlink r:id="rId14" w:history="1">
        <w:r w:rsidRPr="0018712B">
          <w:rPr>
            <w:rStyle w:val="Hyperlink"/>
            <w:color w:val="auto"/>
            <w:u w:val="none"/>
          </w:rPr>
          <w:t>https://www.crossboweducation.com/visual-stress-symptoms-and-solutions</w:t>
        </w:r>
      </w:hyperlink>
      <w:r w:rsidRPr="0018712B">
        <w:t>.</w:t>
      </w:r>
    </w:p>
    <w:p w14:paraId="1CE1B6D1" w14:textId="77777777" w:rsidR="0018712B" w:rsidRDefault="0018712B" w:rsidP="00DC21D8"/>
    <w:sectPr w:rsidR="001871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1D8"/>
    <w:rsid w:val="000105EE"/>
    <w:rsid w:val="00014194"/>
    <w:rsid w:val="00096D2D"/>
    <w:rsid w:val="000C66F5"/>
    <w:rsid w:val="00105608"/>
    <w:rsid w:val="00182F6D"/>
    <w:rsid w:val="0018712B"/>
    <w:rsid w:val="001F2E53"/>
    <w:rsid w:val="00293053"/>
    <w:rsid w:val="002A4FA4"/>
    <w:rsid w:val="002E6524"/>
    <w:rsid w:val="00302E5D"/>
    <w:rsid w:val="003A4793"/>
    <w:rsid w:val="003B2298"/>
    <w:rsid w:val="00406A60"/>
    <w:rsid w:val="00484984"/>
    <w:rsid w:val="004A5CA4"/>
    <w:rsid w:val="004C04B6"/>
    <w:rsid w:val="004D2C68"/>
    <w:rsid w:val="005675C1"/>
    <w:rsid w:val="00584516"/>
    <w:rsid w:val="005A213F"/>
    <w:rsid w:val="005C60A8"/>
    <w:rsid w:val="005E348C"/>
    <w:rsid w:val="006119A5"/>
    <w:rsid w:val="0063191B"/>
    <w:rsid w:val="006370F0"/>
    <w:rsid w:val="006672C3"/>
    <w:rsid w:val="006D3CCD"/>
    <w:rsid w:val="00733D48"/>
    <w:rsid w:val="007414E7"/>
    <w:rsid w:val="00773DFE"/>
    <w:rsid w:val="00775FF1"/>
    <w:rsid w:val="007C6150"/>
    <w:rsid w:val="007E3957"/>
    <w:rsid w:val="0081666B"/>
    <w:rsid w:val="00837312"/>
    <w:rsid w:val="00853C96"/>
    <w:rsid w:val="00960A2E"/>
    <w:rsid w:val="0098477A"/>
    <w:rsid w:val="009D510F"/>
    <w:rsid w:val="009F1DA3"/>
    <w:rsid w:val="00A458ED"/>
    <w:rsid w:val="00A53A1D"/>
    <w:rsid w:val="00A94FFB"/>
    <w:rsid w:val="00AC65D3"/>
    <w:rsid w:val="00B15B0D"/>
    <w:rsid w:val="00B847E5"/>
    <w:rsid w:val="00B87C68"/>
    <w:rsid w:val="00BB7E98"/>
    <w:rsid w:val="00C6466B"/>
    <w:rsid w:val="00CB2247"/>
    <w:rsid w:val="00D22243"/>
    <w:rsid w:val="00D9266B"/>
    <w:rsid w:val="00DC21D8"/>
    <w:rsid w:val="00DE0B05"/>
    <w:rsid w:val="00DE0F5B"/>
    <w:rsid w:val="00E14195"/>
    <w:rsid w:val="00ED1914"/>
    <w:rsid w:val="00ED7756"/>
    <w:rsid w:val="00EF11FF"/>
    <w:rsid w:val="00F50EE8"/>
    <w:rsid w:val="00F671E3"/>
    <w:rsid w:val="00F735E2"/>
    <w:rsid w:val="00FE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7D636"/>
  <w15:chartTrackingRefBased/>
  <w15:docId w15:val="{91EE1FE3-BCFA-49A5-A6B7-6E93669E6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1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21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21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21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21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21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21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21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21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1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21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C21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21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21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21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21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21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21D8"/>
    <w:rPr>
      <w:rFonts w:eastAsiaTheme="majorEastAsia" w:cstheme="majorBidi"/>
      <w:color w:val="272727" w:themeColor="text1" w:themeTint="D8"/>
    </w:rPr>
  </w:style>
  <w:style w:type="paragraph" w:styleId="Title">
    <w:name w:val="Title"/>
    <w:basedOn w:val="Normal"/>
    <w:next w:val="Normal"/>
    <w:link w:val="TitleChar"/>
    <w:uiPriority w:val="10"/>
    <w:qFormat/>
    <w:rsid w:val="00DC21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21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21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21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21D8"/>
    <w:pPr>
      <w:spacing w:before="160"/>
      <w:jc w:val="center"/>
    </w:pPr>
    <w:rPr>
      <w:i/>
      <w:iCs/>
      <w:color w:val="404040" w:themeColor="text1" w:themeTint="BF"/>
    </w:rPr>
  </w:style>
  <w:style w:type="character" w:customStyle="1" w:styleId="QuoteChar">
    <w:name w:val="Quote Char"/>
    <w:basedOn w:val="DefaultParagraphFont"/>
    <w:link w:val="Quote"/>
    <w:uiPriority w:val="29"/>
    <w:rsid w:val="00DC21D8"/>
    <w:rPr>
      <w:i/>
      <w:iCs/>
      <w:color w:val="404040" w:themeColor="text1" w:themeTint="BF"/>
    </w:rPr>
  </w:style>
  <w:style w:type="paragraph" w:styleId="ListParagraph">
    <w:name w:val="List Paragraph"/>
    <w:basedOn w:val="Normal"/>
    <w:uiPriority w:val="34"/>
    <w:qFormat/>
    <w:rsid w:val="00DC21D8"/>
    <w:pPr>
      <w:ind w:left="720"/>
      <w:contextualSpacing/>
    </w:pPr>
  </w:style>
  <w:style w:type="character" w:styleId="IntenseEmphasis">
    <w:name w:val="Intense Emphasis"/>
    <w:basedOn w:val="DefaultParagraphFont"/>
    <w:uiPriority w:val="21"/>
    <w:qFormat/>
    <w:rsid w:val="00DC21D8"/>
    <w:rPr>
      <w:i/>
      <w:iCs/>
      <w:color w:val="0F4761" w:themeColor="accent1" w:themeShade="BF"/>
    </w:rPr>
  </w:style>
  <w:style w:type="paragraph" w:styleId="IntenseQuote">
    <w:name w:val="Intense Quote"/>
    <w:basedOn w:val="Normal"/>
    <w:next w:val="Normal"/>
    <w:link w:val="IntenseQuoteChar"/>
    <w:uiPriority w:val="30"/>
    <w:qFormat/>
    <w:rsid w:val="00DC21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21D8"/>
    <w:rPr>
      <w:i/>
      <w:iCs/>
      <w:color w:val="0F4761" w:themeColor="accent1" w:themeShade="BF"/>
    </w:rPr>
  </w:style>
  <w:style w:type="character" w:styleId="IntenseReference">
    <w:name w:val="Intense Reference"/>
    <w:basedOn w:val="DefaultParagraphFont"/>
    <w:uiPriority w:val="32"/>
    <w:qFormat/>
    <w:rsid w:val="00DC21D8"/>
    <w:rPr>
      <w:b/>
      <w:bCs/>
      <w:smallCaps/>
      <w:color w:val="0F4761" w:themeColor="accent1" w:themeShade="BF"/>
      <w:spacing w:val="5"/>
    </w:rPr>
  </w:style>
  <w:style w:type="character" w:styleId="Hyperlink">
    <w:name w:val="Hyperlink"/>
    <w:basedOn w:val="DefaultParagraphFont"/>
    <w:uiPriority w:val="99"/>
    <w:unhideWhenUsed/>
    <w:rsid w:val="00E14195"/>
    <w:rPr>
      <w:color w:val="467886" w:themeColor="hyperlink"/>
      <w:u w:val="single"/>
    </w:rPr>
  </w:style>
  <w:style w:type="character" w:styleId="UnresolvedMention">
    <w:name w:val="Unresolved Mention"/>
    <w:basedOn w:val="DefaultParagraphFont"/>
    <w:uiPriority w:val="99"/>
    <w:semiHidden/>
    <w:unhideWhenUsed/>
    <w:rsid w:val="00E14195"/>
    <w:rPr>
      <w:color w:val="605E5C"/>
      <w:shd w:val="clear" w:color="auto" w:fill="E1DFDD"/>
    </w:rPr>
  </w:style>
  <w:style w:type="character" w:styleId="FollowedHyperlink">
    <w:name w:val="FollowedHyperlink"/>
    <w:basedOn w:val="DefaultParagraphFont"/>
    <w:uiPriority w:val="99"/>
    <w:semiHidden/>
    <w:unhideWhenUsed/>
    <w:rsid w:val="00E14195"/>
    <w:rPr>
      <w:color w:val="96607D" w:themeColor="followedHyperlink"/>
      <w:u w:val="single"/>
    </w:rPr>
  </w:style>
  <w:style w:type="paragraph" w:styleId="NormalWeb">
    <w:name w:val="Normal (Web)"/>
    <w:basedOn w:val="Normal"/>
    <w:uiPriority w:val="99"/>
    <w:semiHidden/>
    <w:unhideWhenUsed/>
    <w:rsid w:val="00FE7E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376807">
      <w:bodyDiv w:val="1"/>
      <w:marLeft w:val="0"/>
      <w:marRight w:val="0"/>
      <w:marTop w:val="0"/>
      <w:marBottom w:val="0"/>
      <w:divBdr>
        <w:top w:val="none" w:sz="0" w:space="0" w:color="auto"/>
        <w:left w:val="none" w:sz="0" w:space="0" w:color="auto"/>
        <w:bottom w:val="none" w:sz="0" w:space="0" w:color="auto"/>
        <w:right w:val="none" w:sz="0" w:space="0" w:color="auto"/>
      </w:divBdr>
    </w:div>
    <w:div w:id="213196370">
      <w:bodyDiv w:val="1"/>
      <w:marLeft w:val="0"/>
      <w:marRight w:val="0"/>
      <w:marTop w:val="0"/>
      <w:marBottom w:val="0"/>
      <w:divBdr>
        <w:top w:val="none" w:sz="0" w:space="0" w:color="auto"/>
        <w:left w:val="none" w:sz="0" w:space="0" w:color="auto"/>
        <w:bottom w:val="none" w:sz="0" w:space="0" w:color="auto"/>
        <w:right w:val="none" w:sz="0" w:space="0" w:color="auto"/>
      </w:divBdr>
    </w:div>
    <w:div w:id="483396217">
      <w:bodyDiv w:val="1"/>
      <w:marLeft w:val="0"/>
      <w:marRight w:val="0"/>
      <w:marTop w:val="0"/>
      <w:marBottom w:val="0"/>
      <w:divBdr>
        <w:top w:val="none" w:sz="0" w:space="0" w:color="auto"/>
        <w:left w:val="none" w:sz="0" w:space="0" w:color="auto"/>
        <w:bottom w:val="none" w:sz="0" w:space="0" w:color="auto"/>
        <w:right w:val="none" w:sz="0" w:space="0" w:color="auto"/>
      </w:divBdr>
    </w:div>
    <w:div w:id="486826706">
      <w:bodyDiv w:val="1"/>
      <w:marLeft w:val="0"/>
      <w:marRight w:val="0"/>
      <w:marTop w:val="0"/>
      <w:marBottom w:val="0"/>
      <w:divBdr>
        <w:top w:val="none" w:sz="0" w:space="0" w:color="auto"/>
        <w:left w:val="none" w:sz="0" w:space="0" w:color="auto"/>
        <w:bottom w:val="none" w:sz="0" w:space="0" w:color="auto"/>
        <w:right w:val="none" w:sz="0" w:space="0" w:color="auto"/>
      </w:divBdr>
      <w:divsChild>
        <w:div w:id="1077169648">
          <w:marLeft w:val="0"/>
          <w:marRight w:val="0"/>
          <w:marTop w:val="0"/>
          <w:marBottom w:val="0"/>
          <w:divBdr>
            <w:top w:val="none" w:sz="0" w:space="0" w:color="auto"/>
            <w:left w:val="none" w:sz="0" w:space="0" w:color="auto"/>
            <w:bottom w:val="none" w:sz="0" w:space="0" w:color="auto"/>
            <w:right w:val="none" w:sz="0" w:space="0" w:color="auto"/>
          </w:divBdr>
        </w:div>
        <w:div w:id="309598297">
          <w:marLeft w:val="0"/>
          <w:marRight w:val="0"/>
          <w:marTop w:val="0"/>
          <w:marBottom w:val="0"/>
          <w:divBdr>
            <w:top w:val="none" w:sz="0" w:space="0" w:color="auto"/>
            <w:left w:val="none" w:sz="0" w:space="0" w:color="auto"/>
            <w:bottom w:val="none" w:sz="0" w:space="0" w:color="auto"/>
            <w:right w:val="none" w:sz="0" w:space="0" w:color="auto"/>
          </w:divBdr>
        </w:div>
      </w:divsChild>
    </w:div>
    <w:div w:id="1113129650">
      <w:bodyDiv w:val="1"/>
      <w:marLeft w:val="0"/>
      <w:marRight w:val="0"/>
      <w:marTop w:val="0"/>
      <w:marBottom w:val="0"/>
      <w:divBdr>
        <w:top w:val="none" w:sz="0" w:space="0" w:color="auto"/>
        <w:left w:val="none" w:sz="0" w:space="0" w:color="auto"/>
        <w:bottom w:val="none" w:sz="0" w:space="0" w:color="auto"/>
        <w:right w:val="none" w:sz="0" w:space="0" w:color="auto"/>
      </w:divBdr>
      <w:divsChild>
        <w:div w:id="906573158">
          <w:marLeft w:val="0"/>
          <w:marRight w:val="0"/>
          <w:marTop w:val="0"/>
          <w:marBottom w:val="0"/>
          <w:divBdr>
            <w:top w:val="none" w:sz="0" w:space="0" w:color="auto"/>
            <w:left w:val="none" w:sz="0" w:space="0" w:color="auto"/>
            <w:bottom w:val="none" w:sz="0" w:space="0" w:color="auto"/>
            <w:right w:val="none" w:sz="0" w:space="0" w:color="auto"/>
          </w:divBdr>
        </w:div>
        <w:div w:id="488865656">
          <w:marLeft w:val="0"/>
          <w:marRight w:val="0"/>
          <w:marTop w:val="0"/>
          <w:marBottom w:val="0"/>
          <w:divBdr>
            <w:top w:val="none" w:sz="0" w:space="0" w:color="auto"/>
            <w:left w:val="none" w:sz="0" w:space="0" w:color="auto"/>
            <w:bottom w:val="none" w:sz="0" w:space="0" w:color="auto"/>
            <w:right w:val="none" w:sz="0" w:space="0" w:color="auto"/>
          </w:divBdr>
        </w:div>
      </w:divsChild>
    </w:div>
    <w:div w:id="1318462703">
      <w:bodyDiv w:val="1"/>
      <w:marLeft w:val="0"/>
      <w:marRight w:val="0"/>
      <w:marTop w:val="0"/>
      <w:marBottom w:val="0"/>
      <w:divBdr>
        <w:top w:val="none" w:sz="0" w:space="0" w:color="auto"/>
        <w:left w:val="none" w:sz="0" w:space="0" w:color="auto"/>
        <w:bottom w:val="none" w:sz="0" w:space="0" w:color="auto"/>
        <w:right w:val="none" w:sz="0" w:space="0" w:color="auto"/>
      </w:divBdr>
    </w:div>
    <w:div w:id="1552306457">
      <w:bodyDiv w:val="1"/>
      <w:marLeft w:val="0"/>
      <w:marRight w:val="0"/>
      <w:marTop w:val="0"/>
      <w:marBottom w:val="0"/>
      <w:divBdr>
        <w:top w:val="none" w:sz="0" w:space="0" w:color="auto"/>
        <w:left w:val="none" w:sz="0" w:space="0" w:color="auto"/>
        <w:bottom w:val="none" w:sz="0" w:space="0" w:color="auto"/>
        <w:right w:val="none" w:sz="0" w:space="0" w:color="auto"/>
      </w:divBdr>
    </w:div>
    <w:div w:id="1754164462">
      <w:bodyDiv w:val="1"/>
      <w:marLeft w:val="0"/>
      <w:marRight w:val="0"/>
      <w:marTop w:val="0"/>
      <w:marBottom w:val="0"/>
      <w:divBdr>
        <w:top w:val="none" w:sz="0" w:space="0" w:color="auto"/>
        <w:left w:val="none" w:sz="0" w:space="0" w:color="auto"/>
        <w:bottom w:val="none" w:sz="0" w:space="0" w:color="auto"/>
        <w:right w:val="none" w:sz="0" w:space="0" w:color="auto"/>
      </w:divBdr>
    </w:div>
    <w:div w:id="1798840508">
      <w:bodyDiv w:val="1"/>
      <w:marLeft w:val="0"/>
      <w:marRight w:val="0"/>
      <w:marTop w:val="0"/>
      <w:marBottom w:val="0"/>
      <w:divBdr>
        <w:top w:val="none" w:sz="0" w:space="0" w:color="auto"/>
        <w:left w:val="none" w:sz="0" w:space="0" w:color="auto"/>
        <w:bottom w:val="none" w:sz="0" w:space="0" w:color="auto"/>
        <w:right w:val="none" w:sz="0" w:space="0" w:color="auto"/>
      </w:divBdr>
    </w:div>
    <w:div w:id="1917284626">
      <w:bodyDiv w:val="1"/>
      <w:marLeft w:val="0"/>
      <w:marRight w:val="0"/>
      <w:marTop w:val="0"/>
      <w:marBottom w:val="0"/>
      <w:divBdr>
        <w:top w:val="none" w:sz="0" w:space="0" w:color="auto"/>
        <w:left w:val="none" w:sz="0" w:space="0" w:color="auto"/>
        <w:bottom w:val="none" w:sz="0" w:space="0" w:color="auto"/>
        <w:right w:val="none" w:sz="0" w:space="0" w:color="auto"/>
      </w:divBdr>
    </w:div>
    <w:div w:id="1941571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15257401241275900" TargetMode="External"/><Relationship Id="rId13" Type="http://schemas.openxmlformats.org/officeDocument/2006/relationships/hyperlink" Target="https://www.kcl.ac.uk/news/history-of-dyslexia-documented-for-first-time" TargetMode="External"/><Relationship Id="rId3" Type="http://schemas.openxmlformats.org/officeDocument/2006/relationships/webSettings" Target="webSettings.xml"/><Relationship Id="rId7" Type="http://schemas.openxmlformats.org/officeDocument/2006/relationships/hyperlink" Target="https://journals-sagepub-com.ezproxy.uwtsd.ac.uk/doi/full/10.1177/15257401241275900" TargetMode="External"/><Relationship Id="rId12" Type="http://schemas.openxmlformats.org/officeDocument/2006/relationships/hyperlink" Target="https://librarysearch.uwtsd.ac.uk/discovery/fulldisplay?docid=cdi_crossref_primary_10_1177_15257401241275900&amp;context=PC&amp;vid=44WHELF_UWTSD:44WHELF_UWTSD_VU1&amp;lang=en&amp;search_scope=MyInst_and_CI&amp;adaptor=Primo%20Central&amp;tab=Everything&amp;query=any%2Ccontains%2CStrategies%20Used%20by%20University%20Students%20With%20Dyslexia%3A%20A%20Narrative%20Review"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journals-sagepub-com.ezproxy.uwtsd.ac.uk/doi/full/10.1177/15257401241275900" TargetMode="External"/><Relationship Id="rId11" Type="http://schemas.openxmlformats.org/officeDocument/2006/relationships/hyperlink" Target="https://www.legislation.gov.uk/ukpga/2010/15/contents" TargetMode="External"/><Relationship Id="rId5" Type="http://schemas.openxmlformats.org/officeDocument/2006/relationships/hyperlink" Target="https://journals-sagepub-com.ezproxy.uwtsd.ac.uk/doi/full/10.1177/15257401241275900" TargetMode="External"/><Relationship Id="rId15" Type="http://schemas.openxmlformats.org/officeDocument/2006/relationships/fontTable" Target="fontTable.xml"/><Relationship Id="rId10" Type="http://schemas.openxmlformats.org/officeDocument/2006/relationships/hyperlink" Target="https://www.americanbrainfoundation.org/diseases/dyslexia/" TargetMode="External"/><Relationship Id="rId4" Type="http://schemas.openxmlformats.org/officeDocument/2006/relationships/hyperlink" Target="https://journals-sagepub-com.ezproxy.uwtsd.ac.uk/doi/full/10.1177/15257401241275900" TargetMode="External"/><Relationship Id="rId9" Type="http://schemas.openxmlformats.org/officeDocument/2006/relationships/hyperlink" Target="https://journals-sagepub-com.ezproxy.uwtsd.ac.uk/doi/full/10.1177/15257401241275900" TargetMode="External"/><Relationship Id="rId14" Type="http://schemas.openxmlformats.org/officeDocument/2006/relationships/hyperlink" Target="https://www.crossboweducation.com/visual-stress-symptoms-and-solu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758</TotalTime>
  <Pages>6</Pages>
  <Words>2674</Words>
  <Characters>15244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Tayler, Kyle</dc:creator>
  <cp:keywords/>
  <dc:description/>
  <cp:lastModifiedBy>Tayler, Kyle</cp:lastModifiedBy>
  <cp:revision>25</cp:revision>
  <dcterms:created xsi:type="dcterms:W3CDTF">2024-11-19T09:41:00Z</dcterms:created>
  <dcterms:modified xsi:type="dcterms:W3CDTF">2025-01-05T11:36:00Z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2024-11-19T13:57:24Z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6cfd8fe2-9b81-4e05-845a-2a6c8f730ec1</vt:lpwstr>
  </property>
  <property fmtid="{D5CDD505-2E9C-101B-9397-08002B2CF9AE}" pid="8" name="MSIP_Label_f2acd28b-79a3-4a0f-b0ff-4b75658b1549_ContentBits">
    <vt:lpwstr>0</vt:lpwstr>
  </property>
</Properties>
</file>