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b w:val="1"/>
          <w:bCs w:val="1"/>
          <w:sz w:val="36"/>
          <w:szCs w:val="36"/>
        </w:rPr>
      </w:pPr>
      <w:r w:rsidDel="00000000" w:rsidR="00000000" w:rsidRPr="00000000">
        <w:rPr>
          <w:b w:val="1"/>
          <w:bCs w:val="1"/>
          <w:sz w:val="36"/>
          <w:szCs w:val="36"/>
        </w:rPr>
        <w:drawing>
          <wp:inline distB="0" distT="0" distL="0" distR="0">
            <wp:extent cx="5733415" cy="1896745"/>
            <wp:effectExtent b="0" l="0" r="0" t="0"/>
            <wp:docPr id="1010109357"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733415" cy="189674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360" w:lineRule="auto"/>
        <w:jc w:val="center"/>
        <w:rPr>
          <w:b w:val="1"/>
          <w:bCs w:val="1"/>
          <w:sz w:val="36"/>
          <w:szCs w:val="36"/>
        </w:rPr>
      </w:pPr>
      <w:bookmarkStart w:colFirst="0" w:colLast="0" w:name="_heading=h.2zhaqo5bl2jb" w:id="0"/>
      <w:bookmarkEnd w:id="0"/>
      <w:r w:rsidDel="00000000" w:rsidR="00000000" w:rsidRPr="00000000">
        <w:rPr>
          <w:rtl w:val="0"/>
        </w:rPr>
      </w:r>
    </w:p>
    <w:p w:rsidR="00000000" w:rsidDel="00000000" w:rsidP="00000000" w:rsidRDefault="00000000" w:rsidRPr="00000000" w14:paraId="00000003">
      <w:pPr>
        <w:spacing w:line="360" w:lineRule="auto"/>
        <w:jc w:val="center"/>
        <w:rPr>
          <w:b w:val="1"/>
          <w:bCs w:val="1"/>
          <w:sz w:val="36"/>
          <w:szCs w:val="36"/>
        </w:rPr>
      </w:pPr>
      <w:bookmarkStart w:colFirst="0" w:colLast="0" w:name="_heading=h.b33unp6g5w77" w:id="1"/>
      <w:bookmarkEnd w:id="1"/>
      <w:r w:rsidDel="00000000" w:rsidR="00000000" w:rsidRPr="00000000">
        <w:rPr>
          <w:b w:val="1"/>
          <w:bCs w:val="1"/>
          <w:sz w:val="36"/>
          <w:szCs w:val="36"/>
          <w:rtl w:val="0"/>
        </w:rPr>
        <w:t xml:space="preserve">BA (Hons.) Business Management</w:t>
      </w:r>
    </w:p>
    <w:p w:rsidR="00000000" w:rsidDel="00000000" w:rsidP="00000000" w:rsidRDefault="00000000" w:rsidRPr="00000000" w14:paraId="00000004">
      <w:pPr>
        <w:spacing w:line="360" w:lineRule="auto"/>
        <w:jc w:val="center"/>
        <w:rPr>
          <w:b w:val="1"/>
          <w:bCs w:val="1"/>
          <w:sz w:val="36"/>
          <w:szCs w:val="36"/>
        </w:rPr>
      </w:pPr>
      <w:bookmarkStart w:colFirst="0" w:colLast="0" w:name="_heading=h.6d9ub5bcqp7b" w:id="2"/>
      <w:bookmarkEnd w:id="2"/>
      <w:r w:rsidDel="00000000" w:rsidR="00000000" w:rsidRPr="00000000">
        <w:rPr>
          <w:b w:val="1"/>
          <w:bCs w:val="1"/>
          <w:sz w:val="36"/>
          <w:szCs w:val="36"/>
          <w:rtl w:val="0"/>
        </w:rPr>
        <w:t xml:space="preserve">Student Name: Marina Alina Manea</w:t>
      </w:r>
    </w:p>
    <w:p w:rsidR="00000000" w:rsidDel="00000000" w:rsidP="00000000" w:rsidRDefault="00000000" w:rsidRPr="00000000" w14:paraId="00000005">
      <w:pPr>
        <w:spacing w:line="360" w:lineRule="auto"/>
        <w:jc w:val="center"/>
        <w:rPr>
          <w:b w:val="1"/>
          <w:bCs w:val="1"/>
          <w:sz w:val="36"/>
          <w:szCs w:val="36"/>
        </w:rPr>
      </w:pPr>
      <w:bookmarkStart w:colFirst="0" w:colLast="0" w:name="_heading=h.mzshnv3s8q0g" w:id="3"/>
      <w:bookmarkEnd w:id="3"/>
      <w:r w:rsidDel="00000000" w:rsidR="00000000" w:rsidRPr="00000000">
        <w:rPr>
          <w:b w:val="1"/>
          <w:bCs w:val="1"/>
          <w:sz w:val="36"/>
          <w:szCs w:val="36"/>
          <w:rtl w:val="0"/>
        </w:rPr>
        <w:t xml:space="preserve">Student Number: 2412047</w:t>
      </w:r>
    </w:p>
    <w:p w:rsidR="00000000" w:rsidDel="00000000" w:rsidP="00000000" w:rsidRDefault="00000000" w:rsidRPr="00000000" w14:paraId="00000006">
      <w:pPr>
        <w:spacing w:line="360" w:lineRule="auto"/>
        <w:jc w:val="center"/>
        <w:rPr>
          <w:b w:val="1"/>
          <w:bCs w:val="1"/>
          <w:sz w:val="36"/>
          <w:szCs w:val="36"/>
        </w:rPr>
      </w:pPr>
      <w:bookmarkStart w:colFirst="0" w:colLast="0" w:name="_heading=h.r1hg7pmj9da" w:id="4"/>
      <w:bookmarkEnd w:id="4"/>
      <w:r w:rsidDel="00000000" w:rsidR="00000000" w:rsidRPr="00000000">
        <w:rPr>
          <w:b w:val="1"/>
          <w:bCs w:val="1"/>
          <w:sz w:val="36"/>
          <w:szCs w:val="36"/>
          <w:rtl w:val="0"/>
        </w:rPr>
        <w:t xml:space="preserve">Module: LCBB4016 Global Business Environment</w:t>
      </w:r>
    </w:p>
    <w:p w:rsidR="00000000" w:rsidDel="00000000" w:rsidP="00000000" w:rsidRDefault="00000000" w:rsidRPr="00000000" w14:paraId="00000007">
      <w:pPr>
        <w:spacing w:line="360" w:lineRule="auto"/>
        <w:jc w:val="center"/>
        <w:rPr>
          <w:b w:val="1"/>
          <w:bCs w:val="1"/>
          <w:sz w:val="36"/>
          <w:szCs w:val="36"/>
        </w:rPr>
      </w:pPr>
      <w:bookmarkStart w:colFirst="0" w:colLast="0" w:name="_heading=h.p5m5jvh8g32b" w:id="5"/>
      <w:bookmarkEnd w:id="5"/>
      <w:r w:rsidDel="00000000" w:rsidR="00000000" w:rsidRPr="00000000">
        <w:rPr>
          <w:b w:val="1"/>
          <w:bCs w:val="1"/>
          <w:sz w:val="36"/>
          <w:szCs w:val="36"/>
          <w:rtl w:val="0"/>
        </w:rPr>
        <w:t xml:space="preserve">Lecturer Name: SAID OSMAN</w:t>
      </w:r>
    </w:p>
    <w:p w:rsidR="00000000" w:rsidDel="00000000" w:rsidP="00000000" w:rsidRDefault="00000000" w:rsidRPr="00000000" w14:paraId="00000008">
      <w:pPr>
        <w:spacing w:line="360" w:lineRule="auto"/>
        <w:jc w:val="center"/>
        <w:rPr/>
      </w:pPr>
      <w:bookmarkStart w:colFirst="0" w:colLast="0" w:name="_heading=h.huqele15xw3e" w:id="6"/>
      <w:bookmarkEnd w:id="6"/>
      <w:r w:rsidDel="00000000" w:rsidR="00000000" w:rsidRPr="00000000">
        <w:br w:type="page"/>
      </w:r>
      <w:r w:rsidDel="00000000" w:rsidR="00000000" w:rsidRPr="00000000">
        <w:rPr>
          <w:rtl w:val="0"/>
        </w:rPr>
      </w:r>
    </w:p>
    <w:p w:rsidR="00000000" w:rsidDel="00000000" w:rsidP="00000000" w:rsidRDefault="00000000" w:rsidRPr="00000000" w14:paraId="0000000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b w:val="1"/>
          <w:bCs w:val="1"/>
          <w:i w:val="0"/>
          <w:iCs w:val="0"/>
          <w:smallCaps w:val="0"/>
          <w:strike w:val="0"/>
          <w:u w:val="none"/>
          <w:shd w:fill="auto" w:val="clear"/>
          <w:vertAlign w:val="baseline"/>
        </w:rPr>
      </w:pPr>
      <w:r w:rsidDel="00000000" w:rsidR="00000000" w:rsidRPr="00000000">
        <w:rPr>
          <w:b w:val="1"/>
          <w:bCs w:val="1"/>
          <w:i w:val="0"/>
          <w:iCs w:val="0"/>
          <w:smallCaps w:val="0"/>
          <w:strike w:val="0"/>
          <w:u w:val="none"/>
          <w:shd w:fill="auto" w:val="clear"/>
          <w:vertAlign w:val="baseline"/>
          <w:rtl w:val="0"/>
        </w:rPr>
        <w:t xml:space="preserve">Table of Contents</w:t>
      </w:r>
    </w:p>
    <w:sdt>
      <w:sdtPr>
        <w:id w:val="413529846"/>
        <w:docPartObj>
          <w:docPartGallery w:val="Table of Contents"/>
          <w:docPartUnique w:val="1"/>
        </w:docPartObj>
      </w:sdtPr>
      <w:sdtContent>
        <w:p w:rsidR="00000000" w:rsidDel="00000000" w:rsidP="00000000" w:rsidRDefault="00000000" w:rsidRPr="00000000" w14:paraId="0000000A">
          <w:pPr>
            <w:widowControl w:val="0"/>
            <w:tabs>
              <w:tab w:val="right" w:leader="dot" w:pos="12000"/>
            </w:tabs>
            <w:spacing w:before="60" w:line="360" w:lineRule="auto"/>
            <w:jc w:val="left"/>
            <w:rPr>
              <w:i w:val="0"/>
              <w:iCs w:val="0"/>
              <w:smallCaps w:val="0"/>
              <w:strike w:val="0"/>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m34njuzdfgfm">
            <w:r w:rsidDel="00000000" w:rsidR="00000000" w:rsidRPr="00000000">
              <w:rPr>
                <w:i w:val="0"/>
                <w:iCs w:val="0"/>
                <w:smallCaps w:val="0"/>
                <w:strike w:val="0"/>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B">
          <w:pPr>
            <w:widowControl w:val="0"/>
            <w:tabs>
              <w:tab w:val="right" w:leader="dot" w:pos="12000"/>
            </w:tabs>
            <w:spacing w:before="60" w:line="360" w:lineRule="auto"/>
            <w:jc w:val="left"/>
            <w:rPr>
              <w:i w:val="0"/>
              <w:iCs w:val="0"/>
              <w:smallCaps w:val="0"/>
              <w:strike w:val="0"/>
              <w:u w:val="none"/>
              <w:shd w:fill="auto" w:val="clear"/>
              <w:vertAlign w:val="baseline"/>
            </w:rPr>
          </w:pPr>
          <w:hyperlink w:anchor="_heading=h.g47gs6td6vds">
            <w:r w:rsidDel="00000000" w:rsidR="00000000" w:rsidRPr="00000000">
              <w:rPr>
                <w:i w:val="0"/>
                <w:iCs w:val="0"/>
                <w:smallCaps w:val="0"/>
                <w:strike w:val="0"/>
                <w:u w:val="none"/>
                <w:shd w:fill="auto" w:val="clear"/>
                <w:vertAlign w:val="baseline"/>
                <w:rtl w:val="0"/>
              </w:rPr>
              <w:t xml:space="preserve">Main Body</w:t>
              <w:tab/>
              <w:t xml:space="preserve">4</w:t>
            </w:r>
          </w:hyperlink>
          <w:r w:rsidDel="00000000" w:rsidR="00000000" w:rsidRPr="00000000">
            <w:rPr>
              <w:rtl w:val="0"/>
            </w:rPr>
          </w:r>
        </w:p>
        <w:p w:rsidR="00000000" w:rsidDel="00000000" w:rsidP="00000000" w:rsidRDefault="00000000" w:rsidRPr="00000000" w14:paraId="0000000C">
          <w:pPr>
            <w:widowControl w:val="0"/>
            <w:tabs>
              <w:tab w:val="right" w:leader="dot" w:pos="12000"/>
            </w:tabs>
            <w:spacing w:before="60" w:line="360" w:lineRule="auto"/>
            <w:jc w:val="left"/>
            <w:rPr>
              <w:i w:val="0"/>
              <w:iCs w:val="0"/>
              <w:smallCaps w:val="0"/>
              <w:strike w:val="0"/>
              <w:u w:val="none"/>
              <w:shd w:fill="auto" w:val="clear"/>
              <w:vertAlign w:val="baseline"/>
            </w:rPr>
          </w:pPr>
          <w:hyperlink w:anchor="_heading=">
            <w:r w:rsidDel="00000000" w:rsidR="00000000" w:rsidRPr="00000000">
              <w:rPr>
                <w:i w:val="0"/>
                <w:iCs w:val="0"/>
                <w:smallCaps w:val="0"/>
                <w:strike w:val="0"/>
                <w:u w:val="none"/>
                <w:shd w:fill="auto" w:val="clear"/>
                <w:vertAlign w:val="baseline"/>
                <w:rtl w:val="0"/>
              </w:rPr>
              <w:t xml:space="preserve">Conclusion</w:t>
              <w:tab/>
              <w:t xml:space="preserve">8</w:t>
            </w:r>
          </w:hyperlink>
          <w:r w:rsidDel="00000000" w:rsidR="00000000" w:rsidRPr="00000000">
            <w:rPr>
              <w:rtl w:val="0"/>
            </w:rPr>
          </w:r>
        </w:p>
        <w:p w:rsidR="00000000" w:rsidDel="00000000" w:rsidP="00000000" w:rsidRDefault="00000000" w:rsidRPr="00000000" w14:paraId="0000000D">
          <w:pPr>
            <w:widowControl w:val="0"/>
            <w:tabs>
              <w:tab w:val="right" w:leader="dot" w:pos="12000"/>
            </w:tabs>
            <w:spacing w:before="60" w:line="360" w:lineRule="auto"/>
            <w:jc w:val="left"/>
            <w:rPr>
              <w:i w:val="0"/>
              <w:iCs w:val="0"/>
              <w:smallCaps w:val="0"/>
              <w:strike w:val="0"/>
              <w:u w:val="none"/>
              <w:shd w:fill="auto" w:val="clear"/>
              <w:vertAlign w:val="baseline"/>
            </w:rPr>
          </w:pPr>
          <w:hyperlink w:anchor="_heading=h.n26sqretsvgq">
            <w:r w:rsidDel="00000000" w:rsidR="00000000" w:rsidRPr="00000000">
              <w:rPr>
                <w:i w:val="0"/>
                <w:iCs w:val="0"/>
                <w:smallCaps w:val="0"/>
                <w:strike w:val="0"/>
                <w:u w:val="none"/>
                <w:shd w:fill="auto" w:val="clear"/>
                <w:vertAlign w:val="baseline"/>
                <w:rtl w:val="0"/>
              </w:rPr>
              <w:t xml:space="preserve">References</w:t>
              <w:tab/>
              <w:t xml:space="preserve">9</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E">
      <w:pPr>
        <w:spacing w:line="360" w:lineRule="auto"/>
        <w:rPr/>
      </w:pPr>
      <w:r w:rsidDel="00000000" w:rsidR="00000000" w:rsidRPr="00000000">
        <w:br w:type="page"/>
      </w:r>
      <w:r w:rsidDel="00000000" w:rsidR="00000000" w:rsidRPr="00000000">
        <w:rPr>
          <w:rtl w:val="0"/>
        </w:rPr>
      </w:r>
    </w:p>
    <w:p w:rsidR="00000000" w:rsidDel="00000000" w:rsidP="00000000" w:rsidRDefault="00000000" w:rsidRPr="00000000" w14:paraId="0000000F">
      <w:pPr>
        <w:pStyle w:val="Heading1"/>
        <w:spacing w:line="360" w:lineRule="auto"/>
        <w:rPr/>
      </w:pPr>
      <w:bookmarkStart w:colFirst="0" w:colLast="0" w:name="_heading=h.m34njuzdfgfm" w:id="7"/>
      <w:bookmarkEnd w:id="7"/>
      <w:r w:rsidDel="00000000" w:rsidR="00000000" w:rsidRPr="00000000">
        <w:rPr>
          <w:rtl w:val="0"/>
        </w:rPr>
        <w:t xml:space="preserve">Introduction</w:t>
      </w:r>
    </w:p>
    <w:p w:rsidR="00000000" w:rsidDel="00000000" w:rsidP="00000000" w:rsidRDefault="00000000" w:rsidRPr="00000000" w14:paraId="00000010">
      <w:pPr>
        <w:spacing w:line="360" w:lineRule="auto"/>
        <w:rPr/>
      </w:pPr>
      <w:r w:rsidDel="00000000" w:rsidR="00000000" w:rsidRPr="00000000">
        <w:rPr>
          <w:rtl w:val="0"/>
        </w:rPr>
        <w:t xml:space="preserve">The enhancing integration of economies, businesses and marketplaces via technological progression, global trade and cross-border investments is understood as globalisation (Malaviya, 2023). It allows Multinational corporations in accessing global marketplaces, responding to shifting consumer demands, and expanding operations, which makes it a vital aspect of contemporary global business. Unilever is a business that is one of the most popular FMCG businesses and functions in over 190 nations via a diverse home care, food and personal care brands (Unilever, 2021). The following essay will be focused on examining the way geopolitical supply chain disruptions, AI, and sustainability regulations shape the operational activities of Unilever. It also assesses the challenges, opportunities, organisational impacts and strategic responses supporting prolonged global competitiveness.</w:t>
      </w:r>
      <w:r w:rsidDel="00000000" w:rsidR="00000000" w:rsidRPr="00000000">
        <w:br w:type="page"/>
      </w:r>
      <w:r w:rsidDel="00000000" w:rsidR="00000000" w:rsidRPr="00000000">
        <w:rPr>
          <w:rtl w:val="0"/>
        </w:rPr>
      </w:r>
    </w:p>
    <w:p w:rsidR="00000000" w:rsidDel="00000000" w:rsidP="00000000" w:rsidRDefault="00000000" w:rsidRPr="00000000" w14:paraId="00000011">
      <w:pPr>
        <w:pStyle w:val="Heading1"/>
        <w:spacing w:line="360" w:lineRule="auto"/>
        <w:rPr/>
      </w:pPr>
      <w:bookmarkStart w:colFirst="0" w:colLast="0" w:name="_heading=h.g47gs6td6vds" w:id="8"/>
      <w:bookmarkEnd w:id="8"/>
      <w:r w:rsidDel="00000000" w:rsidR="00000000" w:rsidRPr="00000000">
        <w:rPr>
          <w:rtl w:val="0"/>
        </w:rPr>
        <w:t xml:space="preserve">Main Body</w:t>
      </w:r>
    </w:p>
    <w:p w:rsidR="00000000" w:rsidDel="00000000" w:rsidP="00000000" w:rsidRDefault="00000000" w:rsidRPr="00000000" w14:paraId="00000012">
      <w:pPr>
        <w:spacing w:line="360" w:lineRule="auto"/>
        <w:rPr/>
      </w:pPr>
      <w:r w:rsidDel="00000000" w:rsidR="00000000" w:rsidRPr="00000000">
        <w:rPr>
          <w:rtl w:val="0"/>
        </w:rPr>
        <w:t xml:space="preserve">The modern global business environment is highly influenced by geopolitical uncertainty, technological advancement and sustainability regulations. PESTLE Analysis is an important tool which helps explain such external elements, assessing the way political, technological, economic, legal, and environmental and social elements shape business operations and strategy (Yüksel, 2012). From a technological viewpoint, significant integration of AI (Artificial Intelligence) offers numerous opportunities for Unilever when it comes to enhancing competitiveness and efficiency. AI-oriented demand forecasting allows the business to project customers' buying patterns more precisely which reduces product shortages and minimises the costs of inventory (Yüksel, 2012). Artificial Intelligence is additionally embedded into the marketing initiatives via customer analytics and digital advertisements, enabling the business to devise targeted campaigns for various global markets. Additionally, AI-oriented R&amp;D further improves product innovation through the analysis of market trends and consumer preferences, assisting the business to launch its goods and services faster than the rivals.</w:t>
      </w:r>
    </w:p>
    <w:p w:rsidR="00000000" w:rsidDel="00000000" w:rsidP="00000000" w:rsidRDefault="00000000" w:rsidRPr="00000000" w14:paraId="00000013">
      <w:pPr>
        <w:spacing w:line="360" w:lineRule="auto"/>
        <w:rPr/>
      </w:pPr>
      <w:r w:rsidDel="00000000" w:rsidR="00000000" w:rsidRPr="00000000">
        <w:rPr>
          <w:rtl w:val="0"/>
        </w:rPr>
        <w:t xml:space="preserve">Other factors include legal and environmental factors, presenting strategic opportunities via sustainability-based practices. The introduction of CSRD (Corporate Sustainability Reporting Directive) of the European Union promotes businesses to enhance environmental accountability and transparency (Martinčević, Primorac and Dorić, 2024). Concerning Unilever, adherence underpins its long-established sustainability approach by improving trust among stakeholders and reinforcing its business reputation in eco-conscious marketplaces. Improved transparency concerning responsible sourcing, carbon emissions, and environmental performance enhances relationships with customers, regulators, and investors who favour sustainable businesses highly. Hence, opportunities for competitive differentiation are created through sustainability regulations alongside strengthening the positioning of Unilever as a responsible multinational corporation.</w:t>
      </w:r>
    </w:p>
    <w:p w:rsidR="00000000" w:rsidDel="00000000" w:rsidP="00000000" w:rsidRDefault="00000000" w:rsidRPr="00000000" w14:paraId="00000014">
      <w:pPr>
        <w:spacing w:line="360" w:lineRule="auto"/>
        <w:rPr/>
      </w:pPr>
      <w:r w:rsidDel="00000000" w:rsidR="00000000" w:rsidRPr="00000000">
        <w:rPr>
          <w:rtl w:val="0"/>
        </w:rPr>
        <w:t xml:space="preserve">Nevertheless, there are certain challenges emerging from these elements, like Political factors include geopolitical tensions. Uncertainty around China-Taiwan relations and Red Sea Shipping route disruptions, have comprehensively impacted international supply chains (Hamed, 2025). Unilever increasingly depends on multifaceted global sourcing networks for raw materials, product distribution, and packaging. Growing freight costs, shipping delays, and supply shortages enhance the expenses in operations at the same time, minimising reliability in supply chains. Such disruptions need the business to enhance the levels of inventory, diversify suppliers and redesign the networks of logistics, which together include strategic decision-making and substantial financial investment.</w:t>
      </w:r>
    </w:p>
    <w:p w:rsidR="00000000" w:rsidDel="00000000" w:rsidP="00000000" w:rsidRDefault="00000000" w:rsidRPr="00000000" w14:paraId="00000015">
      <w:pPr>
        <w:spacing w:line="360" w:lineRule="auto"/>
        <w:rPr/>
      </w:pPr>
      <w:r w:rsidDel="00000000" w:rsidR="00000000" w:rsidRPr="00000000">
        <w:rPr>
          <w:rtl w:val="0"/>
        </w:rPr>
        <w:t xml:space="preserve">Technological factors also pose challenges as even with the benefits of AI, it needs significant investments in cybersecurity protection, advanced analytics systems, and digital infrastructure (Saeed </w:t>
      </w:r>
      <w:r w:rsidDel="00000000" w:rsidR="00000000" w:rsidRPr="00000000">
        <w:rPr>
          <w:i w:val="1"/>
          <w:iCs w:val="1"/>
          <w:rtl w:val="0"/>
        </w:rPr>
        <w:t xml:space="preserve">et al.,</w:t>
      </w:r>
      <w:r w:rsidDel="00000000" w:rsidR="00000000" w:rsidRPr="00000000">
        <w:rPr>
          <w:rtl w:val="0"/>
        </w:rPr>
        <w:t xml:space="preserve"> 2023). Operations throughout various global markets additionally creates issues to keep up consistent quality of data and adhering to various digital regulations. Additionally, workforce requirements are changed through automation by enhancing demand for digital capabilities by minimising dependency on the activities of routine administration. As a result, the focus of Unilever needs to be on constant change management and workforce training for guaranteeing successful technological adoption at the same time keeping up employee engagement. </w:t>
      </w:r>
    </w:p>
    <w:p w:rsidR="00000000" w:rsidDel="00000000" w:rsidP="00000000" w:rsidRDefault="00000000" w:rsidRPr="00000000" w14:paraId="00000016">
      <w:pPr>
        <w:spacing w:line="360" w:lineRule="auto"/>
        <w:rPr>
          <w:b w:val="1"/>
          <w:bCs w:val="1"/>
        </w:rPr>
      </w:pPr>
      <w:r w:rsidDel="00000000" w:rsidR="00000000" w:rsidRPr="00000000">
        <w:rPr>
          <w:rtl w:val="0"/>
        </w:rPr>
        <w:t xml:space="preserve">Likewise, the challenges are also posed by social, environmental and legal elements. Continuous societal expectations and changes in social trends continuously necessitate Unilever to change their tactics and adopt distinctive strategies to satisfy customers and improve their experience. Extensive data gathering, disclosure and verification throughout global supply chains and operations are needed for meeting CSRD reporting requirements (Martinčević, Primorac and Dorić, 2024). As Unilever functions within various nations with distinct regulatory settings, gathering precise sustainability data from supply providers becomes both administratively complex and resource-intensive. The cost of compliance enhances as the business invests in supplier audits, sustainability reporting technologies and monitoring systems. </w:t>
      </w:r>
      <w:r w:rsidDel="00000000" w:rsidR="00000000" w:rsidRPr="00000000">
        <w:rPr>
          <w:rtl w:val="0"/>
        </w:rPr>
      </w:r>
    </w:p>
    <w:p w:rsidR="00000000" w:rsidDel="00000000" w:rsidP="00000000" w:rsidRDefault="00000000" w:rsidRPr="00000000" w14:paraId="00000017">
      <w:pPr>
        <w:spacing w:line="360" w:lineRule="auto"/>
        <w:rPr/>
      </w:pPr>
      <w:r w:rsidDel="00000000" w:rsidR="00000000" w:rsidRPr="00000000">
        <w:rPr>
          <w:rtl w:val="0"/>
        </w:rPr>
        <w:t xml:space="preserve">The unified influence of AI integration, sustainability regulations and geopolitical disruptions impacts the innovation capability, talent management, marketing positioning, and overall competitiveness of Unilever. Porte’s five forces is a relevant tool in this context. These global forces help reshaping the innovation, talent management, market positioning, and overall performance of the business through the variation in altering the supplier relationship, rivalry intensity, consumer expectation, substitute’s risks and barriers to entry.</w:t>
      </w:r>
    </w:p>
    <w:p w:rsidR="00000000" w:rsidDel="00000000" w:rsidP="00000000" w:rsidRDefault="00000000" w:rsidRPr="00000000" w14:paraId="00000018">
      <w:pPr>
        <w:spacing w:line="360" w:lineRule="auto"/>
        <w:rPr/>
      </w:pPr>
      <w:r w:rsidDel="00000000" w:rsidR="00000000" w:rsidRPr="00000000">
        <w:rPr>
          <w:rtl w:val="0"/>
        </w:rPr>
        <w:t xml:space="preserve">Firstly, the competitive identity for Unilever has been intensified as sustainability and AI have been major differentiators in competition. Artificial Intelligence allows Unilever to personalise marketing campaigns, enhance demand forecasting, and boost product innovation, enabling the business to be responsive more quickly to shifting consumer preferences than rivals (Goyal, 2020). Sustainability practices, like adherence to CSRD (Corporate Sustainability Reporting Directive), additionally reinforce the brand reputation of Unilever by showcasing ecological responsibility. Such capabilities enhance customer loyalty and market positioning. Nevertheless, rivals like Nestle and P&amp;G engage in making similar investments in sustainable businesses and AI which enhances competitive pressure and minimises the uniqueness of such capabilities.</w:t>
      </w:r>
    </w:p>
    <w:p w:rsidR="00000000" w:rsidDel="00000000" w:rsidP="00000000" w:rsidRDefault="00000000" w:rsidRPr="00000000" w14:paraId="00000019">
      <w:pPr>
        <w:spacing w:line="360" w:lineRule="auto"/>
        <w:rPr/>
      </w:pPr>
      <w:r w:rsidDel="00000000" w:rsidR="00000000" w:rsidRPr="00000000">
        <w:rPr>
          <w:rtl w:val="0"/>
        </w:rPr>
        <w:t xml:space="preserve">Suppliers' bargaining power has enhanced because of the geopolitical tensions, specifically the Red Sea shipping route disruptions and uncertain situations around Taiwan-China trade. Such events have impacted the raw material availability, and transportation which enhances the risks of operations, freight costs and procurement costs (Khandare, 2024). Consequently, Unilever has been focused on diversifying suppliers alongside reinforcing the strategies of regional sourcing to minimise reliance on individual suppliers and enhance the resilience in the supply chain. Even though such strategic decisions improve prolonged supplier diversification, operational stability, and the requirements of sustainable sourcing enhance operating costs and procurement complexity which places pressure on profitability.</w:t>
      </w:r>
    </w:p>
    <w:p w:rsidR="00000000" w:rsidDel="00000000" w:rsidP="00000000" w:rsidRDefault="00000000" w:rsidRPr="00000000" w14:paraId="0000001A">
      <w:pPr>
        <w:spacing w:line="360" w:lineRule="auto"/>
        <w:rPr/>
      </w:pPr>
      <w:r w:rsidDel="00000000" w:rsidR="00000000" w:rsidRPr="00000000">
        <w:rPr>
          <w:rtl w:val="0"/>
        </w:rPr>
        <w:t xml:space="preserve">The customers’ bargaining power has additionally strengthened as buyers highly look for sustainable, innovative and affordable products. Artificial Intelligence provides support to Unilever to analyse consumer behaviours and deliver the strategies of personalised marketing which allows the business to reinforce brand loyalty and enhance customer engagement. In a similar manner, transparent sustainability reporting improves the trust of customers and strengthens the reputation of Unilever in eco-conscious marketplaces (Gupta </w:t>
      </w:r>
      <w:r w:rsidDel="00000000" w:rsidR="00000000" w:rsidRPr="00000000">
        <w:rPr>
          <w:i w:val="1"/>
          <w:iCs w:val="1"/>
          <w:rtl w:val="0"/>
        </w:rPr>
        <w:t xml:space="preserve">et al.,</w:t>
      </w:r>
      <w:r w:rsidDel="00000000" w:rsidR="00000000" w:rsidRPr="00000000">
        <w:rPr>
          <w:rtl w:val="0"/>
        </w:rPr>
        <w:t xml:space="preserve"> 2026). However, Buyers are able to easily compare goods and replace to rivals providing identical quality, robust sustainability credentials and minimise prices. As a result, Unilever needs to regularly invest in consumer experience and product improvement to keep up its position in the market.</w:t>
      </w:r>
    </w:p>
    <w:p w:rsidR="00000000" w:rsidDel="00000000" w:rsidP="00000000" w:rsidRDefault="00000000" w:rsidRPr="00000000" w14:paraId="0000001B">
      <w:pPr>
        <w:spacing w:line="360" w:lineRule="auto"/>
        <w:rPr/>
      </w:pPr>
      <w:r w:rsidDel="00000000" w:rsidR="00000000" w:rsidRPr="00000000">
        <w:rPr>
          <w:rtl w:val="0"/>
        </w:rPr>
        <w:t xml:space="preserve">New entrants’ threats also present challenges and opportunities. AI technologies have reduced the barriers to entry for small-scale digital-first enterprises by enhancing customer insights and marketing efficiency. Nevertheless, Unilever’s globally popular brands, economies of scale, distribution networks and well-formed sustainability reputation presents major obstacles, resulting in discouraging new rivals (Petrou Hadjipetrou, 2026). Consistent investment in sustainability and AI, henceforth reinforces the competitive positioning of Unilever at the same time, enhancing the resources needed for preserving such advantages gradually.</w:t>
      </w:r>
    </w:p>
    <w:p w:rsidR="00000000" w:rsidDel="00000000" w:rsidP="00000000" w:rsidRDefault="00000000" w:rsidRPr="00000000" w14:paraId="0000001C">
      <w:pPr>
        <w:spacing w:line="360" w:lineRule="auto"/>
        <w:rPr/>
      </w:pPr>
      <w:r w:rsidDel="00000000" w:rsidR="00000000" w:rsidRPr="00000000">
        <w:rPr>
          <w:rtl w:val="0"/>
        </w:rPr>
        <w:t xml:space="preserve">Threats of substitutes has enhanced as buyers highly demand for eco-friendly, ethically-sourced and healthier products. Sustainability regulations promote Unilever for the development of low-carbon manufacturing procedures, recyclable packaging and responsible sourcing initiatives, minimising the risks of substitution and allowing product differentiation (Abatan </w:t>
      </w:r>
      <w:r w:rsidDel="00000000" w:rsidR="00000000" w:rsidRPr="00000000">
        <w:rPr>
          <w:i w:val="1"/>
          <w:iCs w:val="1"/>
          <w:rtl w:val="0"/>
        </w:rPr>
        <w:t xml:space="preserve">et al.,</w:t>
      </w:r>
      <w:r w:rsidDel="00000000" w:rsidR="00000000" w:rsidRPr="00000000">
        <w:rPr>
          <w:rtl w:val="0"/>
        </w:rPr>
        <w:t xml:space="preserve"> 2024). In contrast, failing to innovate quickly promotes buyers to replace the products of Unilever with other sustainable businesses, minimising their share in the market.</w:t>
      </w:r>
    </w:p>
    <w:p w:rsidR="00000000" w:rsidDel="00000000" w:rsidP="00000000" w:rsidRDefault="00000000" w:rsidRPr="00000000" w14:paraId="0000001D">
      <w:pPr>
        <w:spacing w:line="360" w:lineRule="auto"/>
        <w:rPr>
          <w:b w:val="1"/>
          <w:bCs w:val="1"/>
        </w:rPr>
      </w:pPr>
      <w:r w:rsidDel="00000000" w:rsidR="00000000" w:rsidRPr="00000000">
        <w:rPr>
          <w:rtl w:val="0"/>
        </w:rPr>
        <w:t xml:space="preserve">The elements of Porte’s Five Forces additionally shape talent management. AI adoption necessitates workers with advanced analytical digital and technological capabilities. At the same time, sustainability practices enhance demand for specialisation in regulatory compliance, responsible sourcing and ESG reporting (Shabir and Khalid, 2025). Hence, the focus of Unilever needs to remain on consistently investing in continuous learning and workforce upskilling to support strategic decision-making and innovation.</w:t>
      </w:r>
      <w:r w:rsidDel="00000000" w:rsidR="00000000" w:rsidRPr="00000000">
        <w:rPr>
          <w:rtl w:val="0"/>
        </w:rPr>
      </w:r>
    </w:p>
    <w:p w:rsidR="00000000" w:rsidDel="00000000" w:rsidP="00000000" w:rsidRDefault="00000000" w:rsidRPr="00000000" w14:paraId="0000001E">
      <w:pPr>
        <w:spacing w:line="360" w:lineRule="auto"/>
        <w:rPr/>
      </w:pPr>
      <w:r w:rsidDel="00000000" w:rsidR="00000000" w:rsidRPr="00000000">
        <w:rPr>
          <w:rtl w:val="0"/>
        </w:rPr>
        <w:t xml:space="preserve">As recommendations, to strengthen its global success, the focus of Unilever needs to be on the continuous expansion of investing in AI (Artificial Intelligence) throughout its international value chain. Improvement in the AI-focused predictive analytics, demand forecasting, and supply chain monitoring can reduce disruptions, enhance operational efficiency and underpin quicker strategic decision-making in the times of geopolitical ambiguity (Rungta, 2025). Simultaneously, Unilever needs to improve the programmes of workforce training in terms of developing digital capabilities alongside guaranteeing the workforce to efficiently use evolving technologies. </w:t>
      </w:r>
    </w:p>
    <w:p w:rsidR="00000000" w:rsidDel="00000000" w:rsidP="00000000" w:rsidRDefault="00000000" w:rsidRPr="00000000" w14:paraId="0000001F">
      <w:pPr>
        <w:spacing w:line="360" w:lineRule="auto"/>
        <w:rPr/>
      </w:pPr>
      <w:bookmarkStart w:colFirst="0" w:colLast="0" w:name="_heading=h.cb1j5e4guuxd" w:id="9"/>
      <w:bookmarkEnd w:id="9"/>
      <w:r w:rsidDel="00000000" w:rsidR="00000000" w:rsidRPr="00000000">
        <w:rPr>
          <w:rtl w:val="0"/>
        </w:rPr>
        <w:t xml:space="preserve">Further, the business must also concentrate on strengthening resilience in the supply chain through the diversification of suppliers throughout various geographical regions and enhancing regional or nearshoring sourcing wherever feasible (Fonseca, Tsolakis and Kumar, 2026). Such an approach can minimise reliance on high-risk trade pathways and enhance the continuity of business in the times of geopolitical disturbance. Lastly, accelerating sustainability strategy is further essential for Unilever by surpassing minimum CSRD requirements via enhanced investments in renewable energy, transparent supplier monitoring and circular packaging (Celli, Arduini and Beck, 2024). Partnering closely with the supply providers to enhance ESG reporting and environmental standards will minimise prolonged regulatory risks, enhance brand reputation and reinforce stakeholder trust.</w:t>
      </w:r>
      <w:r w:rsidDel="00000000" w:rsidR="00000000" w:rsidRPr="00000000">
        <w:br w:type="page"/>
      </w:r>
      <w:r w:rsidDel="00000000" w:rsidR="00000000" w:rsidRPr="00000000">
        <w:rPr>
          <w:rtl w:val="0"/>
        </w:rPr>
      </w:r>
    </w:p>
    <w:p w:rsidR="00000000" w:rsidDel="00000000" w:rsidP="00000000" w:rsidRDefault="00000000" w:rsidRPr="00000000" w14:paraId="00000020">
      <w:pPr>
        <w:pStyle w:val="Heading1"/>
        <w:spacing w:line="360" w:lineRule="auto"/>
        <w:rPr/>
      </w:pPr>
      <w:r w:rsidDel="00000000" w:rsidR="00000000" w:rsidRPr="00000000">
        <w:rPr>
          <w:rtl w:val="0"/>
        </w:rPr>
        <w:t xml:space="preserve">Conclusion</w:t>
      </w:r>
    </w:p>
    <w:p w:rsidR="00000000" w:rsidDel="00000000" w:rsidP="00000000" w:rsidRDefault="00000000" w:rsidRPr="00000000" w14:paraId="00000021">
      <w:pPr>
        <w:spacing w:line="360" w:lineRule="auto"/>
        <w:rPr/>
      </w:pPr>
      <w:r w:rsidDel="00000000" w:rsidR="00000000" w:rsidRPr="00000000">
        <w:rPr>
          <w:rtl w:val="0"/>
        </w:rPr>
        <w:t xml:space="preserve">To conclude, the global elements like geopolitical disruptions, AI, and sustainability regulations pose both challenges alongside presenting opportunities for brands like Unilever. Despite the improvement in innovation and operational efficiency with the use of AI, increased investment and transparency is needed for sustainability regulations and geopolitical uncertainty enhances risks in the supply chain. The application of both Porter’s Five Forces and PESTLE Analysis have been utilised which showcases the way external elements shape the market positioning, strategic decision-making and competitiveness of the business. The strategic recommendations are also outlined for Unilever to remain successful in the global markets, like establishing resilience in supply chains, strengthening digital capabilities, and boosting sustainable corporate initiatives. Insights into such global dynamics is fundamental for the development of efficient global business initiatives supporting prolonged resilience,  competitive advantage and growth in global landscapes.</w:t>
      </w:r>
      <w:r w:rsidDel="00000000" w:rsidR="00000000" w:rsidRPr="00000000">
        <w:br w:type="page"/>
      </w:r>
      <w:r w:rsidDel="00000000" w:rsidR="00000000" w:rsidRPr="00000000">
        <w:rPr>
          <w:rtl w:val="0"/>
        </w:rPr>
      </w:r>
    </w:p>
    <w:p w:rsidR="00000000" w:rsidDel="00000000" w:rsidP="00000000" w:rsidRDefault="00000000" w:rsidRPr="00000000" w14:paraId="00000022">
      <w:pPr>
        <w:pStyle w:val="Heading1"/>
        <w:spacing w:line="360" w:lineRule="auto"/>
        <w:rPr/>
      </w:pPr>
      <w:bookmarkStart w:colFirst="0" w:colLast="0" w:name="_heading=h.n26sqretsvgq" w:id="10"/>
      <w:bookmarkEnd w:id="10"/>
      <w:r w:rsidDel="00000000" w:rsidR="00000000" w:rsidRPr="00000000">
        <w:rPr>
          <w:rtl w:val="0"/>
        </w:rPr>
        <w:t xml:space="preserve">References</w:t>
      </w:r>
    </w:p>
    <w:p w:rsidR="00000000" w:rsidDel="00000000" w:rsidP="00000000" w:rsidRDefault="00000000" w:rsidRPr="00000000" w14:paraId="00000023">
      <w:pPr>
        <w:spacing w:line="360" w:lineRule="auto"/>
        <w:rPr/>
      </w:pPr>
      <w:r w:rsidDel="00000000" w:rsidR="00000000" w:rsidRPr="00000000">
        <w:rPr>
          <w:rtl w:val="0"/>
        </w:rPr>
        <w:t xml:space="preserve">Abatan, N.A., Lottu, A., Ugwuanyi, D., Jacks, S., Oluwademilade, E., Ifesinachi, A. and Obaigbena, N.A. (2024). Sustainable packaging innovations and their impact on HSE practices in the FMCG industry. </w:t>
      </w:r>
      <w:r w:rsidDel="00000000" w:rsidR="00000000" w:rsidRPr="00000000">
        <w:rPr>
          <w:i w:val="1"/>
          <w:iCs w:val="1"/>
          <w:rtl w:val="0"/>
        </w:rPr>
        <w:t xml:space="preserve">Magna Scientia Advanced Research and Reviews</w:t>
      </w:r>
      <w:r w:rsidDel="00000000" w:rsidR="00000000" w:rsidRPr="00000000">
        <w:rPr>
          <w:rtl w:val="0"/>
        </w:rPr>
        <w:t xml:space="preserve">, [online] 10(1), pp.379–391. doi:10.30574/msarr.2024.10.1.0029.</w:t>
      </w:r>
    </w:p>
    <w:p w:rsidR="00000000" w:rsidDel="00000000" w:rsidP="00000000" w:rsidRDefault="00000000" w:rsidRPr="00000000" w14:paraId="00000024">
      <w:pPr>
        <w:spacing w:line="360" w:lineRule="auto"/>
        <w:rPr/>
      </w:pPr>
      <w:r w:rsidDel="00000000" w:rsidR="00000000" w:rsidRPr="00000000">
        <w:rPr>
          <w:rtl w:val="0"/>
        </w:rPr>
        <w:t xml:space="preserve">Celli, M., Arduini, S. and Beck, T. (2024). Corporate Sustainability Reporting Directive (CSRD) and His Future Application Scenario for Italian SMEs. </w:t>
      </w:r>
      <w:r w:rsidDel="00000000" w:rsidR="00000000" w:rsidRPr="00000000">
        <w:rPr>
          <w:i w:val="1"/>
          <w:iCs w:val="1"/>
          <w:rtl w:val="0"/>
        </w:rPr>
        <w:t xml:space="preserve">International Journal of Business and Management</w:t>
      </w:r>
      <w:r w:rsidDel="00000000" w:rsidR="00000000" w:rsidRPr="00000000">
        <w:rPr>
          <w:rtl w:val="0"/>
        </w:rPr>
        <w:t xml:space="preserve">, 19(4), pp.44–44. doi:10.5539/ijbm.v19n4p44.</w:t>
      </w:r>
    </w:p>
    <w:p w:rsidR="00000000" w:rsidDel="00000000" w:rsidP="00000000" w:rsidRDefault="00000000" w:rsidRPr="00000000" w14:paraId="00000025">
      <w:pPr>
        <w:spacing w:line="360" w:lineRule="auto"/>
        <w:rPr/>
      </w:pPr>
      <w:r w:rsidDel="00000000" w:rsidR="00000000" w:rsidRPr="00000000">
        <w:rPr>
          <w:rtl w:val="0"/>
        </w:rPr>
        <w:t xml:space="preserve">Fonseca, M.A., Tsolakis, N. and Kumar, M. (2026). Managing supply chain resilience and cost trade-offs: aligning resources, competencies and capabilities. </w:t>
      </w:r>
      <w:r w:rsidDel="00000000" w:rsidR="00000000" w:rsidRPr="00000000">
        <w:rPr>
          <w:i w:val="1"/>
          <w:iCs w:val="1"/>
          <w:rtl w:val="0"/>
        </w:rPr>
        <w:t xml:space="preserve">Production Planning &amp; Control</w:t>
      </w:r>
      <w:r w:rsidDel="00000000" w:rsidR="00000000" w:rsidRPr="00000000">
        <w:rPr>
          <w:rtl w:val="0"/>
        </w:rPr>
        <w:t xml:space="preserve">, [online] 37(11), pp.1117–1160. doi:10.1080/09537287.2026.2618640.</w:t>
      </w:r>
    </w:p>
    <w:p w:rsidR="00000000" w:rsidDel="00000000" w:rsidP="00000000" w:rsidRDefault="00000000" w:rsidRPr="00000000" w14:paraId="00000026">
      <w:pPr>
        <w:spacing w:line="360" w:lineRule="auto"/>
        <w:rPr/>
      </w:pPr>
      <w:r w:rsidDel="00000000" w:rsidR="00000000" w:rsidRPr="00000000">
        <w:rPr>
          <w:rtl w:val="0"/>
        </w:rPr>
        <w:t xml:space="preserve">Goyal, A. (2020). </w:t>
      </w:r>
      <w:r w:rsidDel="00000000" w:rsidR="00000000" w:rsidRPr="00000000">
        <w:rPr>
          <w:i w:val="1"/>
          <w:iCs w:val="1"/>
          <w:rtl w:val="0"/>
        </w:rPr>
        <w:t xml:space="preserve">A Critical Analysis of Porter’s 5 Forces Model of Competitive Advantage</w:t>
      </w:r>
      <w:r w:rsidDel="00000000" w:rsidR="00000000" w:rsidRPr="00000000">
        <w:rPr>
          <w:rtl w:val="0"/>
        </w:rPr>
        <w:t xml:space="preserve">. [online] </w:t>
      </w:r>
      <w:r w:rsidDel="00000000" w:rsidR="00000000" w:rsidRPr="00000000">
        <w:rPr>
          <w:i w:val="1"/>
          <w:iCs w:val="1"/>
          <w:rtl w:val="0"/>
        </w:rPr>
        <w:t xml:space="preserve">Journal of Emerging Technologies and Innovative Research</w:t>
      </w:r>
      <w:r w:rsidDel="00000000" w:rsidR="00000000" w:rsidRPr="00000000">
        <w:rPr>
          <w:rtl w:val="0"/>
        </w:rPr>
        <w:t xml:space="preserve">, pp.149–152. Available at: https://www.researchgate.net/publication/348550277_A_Critical_Analysis_of_Porter.</w:t>
      </w:r>
    </w:p>
    <w:p w:rsidR="00000000" w:rsidDel="00000000" w:rsidP="00000000" w:rsidRDefault="00000000" w:rsidRPr="00000000" w14:paraId="00000027">
      <w:pPr>
        <w:spacing w:line="360" w:lineRule="auto"/>
        <w:rPr/>
      </w:pPr>
      <w:r w:rsidDel="00000000" w:rsidR="00000000" w:rsidRPr="00000000">
        <w:rPr>
          <w:rtl w:val="0"/>
        </w:rPr>
        <w:t xml:space="preserve">Gupta, A.K., Srivastava, M. and Mishra, A., (2026). Transparency and accountability essential to ESG performance in the supply chain: A Fuzzy DEMATEL approach. </w:t>
      </w:r>
      <w:r w:rsidDel="00000000" w:rsidR="00000000" w:rsidRPr="00000000">
        <w:rPr>
          <w:i w:val="1"/>
          <w:iCs w:val="1"/>
          <w:rtl w:val="0"/>
        </w:rPr>
        <w:t xml:space="preserve">Cleaner Logistics and Supply Chain</w:t>
      </w:r>
      <w:r w:rsidDel="00000000" w:rsidR="00000000" w:rsidRPr="00000000">
        <w:rPr>
          <w:rtl w:val="0"/>
        </w:rPr>
        <w:t xml:space="preserve">, p.100309.</w:t>
      </w:r>
    </w:p>
    <w:p w:rsidR="00000000" w:rsidDel="00000000" w:rsidP="00000000" w:rsidRDefault="00000000" w:rsidRPr="00000000" w14:paraId="00000028">
      <w:pPr>
        <w:spacing w:line="360" w:lineRule="auto"/>
        <w:rPr/>
      </w:pPr>
      <w:r w:rsidDel="00000000" w:rsidR="00000000" w:rsidRPr="00000000">
        <w:rPr>
          <w:rtl w:val="0"/>
        </w:rPr>
        <w:t xml:space="preserve">Hamed, A.M.K., (2025). The Impact of the Red Sea Crisis on Global Shipping and Strategic Supply Chain Management. </w:t>
      </w:r>
      <w:r w:rsidDel="00000000" w:rsidR="00000000" w:rsidRPr="00000000">
        <w:rPr>
          <w:i w:val="1"/>
          <w:iCs w:val="1"/>
          <w:rtl w:val="0"/>
        </w:rPr>
        <w:t xml:space="preserve">Iconic Research &amp; Engineering Journals</w:t>
      </w:r>
      <w:r w:rsidDel="00000000" w:rsidR="00000000" w:rsidRPr="00000000">
        <w:rPr>
          <w:rtl w:val="0"/>
        </w:rPr>
        <w:t xml:space="preserve">, </w:t>
      </w:r>
      <w:r w:rsidDel="00000000" w:rsidR="00000000" w:rsidRPr="00000000">
        <w:rPr>
          <w:i w:val="1"/>
          <w:iCs w:val="1"/>
          <w:rtl w:val="0"/>
        </w:rPr>
        <w:t xml:space="preserve">9</w:t>
      </w:r>
      <w:r w:rsidDel="00000000" w:rsidR="00000000" w:rsidRPr="00000000">
        <w:rPr>
          <w:rtl w:val="0"/>
        </w:rPr>
        <w:t xml:space="preserve">(4), pp.582-592.</w:t>
      </w:r>
    </w:p>
    <w:p w:rsidR="00000000" w:rsidDel="00000000" w:rsidP="00000000" w:rsidRDefault="00000000" w:rsidRPr="00000000" w14:paraId="00000029">
      <w:pPr>
        <w:spacing w:line="360" w:lineRule="auto"/>
        <w:rPr/>
      </w:pPr>
      <w:r w:rsidDel="00000000" w:rsidR="00000000" w:rsidRPr="00000000">
        <w:rPr>
          <w:rtl w:val="0"/>
        </w:rPr>
        <w:t xml:space="preserve">Khandare, S.N., (2024). </w:t>
      </w:r>
      <w:r w:rsidDel="00000000" w:rsidR="00000000" w:rsidRPr="00000000">
        <w:rPr>
          <w:i w:val="1"/>
          <w:iCs w:val="1"/>
          <w:rtl w:val="0"/>
        </w:rPr>
        <w:t xml:space="preserve">The Red Sea Crisis and Its Ripple Effect on Global Supply Chains and Sustainability</w:t>
      </w:r>
      <w:r w:rsidDel="00000000" w:rsidR="00000000" w:rsidRPr="00000000">
        <w:rPr>
          <w:rtl w:val="0"/>
        </w:rPr>
        <w:t xml:space="preserve">. [online] </w:t>
      </w:r>
      <w:r w:rsidDel="00000000" w:rsidR="00000000" w:rsidRPr="00000000">
        <w:rPr>
          <w:i w:val="1"/>
          <w:iCs w:val="1"/>
          <w:rtl w:val="0"/>
        </w:rPr>
        <w:t xml:space="preserve">ResearchGate</w:t>
      </w:r>
      <w:r w:rsidDel="00000000" w:rsidR="00000000" w:rsidRPr="00000000">
        <w:rPr>
          <w:rtl w:val="0"/>
        </w:rPr>
        <w:t xml:space="preserve">. Available at: https://www.researchgate.net/publication/382464181_The_Red_Sea_Crisis_and_Its_Ripple_Effect_on_Global_Supply_Chains_and_Sustainability.</w:t>
      </w:r>
    </w:p>
    <w:p w:rsidR="00000000" w:rsidDel="00000000" w:rsidP="00000000" w:rsidRDefault="00000000" w:rsidRPr="00000000" w14:paraId="0000002A">
      <w:pPr>
        <w:spacing w:line="360" w:lineRule="auto"/>
        <w:rPr/>
      </w:pPr>
      <w:r w:rsidDel="00000000" w:rsidR="00000000" w:rsidRPr="00000000">
        <w:rPr>
          <w:rtl w:val="0"/>
        </w:rPr>
        <w:t xml:space="preserve">Malaviya, R., (2023). Concept of globalisation. </w:t>
      </w:r>
      <w:r w:rsidDel="00000000" w:rsidR="00000000" w:rsidRPr="00000000">
        <w:rPr>
          <w:i w:val="1"/>
          <w:iCs w:val="1"/>
          <w:rtl w:val="0"/>
        </w:rPr>
        <w:t xml:space="preserve">Understanding Globalisation: Challenges and Prospects</w:t>
      </w:r>
      <w:r w:rsidDel="00000000" w:rsidR="00000000" w:rsidRPr="00000000">
        <w:rPr>
          <w:rtl w:val="0"/>
        </w:rPr>
        <w:t xml:space="preserve">.</w:t>
      </w:r>
    </w:p>
    <w:p w:rsidR="00000000" w:rsidDel="00000000" w:rsidP="00000000" w:rsidRDefault="00000000" w:rsidRPr="00000000" w14:paraId="0000002B">
      <w:pPr>
        <w:spacing w:line="360" w:lineRule="auto"/>
        <w:rPr/>
      </w:pPr>
      <w:r w:rsidDel="00000000" w:rsidR="00000000" w:rsidRPr="00000000">
        <w:rPr>
          <w:rtl w:val="0"/>
        </w:rPr>
        <w:t xml:space="preserve">Martinčević, I., Primorac, D. and Dorić, B. (2024). Corporate Sustainability Reporting Directive (CSRD): Obligations, Challenges and Requirements for Companies. </w:t>
      </w:r>
      <w:r w:rsidDel="00000000" w:rsidR="00000000" w:rsidRPr="00000000">
        <w:rPr>
          <w:i w:val="1"/>
          <w:iCs w:val="1"/>
          <w:rtl w:val="0"/>
        </w:rPr>
        <w:t xml:space="preserve">ENTRENOVA - ENTerprise REsearch InNOVAtion</w:t>
      </w:r>
      <w:r w:rsidDel="00000000" w:rsidR="00000000" w:rsidRPr="00000000">
        <w:rPr>
          <w:rtl w:val="0"/>
        </w:rPr>
        <w:t xml:space="preserve">, [online] 10(1), pp.317–327. doi:10.54820/entrenova-2024-0026.</w:t>
      </w:r>
    </w:p>
    <w:p w:rsidR="00000000" w:rsidDel="00000000" w:rsidP="00000000" w:rsidRDefault="00000000" w:rsidRPr="00000000" w14:paraId="0000002C">
      <w:pPr>
        <w:spacing w:line="360" w:lineRule="auto"/>
        <w:rPr/>
      </w:pPr>
      <w:r w:rsidDel="00000000" w:rsidR="00000000" w:rsidRPr="00000000">
        <w:rPr>
          <w:rtl w:val="0"/>
        </w:rPr>
        <w:t xml:space="preserve">Petrou Hadjipetrou, I. (2026). Awareness of Porter’s Five Forces Framework: A Research Paper. </w:t>
      </w:r>
      <w:r w:rsidDel="00000000" w:rsidR="00000000" w:rsidRPr="00000000">
        <w:rPr>
          <w:i w:val="1"/>
          <w:iCs w:val="1"/>
          <w:rtl w:val="0"/>
        </w:rPr>
        <w:t xml:space="preserve">Journal of Emerging Markets and Management</w:t>
      </w:r>
      <w:r w:rsidDel="00000000" w:rsidR="00000000" w:rsidRPr="00000000">
        <w:rPr>
          <w:rtl w:val="0"/>
        </w:rPr>
        <w:t xml:space="preserve">, [online] 2(2), pp.146–157. doi:10.63385/jemm.v2i2.96.</w:t>
      </w:r>
    </w:p>
    <w:p w:rsidR="00000000" w:rsidDel="00000000" w:rsidP="00000000" w:rsidRDefault="00000000" w:rsidRPr="00000000" w14:paraId="0000002D">
      <w:pPr>
        <w:spacing w:line="360" w:lineRule="auto"/>
        <w:rPr/>
      </w:pPr>
      <w:r w:rsidDel="00000000" w:rsidR="00000000" w:rsidRPr="00000000">
        <w:rPr>
          <w:rtl w:val="0"/>
        </w:rPr>
        <w:t xml:space="preserve">Rungta, R.V. (2025). AI-driven predictive analytics for demand forecasting and inventory optimization in Oracle Supply Chain Cloud. </w:t>
      </w:r>
      <w:r w:rsidDel="00000000" w:rsidR="00000000" w:rsidRPr="00000000">
        <w:rPr>
          <w:i w:val="1"/>
          <w:iCs w:val="1"/>
          <w:rtl w:val="0"/>
        </w:rPr>
        <w:t xml:space="preserve">World Journal of Advanced Engineering Technology and Sciences</w:t>
      </w:r>
      <w:r w:rsidDel="00000000" w:rsidR="00000000" w:rsidRPr="00000000">
        <w:rPr>
          <w:rtl w:val="0"/>
        </w:rPr>
        <w:t xml:space="preserve">, 17(2), pp.311–316. doi:10.30574/wjaets.2025.17.2.1498.</w:t>
      </w:r>
    </w:p>
    <w:p w:rsidR="00000000" w:rsidDel="00000000" w:rsidP="00000000" w:rsidRDefault="00000000" w:rsidRPr="00000000" w14:paraId="0000002E">
      <w:pPr>
        <w:spacing w:line="360" w:lineRule="auto"/>
        <w:rPr/>
      </w:pPr>
      <w:r w:rsidDel="00000000" w:rsidR="00000000" w:rsidRPr="00000000">
        <w:rPr>
          <w:rtl w:val="0"/>
        </w:rPr>
        <w:t xml:space="preserve">Saeed, S., Altamimi, S.A., Alkayyal, N.A., Alshehri, E. and Alabbad, D.A., (2023). Digital transformation and cybersecurity challenges for businesses resilience: Issues and recommendations. </w:t>
      </w:r>
      <w:r w:rsidDel="00000000" w:rsidR="00000000" w:rsidRPr="00000000">
        <w:rPr>
          <w:i w:val="1"/>
          <w:iCs w:val="1"/>
          <w:rtl w:val="0"/>
        </w:rPr>
        <w:t xml:space="preserve">Sensors</w:t>
      </w:r>
      <w:r w:rsidDel="00000000" w:rsidR="00000000" w:rsidRPr="00000000">
        <w:rPr>
          <w:rtl w:val="0"/>
        </w:rPr>
        <w:t xml:space="preserve">, </w:t>
      </w:r>
      <w:r w:rsidDel="00000000" w:rsidR="00000000" w:rsidRPr="00000000">
        <w:rPr>
          <w:i w:val="1"/>
          <w:iCs w:val="1"/>
          <w:rtl w:val="0"/>
        </w:rPr>
        <w:t xml:space="preserve">23</w:t>
      </w:r>
      <w:r w:rsidDel="00000000" w:rsidR="00000000" w:rsidRPr="00000000">
        <w:rPr>
          <w:rtl w:val="0"/>
        </w:rPr>
        <w:t xml:space="preserve">(15), p.6666.</w:t>
      </w:r>
    </w:p>
    <w:p w:rsidR="00000000" w:rsidDel="00000000" w:rsidP="00000000" w:rsidRDefault="00000000" w:rsidRPr="00000000" w14:paraId="0000002F">
      <w:pPr>
        <w:spacing w:line="360" w:lineRule="auto"/>
        <w:rPr/>
      </w:pPr>
      <w:r w:rsidDel="00000000" w:rsidR="00000000" w:rsidRPr="00000000">
        <w:rPr>
          <w:rtl w:val="0"/>
        </w:rPr>
        <w:t xml:space="preserve">Shabir, G., and Khalid, T. (2025). </w:t>
      </w:r>
      <w:r w:rsidDel="00000000" w:rsidR="00000000" w:rsidRPr="00000000">
        <w:rPr>
          <w:i w:val="1"/>
          <w:iCs w:val="1"/>
          <w:rtl w:val="0"/>
        </w:rPr>
        <w:t xml:space="preserve">ESG Metrics and Sustainability Reporting: Enhancing Strategic Decision- Making, Risk Management, and Regulatory Compliance in a Globalized Financial Landscape</w:t>
      </w:r>
      <w:r w:rsidDel="00000000" w:rsidR="00000000" w:rsidRPr="00000000">
        <w:rPr>
          <w:rtl w:val="0"/>
        </w:rPr>
        <w:t xml:space="preserve">. [online] doi:10.13140/RG.2.2.33183.88480.</w:t>
      </w:r>
    </w:p>
    <w:p w:rsidR="00000000" w:rsidDel="00000000" w:rsidP="00000000" w:rsidRDefault="00000000" w:rsidRPr="00000000" w14:paraId="00000030">
      <w:pPr>
        <w:spacing w:line="360" w:lineRule="auto"/>
        <w:rPr/>
      </w:pPr>
      <w:r w:rsidDel="00000000" w:rsidR="00000000" w:rsidRPr="00000000">
        <w:rPr>
          <w:rtl w:val="0"/>
        </w:rPr>
        <w:t xml:space="preserve">Unilever. (2021). </w:t>
      </w:r>
      <w:r w:rsidDel="00000000" w:rsidR="00000000" w:rsidRPr="00000000">
        <w:rPr>
          <w:i w:val="1"/>
          <w:iCs w:val="1"/>
          <w:rtl w:val="0"/>
        </w:rPr>
        <w:t xml:space="preserve">Our company</w:t>
      </w:r>
      <w:r w:rsidDel="00000000" w:rsidR="00000000" w:rsidRPr="00000000">
        <w:rPr>
          <w:rtl w:val="0"/>
        </w:rPr>
        <w:t xml:space="preserve">. [online] Available at: https://www.unilever.com/our-company/ [Accessed 7 Aug. 2026].</w:t>
      </w:r>
    </w:p>
    <w:p w:rsidR="00000000" w:rsidDel="00000000" w:rsidP="00000000" w:rsidRDefault="00000000" w:rsidRPr="00000000" w14:paraId="00000031">
      <w:pPr>
        <w:spacing w:line="360" w:lineRule="auto"/>
        <w:rPr/>
      </w:pPr>
      <w:r w:rsidDel="00000000" w:rsidR="00000000" w:rsidRPr="00000000">
        <w:rPr>
          <w:rtl w:val="0"/>
        </w:rPr>
        <w:t xml:space="preserve">Yüksel, İ. (2012). </w:t>
      </w:r>
      <w:r w:rsidDel="00000000" w:rsidR="00000000" w:rsidRPr="00000000">
        <w:rPr>
          <w:i w:val="1"/>
          <w:iCs w:val="1"/>
          <w:rtl w:val="0"/>
        </w:rPr>
        <w:t xml:space="preserve">Developing a Multi-Criteria Decision Making Model for PESTEL Analysis</w:t>
      </w:r>
      <w:r w:rsidDel="00000000" w:rsidR="00000000" w:rsidRPr="00000000">
        <w:rPr>
          <w:rtl w:val="0"/>
        </w:rPr>
        <w:t xml:space="preserve">. [online] </w:t>
      </w:r>
      <w:r w:rsidDel="00000000" w:rsidR="00000000" w:rsidRPr="00000000">
        <w:rPr>
          <w:i w:val="1"/>
          <w:iCs w:val="1"/>
          <w:rtl w:val="0"/>
        </w:rPr>
        <w:t xml:space="preserve">ResearchGate</w:t>
      </w:r>
      <w:r w:rsidDel="00000000" w:rsidR="00000000" w:rsidRPr="00000000">
        <w:rPr>
          <w:rtl w:val="0"/>
        </w:rPr>
        <w:t xml:space="preserve">. Available at: https://www.researchgate.net/publication/274863692_Developing_a_Multi-Criteria_Decision_Making_Model_for_PESTEL_Analysis.</w:t>
      </w:r>
    </w:p>
    <w:sectPr>
      <w:footerReference r:id="rId8"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b w:val="1"/>
      <w:bCs w:val="1"/>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iCs w:val="1"/>
      <w:color w:val="666666"/>
      <w:sz w:val="22"/>
      <w:szCs w:val="22"/>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paragraph" w:styleId="TOCHeading">
    <w:name w:val="TOC Heading"/>
    <w:basedOn w:val="Heading1"/>
    <w:next w:val="Normal"/>
    <w:uiPriority w:val="39"/>
    <w:unhideWhenUsed w:val="1"/>
    <w:qFormat w:val="1"/>
    <w:rsid w:val="0079012F"/>
    <w:pPr>
      <w:spacing w:before="240" w:line="259" w:lineRule="auto"/>
      <w:jc w:val="left"/>
      <w:outlineLvl w:val="9"/>
    </w:pPr>
    <w:rPr>
      <w:rFonts w:asciiTheme="majorHAnsi" w:cstheme="majorBidi" w:eastAsiaTheme="majorEastAsia" w:hAnsiTheme="majorHAnsi"/>
      <w:b w:val="0"/>
      <w:bCs w:val="0"/>
      <w:color w:val="365f91" w:themeColor="accent1" w:themeShade="0000BF"/>
      <w:sz w:val="32"/>
      <w:szCs w:val="32"/>
      <w:lang w:eastAsia="en-US" w:val="en-US"/>
    </w:rPr>
  </w:style>
  <w:style w:type="paragraph" w:styleId="TOC1">
    <w:name w:val="toc 1"/>
    <w:basedOn w:val="Normal"/>
    <w:next w:val="Normal"/>
    <w:autoRedefine w:val="1"/>
    <w:uiPriority w:val="39"/>
    <w:unhideWhenUsed w:val="1"/>
    <w:rsid w:val="0079012F"/>
    <w:pPr>
      <w:spacing w:after="100"/>
    </w:pPr>
  </w:style>
  <w:style w:type="character" w:styleId="Hyperlink">
    <w:name w:val="Hyperlink"/>
    <w:basedOn w:val="DefaultParagraphFont"/>
    <w:uiPriority w:val="99"/>
    <w:unhideWhenUsed w:val="1"/>
    <w:rsid w:val="0079012F"/>
    <w:rPr>
      <w:color w:val="0000ff" w:themeColor="hyperlink"/>
      <w:u w:val="single"/>
    </w:rPr>
  </w:style>
  <w:style w:type="paragraph" w:styleId="Header">
    <w:name w:val="header"/>
    <w:basedOn w:val="Normal"/>
    <w:link w:val="HeaderChar"/>
    <w:uiPriority w:val="99"/>
    <w:unhideWhenUsed w:val="1"/>
    <w:rsid w:val="00D1154F"/>
    <w:pPr>
      <w:tabs>
        <w:tab w:val="center" w:pos="4513"/>
        <w:tab w:val="right" w:pos="9026"/>
      </w:tabs>
      <w:spacing w:line="240" w:lineRule="auto"/>
    </w:pPr>
  </w:style>
  <w:style w:type="character" w:styleId="HeaderChar" w:customStyle="1">
    <w:name w:val="Header Char"/>
    <w:basedOn w:val="DefaultParagraphFont"/>
    <w:link w:val="Header"/>
    <w:uiPriority w:val="99"/>
    <w:rsid w:val="00D1154F"/>
  </w:style>
  <w:style w:type="paragraph" w:styleId="Footer">
    <w:name w:val="footer"/>
    <w:basedOn w:val="Normal"/>
    <w:link w:val="FooterChar"/>
    <w:uiPriority w:val="99"/>
    <w:unhideWhenUsed w:val="1"/>
    <w:rsid w:val="00D1154F"/>
    <w:pPr>
      <w:tabs>
        <w:tab w:val="center" w:pos="4513"/>
        <w:tab w:val="right" w:pos="9026"/>
      </w:tabs>
      <w:spacing w:line="240" w:lineRule="auto"/>
    </w:pPr>
  </w:style>
  <w:style w:type="character" w:styleId="FooterChar" w:customStyle="1">
    <w:name w:val="Footer Char"/>
    <w:basedOn w:val="DefaultParagraphFont"/>
    <w:link w:val="Footer"/>
    <w:uiPriority w:val="99"/>
    <w:rsid w:val="00D1154F"/>
  </w:style>
  <w:style w:type="paragraph" w:styleId="Subtitle">
    <w:name w:val="Subtitle"/>
    <w:basedOn w:val="Normal"/>
    <w:next w:val="Normal"/>
    <w:pPr>
      <w:keepNext w:val="1"/>
      <w:keepLines w:val="1"/>
      <w:spacing w:after="320" w:lineRule="auto"/>
    </w:pPr>
    <w:rPr>
      <w:rFonts w:ascii="Arial" w:cs="Arial" w:eastAsia="Arial" w:hAnsi="Arial"/>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4GSml6EgUUPzX6N/J1cAHPxN+A==">CgMxLjAyDmguMnpoYXFvNWJsMmpiMg5oLmIzM3VucDZnNXc3NzIOaC42ZDl1YjViY3FwN2IyDmgubXpzaG52M3M4cTBnMg1oLnIxaGc3cG1qOWRhMg5oLnA1bTVqdmg4ZzMyYjIOaC5odXFlbGUxNXh3M2UyDmgubTM0bmp1emRmZ2ZtMg5oLmc0N2dzNnRkNnZkczIOaC5jYjFqNWU0Z3V1eGQyDmgubjI2c3FyZXRzdmdxOAByITFLcy1CeUM2VHhTRC1vbTVLOGZnRU50SmxXcUVfa0ljZ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2026-08-07T12:14:00Z</dcterms:created>
</cp:coreProperties>
</file>