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EB0B2" w14:textId="3B5F2FFB" w:rsidR="00A7235F" w:rsidRDefault="00A7235F">
      <w:pPr>
        <w:spacing w:after="120"/>
        <w:jc w:val="center"/>
        <w:rPr>
          <w:b/>
          <w:bCs/>
          <w:sz w:val="28"/>
          <w:szCs w:val="28"/>
        </w:rPr>
      </w:pPr>
      <w:r>
        <w:rPr>
          <w:b/>
          <w:bCs/>
          <w:sz w:val="28"/>
          <w:szCs w:val="28"/>
        </w:rPr>
        <w:t xml:space="preserve">Emily Brown </w:t>
      </w:r>
    </w:p>
    <w:p w14:paraId="5F1F900E" w14:textId="11AB2A02" w:rsidR="00A7235F" w:rsidRDefault="00A7235F">
      <w:pPr>
        <w:spacing w:after="120"/>
        <w:jc w:val="center"/>
        <w:rPr>
          <w:b/>
          <w:bCs/>
          <w:sz w:val="28"/>
          <w:szCs w:val="28"/>
        </w:rPr>
      </w:pPr>
      <w:r>
        <w:rPr>
          <w:b/>
          <w:bCs/>
          <w:sz w:val="28"/>
          <w:szCs w:val="28"/>
        </w:rPr>
        <w:t xml:space="preserve">Essay </w:t>
      </w:r>
    </w:p>
    <w:p w14:paraId="38A64860" w14:textId="77777777" w:rsidR="00BB2634" w:rsidRDefault="00BB2634" w:rsidP="00BB2634">
      <w:pPr>
        <w:spacing w:after="480"/>
        <w:jc w:val="center"/>
      </w:pPr>
      <w:r>
        <w:t>Module: Writing for University</w:t>
      </w:r>
    </w:p>
    <w:p w14:paraId="1F1C2D5E" w14:textId="5BFD5E4D" w:rsidR="00BE4A49" w:rsidRDefault="00814572" w:rsidP="00BB2634">
      <w:pPr>
        <w:spacing w:after="120"/>
        <w:jc w:val="center"/>
      </w:pPr>
      <w:r>
        <w:rPr>
          <w:b/>
          <w:bCs/>
          <w:sz w:val="28"/>
          <w:szCs w:val="28"/>
        </w:rPr>
        <w:t>Christianity in Britain: From Roman Arrival to Modern Pluralism</w:t>
      </w:r>
    </w:p>
    <w:p w14:paraId="74BA0881" w14:textId="77777777" w:rsidR="00BB2634" w:rsidRDefault="00BB2634">
      <w:pPr>
        <w:spacing w:after="200"/>
        <w:jc w:val="both"/>
      </w:pPr>
    </w:p>
    <w:p w14:paraId="3B2244E4" w14:textId="1FE5454F" w:rsidR="00BE4A49" w:rsidRDefault="00BB2634">
      <w:pPr>
        <w:spacing w:after="200"/>
        <w:jc w:val="both"/>
      </w:pPr>
      <w:r>
        <w:t xml:space="preserve"> </w:t>
      </w:r>
      <w:r w:rsidR="00814572">
        <w:t>Christianity has played a central role in shaping Britain’s history, culture, laws, and identity for well over a thousand years. From its earliest traces in Roman Britain to the complex religious landscape of the twenty-first century, the Christian faith has gone through significant periods of growth, conflict, reform, and decline. This essay will explore the key stages of Christianity’s development in Britain, beginning with the Roman period and moving through the Anglo-Saxon conversions, the medieval Chur</w:t>
      </w:r>
      <w:r w:rsidR="00814572">
        <w:t>ch, the Reformation, denominational diversity, and finally the modern challenges of secularisation. By examining these stages, it becomes clear that Christianity’s influence on British society, although diminishing in terms of regular worship, remains deeply embedded in the nation’s institutions and cultural life.</w:t>
      </w:r>
    </w:p>
    <w:p w14:paraId="2CB9C1BC" w14:textId="77777777" w:rsidR="00BE4A49" w:rsidRDefault="00814572">
      <w:pPr>
        <w:spacing w:after="200"/>
        <w:jc w:val="both"/>
      </w:pPr>
      <w:r>
        <w:t xml:space="preserve">The earliest evidence of Christianity in Britain </w:t>
      </w:r>
      <w:proofErr w:type="gramStart"/>
      <w:r>
        <w:t>dates back to</w:t>
      </w:r>
      <w:proofErr w:type="gramEnd"/>
      <w:r>
        <w:t xml:space="preserve"> around the third century, during the period of Roman occupation. Archaeological discoveries such as the </w:t>
      </w:r>
      <w:proofErr w:type="spellStart"/>
      <w:r>
        <w:t>Lullingstone</w:t>
      </w:r>
      <w:proofErr w:type="spellEnd"/>
      <w:r>
        <w:t xml:space="preserve"> villa chapel in Kent and the Water Newton treasure, which is the oldest known collection of Christian silver in the Roman Empire, confirm that Christian communities existed in Roman Britain.</w:t>
      </w:r>
      <w:r>
        <w:rPr>
          <w:sz w:val="20"/>
          <w:szCs w:val="20"/>
          <w:vertAlign w:val="superscript"/>
        </w:rPr>
        <w:t>1</w:t>
      </w:r>
      <w:r>
        <w:t xml:space="preserve"> St Alban, traditionally regarded as Britain’s first Christian martyr, is believed to have died for his faith during this era, and British bishops are recorded as having attended the Council</w:t>
      </w:r>
      <w:r>
        <w:t xml:space="preserve"> of Arles in 314 CE.</w:t>
      </w:r>
      <w:r>
        <w:rPr>
          <w:sz w:val="20"/>
          <w:szCs w:val="20"/>
          <w:vertAlign w:val="superscript"/>
        </w:rPr>
        <w:t>2</w:t>
      </w:r>
      <w:r>
        <w:t xml:space="preserve"> After the Romans withdrew from Britain in the early fifth century, Christianity did not disappear; instead, it continued to thrive in Celtic-speaking areas such as Wales, Ireland, Scotland, and Cornwall. Figures like Saints Patrick, Columba, and David </w:t>
      </w:r>
      <w:r>
        <w:lastRenderedPageBreak/>
        <w:t>established monastic communities that became important centres of learning and manuscript production. Notably, Celtic Christianity had its own distinctive practices, including a different method for calculating the date of Easter.</w:t>
      </w:r>
    </w:p>
    <w:p w14:paraId="6D4A1A24" w14:textId="77777777" w:rsidR="00BE4A49" w:rsidRDefault="00814572">
      <w:pPr>
        <w:spacing w:after="200"/>
        <w:jc w:val="both"/>
      </w:pPr>
      <w:r>
        <w:t>A major turning point came in 597 CE, when Pope Gregory I sent Augustine of Canterbury to convert the Anglo-Saxon kingdoms. Augustine founded the See of Canterbury, which to this day remains the spiritual centre of the Church of England. King Æthelberht of Kent became the first Anglo-Saxon king to be baptised, signalling the beginning of widespread conversion.</w:t>
      </w:r>
      <w:r>
        <w:rPr>
          <w:sz w:val="20"/>
          <w:szCs w:val="20"/>
          <w:vertAlign w:val="superscript"/>
        </w:rPr>
        <w:t>3</w:t>
      </w:r>
      <w:r>
        <w:t xml:space="preserve"> However, tensions between the Roman and Celtic traditions needed to be resolved. The Synod of Whitby in 664 CE settled these differences largely in favour of Roman practices, particularly regarding the calculation of Easter, and brought the English Church under unified Roman authority. This period also produced one of Britain’s greatest early scholars, the Venerable Bede, whose Ecclesiastical History of the English People remains the primary source for understanding the conversion of Anglo-Saxon England.</w:t>
      </w:r>
      <w:r>
        <w:rPr>
          <w:sz w:val="20"/>
          <w:szCs w:val="20"/>
          <w:vertAlign w:val="superscript"/>
        </w:rPr>
        <w:t>4</w:t>
      </w:r>
    </w:p>
    <w:p w14:paraId="4ED9D6E8" w14:textId="77777777" w:rsidR="00BE4A49" w:rsidRDefault="00814572">
      <w:pPr>
        <w:spacing w:after="200"/>
        <w:jc w:val="both"/>
      </w:pPr>
      <w:r>
        <w:t>During the medieval period, the Church became the most powerful institution in Britain after the Crown. It was the largest landowner and played a dominant role in virtually every aspect of daily life. The parish system provided not only religious services but also local governance, welfare, and education. Canon law governed matters such as marriage, inheritance, and moral conduct. Culturally, the Church’s influence was enormous: the universities of Oxford and Cambridge were founded with ecclesiastical suppo</w:t>
      </w:r>
      <w:r>
        <w:t>rt, monastic scriptoria preserved classical and theological texts, and the great cathedrals of Canterbury, York, Durham, and Salisbury were built as expressions of both faith and civic pride.</w:t>
      </w:r>
      <w:r>
        <w:rPr>
          <w:sz w:val="20"/>
          <w:szCs w:val="20"/>
          <w:vertAlign w:val="superscript"/>
        </w:rPr>
        <w:t>5</w:t>
      </w:r>
      <w:r>
        <w:t xml:space="preserve"> Pilgrimage to shrines, most famously that of Thomas Becket at Canterbury, became an important feature of cultural and religious life.</w:t>
      </w:r>
    </w:p>
    <w:p w14:paraId="161657A1" w14:textId="77777777" w:rsidR="00BE4A49" w:rsidRDefault="00814572">
      <w:pPr>
        <w:spacing w:after="200"/>
        <w:jc w:val="both"/>
      </w:pPr>
      <w:r>
        <w:lastRenderedPageBreak/>
        <w:t xml:space="preserve">The sixteenth century brought dramatic upheaval with the English Reformation. In 1534, Henry VIII’s Act of Supremacy declared the monarch the Supreme Head of the Church of England, breaking ties with papal authority in Rome. This was followed by the Dissolution of the Monasteries between 1536 and 1539, which resulted in a vast transfer of Church wealth and land to the Crown and its supporters. Under Edward VI, the Book of Common Prayer was introduced in 1549, and the Elizabethan Settlement of 1559 sought a </w:t>
      </w:r>
      <w:r>
        <w:t>middle way, or via media, between Catholicism and Protestantism.</w:t>
      </w:r>
      <w:r>
        <w:rPr>
          <w:sz w:val="20"/>
          <w:szCs w:val="20"/>
          <w:vertAlign w:val="superscript"/>
        </w:rPr>
        <w:t>6</w:t>
      </w:r>
      <w:r>
        <w:t xml:space="preserve"> The publication of the King James Bible in 1611 had an enduring impact on both English literature and Protestant theology, and it remains one of the most widely read texts in the English language.</w:t>
      </w:r>
    </w:p>
    <w:p w14:paraId="722C6AB1" w14:textId="77777777" w:rsidR="00BE4A49" w:rsidRDefault="00814572">
      <w:pPr>
        <w:spacing w:after="200"/>
        <w:jc w:val="both"/>
      </w:pPr>
      <w:r>
        <w:t>Following the Reformation, Christianity in Britain became increasingly diverse. The Church of England remained the established church, with the monarch as its Supreme Governor and twenty-six bishops sitting in the House of Lords. Roman Catholicism, although suppressed after the Reformation, gradually regained its footing, particularly after the Catholic Relief Act of 1829, and later grew through waves of Irish and Polish immigration.</w:t>
      </w:r>
      <w:r>
        <w:rPr>
          <w:sz w:val="20"/>
          <w:szCs w:val="20"/>
          <w:vertAlign w:val="superscript"/>
        </w:rPr>
        <w:t>7</w:t>
      </w:r>
      <w:r>
        <w:t xml:space="preserve"> Meanwhile, Nonconformist denominations such as the Methodists, Baptists, Quakers, and Congregationalists emerged from the seventeenth and eighteenth centuries onwards. These groups were instrumental in driving social reform, including the abolition of the slave trade, the expansion of education, and the development of trade unions.</w:t>
      </w:r>
    </w:p>
    <w:p w14:paraId="2D05F2C6" w14:textId="77777777" w:rsidR="00BE4A49" w:rsidRDefault="00814572">
      <w:pPr>
        <w:spacing w:after="200"/>
        <w:jc w:val="both"/>
      </w:pPr>
      <w:r>
        <w:t>Christianity’s impact on British society has extended well beyond the church walls. Christian campaigners such as William Wilberforce led the movement to abolish slavery, while Elizabeth Fry championed prison reform. Church schools educated the majority of British children until the Education Act of 1870, and today approximately one third of English primary schools remain affiliated with the Church of England.</w:t>
      </w:r>
      <w:r>
        <w:rPr>
          <w:sz w:val="20"/>
          <w:szCs w:val="20"/>
          <w:vertAlign w:val="superscript"/>
        </w:rPr>
        <w:t>8</w:t>
      </w:r>
      <w:r>
        <w:t xml:space="preserve"> British missionary societies also played a significant role in establishing Christian communities around the world, linking British </w:t>
      </w:r>
      <w:r>
        <w:lastRenderedPageBreak/>
        <w:t>Christianity to the global Anglican Communion, which now numbers some eighty-five million members.</w:t>
      </w:r>
    </w:p>
    <w:p w14:paraId="583F741D" w14:textId="77777777" w:rsidR="00BE4A49" w:rsidRDefault="00814572">
      <w:pPr>
        <w:spacing w:after="200"/>
        <w:jc w:val="both"/>
      </w:pPr>
      <w:r>
        <w:t>In the modern era, however, Christianity in Britain faces substantial challenges. The 2021 Census showed that only 46 per cent of the population identified as Christian, a sharp decline from 72 per cent in 2001. The category of ‘no religion’ has become the fastest-growing group, at 37 per cent, and regular weekly church attendance is estimated at just 2 per cent of the population.</w:t>
      </w:r>
      <w:r>
        <w:rPr>
          <w:sz w:val="20"/>
          <w:szCs w:val="20"/>
          <w:vertAlign w:val="superscript"/>
        </w:rPr>
        <w:t>9</w:t>
      </w:r>
      <w:r>
        <w:t xml:space="preserve"> Secularisation, which has accelerated since the 1960s, has led to a significant decline in institutional religious participation. At the same time, immigration has brought fresh energy to certain Christian communities, with Pentecostal and Catholic congregations experiencing notable growth. Ongoing debates within the Church over issues such as same-sex marriage, women bishops, and assisted dying reflect the broader tensions between tradition and contemporary social values.</w:t>
      </w:r>
    </w:p>
    <w:p w14:paraId="155662BE" w14:textId="77777777" w:rsidR="00BE4A49" w:rsidRDefault="00814572">
      <w:pPr>
        <w:spacing w:after="200"/>
        <w:jc w:val="both"/>
      </w:pPr>
      <w:r>
        <w:t>In conclusion, Christianity’s journey in Britain has been one of remarkable transformation. From its humble beginnings in Roman villas to its position as the dominant force in medieval society, through the upheavals of the Reformation and the rise of denominational diversity, and into the challenges of the secular modern age, the faith has continually adapted to changing circumstances. While regular church attendance has declined sharply, Christianity’s legacy remains visible in Britain’s legal system, educ</w:t>
      </w:r>
      <w:r>
        <w:t>ational institutions, cultural heritage, and charitable sector. Understanding this history is essential for making sense of modern British identity and the ongoing relationship between religion and public life.</w:t>
      </w:r>
    </w:p>
    <w:p w14:paraId="2E16BD36" w14:textId="77777777" w:rsidR="00BE4A49" w:rsidRDefault="00BE4A49">
      <w:pPr>
        <w:spacing w:before="480"/>
      </w:pPr>
    </w:p>
    <w:p w14:paraId="39657E35" w14:textId="77777777" w:rsidR="00BE4A49" w:rsidRDefault="00814572">
      <w:pPr>
        <w:pBdr>
          <w:top w:val="single" w:sz="6" w:space="4" w:color="000000"/>
        </w:pBdr>
        <w:spacing w:before="240" w:after="240"/>
      </w:pPr>
      <w:r>
        <w:rPr>
          <w:b/>
          <w:bCs/>
        </w:rPr>
        <w:t>Notes</w:t>
      </w:r>
    </w:p>
    <w:p w14:paraId="05A79CEF" w14:textId="77777777" w:rsidR="00BE4A49" w:rsidRDefault="00814572">
      <w:pPr>
        <w:spacing w:after="80" w:line="276" w:lineRule="auto"/>
        <w:ind w:left="360" w:hanging="360"/>
      </w:pPr>
      <w:r>
        <w:rPr>
          <w:sz w:val="20"/>
          <w:szCs w:val="20"/>
          <w:vertAlign w:val="superscript"/>
        </w:rPr>
        <w:t xml:space="preserve">1. </w:t>
      </w:r>
      <w:r>
        <w:rPr>
          <w:sz w:val="20"/>
          <w:szCs w:val="20"/>
        </w:rPr>
        <w:t>Charles Thomas, Christianity in Roman Britain to AD 500 (London: Batsford, 1981), pp. 48–72.</w:t>
      </w:r>
    </w:p>
    <w:p w14:paraId="0A3C42F6" w14:textId="77777777" w:rsidR="00BE4A49" w:rsidRDefault="00814572">
      <w:pPr>
        <w:spacing w:after="80" w:line="276" w:lineRule="auto"/>
        <w:ind w:left="360" w:hanging="360"/>
      </w:pPr>
      <w:r>
        <w:rPr>
          <w:sz w:val="20"/>
          <w:szCs w:val="20"/>
          <w:vertAlign w:val="superscript"/>
        </w:rPr>
        <w:lastRenderedPageBreak/>
        <w:t xml:space="preserve">2. </w:t>
      </w:r>
      <w:r>
        <w:rPr>
          <w:sz w:val="20"/>
          <w:szCs w:val="20"/>
        </w:rPr>
        <w:t xml:space="preserve">Henry Chadwick, The Early Church, rev. </w:t>
      </w:r>
      <w:proofErr w:type="spellStart"/>
      <w:r>
        <w:rPr>
          <w:sz w:val="20"/>
          <w:szCs w:val="20"/>
        </w:rPr>
        <w:t>edn</w:t>
      </w:r>
      <w:proofErr w:type="spellEnd"/>
      <w:r>
        <w:rPr>
          <w:sz w:val="20"/>
          <w:szCs w:val="20"/>
        </w:rPr>
        <w:t xml:space="preserve"> (London: Penguin, 1993), pp. 12–15.</w:t>
      </w:r>
    </w:p>
    <w:p w14:paraId="44E18B71" w14:textId="77777777" w:rsidR="00BE4A49" w:rsidRDefault="00814572">
      <w:pPr>
        <w:spacing w:after="80" w:line="276" w:lineRule="auto"/>
        <w:ind w:left="360" w:hanging="360"/>
      </w:pPr>
      <w:r>
        <w:rPr>
          <w:sz w:val="20"/>
          <w:szCs w:val="20"/>
          <w:vertAlign w:val="superscript"/>
        </w:rPr>
        <w:t xml:space="preserve">3. </w:t>
      </w:r>
      <w:r>
        <w:rPr>
          <w:sz w:val="20"/>
          <w:szCs w:val="20"/>
        </w:rPr>
        <w:t xml:space="preserve">Bede, Ecclesiastical History of the English People, trans. by Leo Sherley-Price, rev. </w:t>
      </w:r>
      <w:proofErr w:type="spellStart"/>
      <w:r>
        <w:rPr>
          <w:sz w:val="20"/>
          <w:szCs w:val="20"/>
        </w:rPr>
        <w:t>edn</w:t>
      </w:r>
      <w:proofErr w:type="spellEnd"/>
      <w:r>
        <w:rPr>
          <w:sz w:val="20"/>
          <w:szCs w:val="20"/>
        </w:rPr>
        <w:t xml:space="preserve"> (London: Penguin, 1990), Book I, </w:t>
      </w:r>
      <w:proofErr w:type="spellStart"/>
      <w:r>
        <w:rPr>
          <w:sz w:val="20"/>
          <w:szCs w:val="20"/>
        </w:rPr>
        <w:t>ch.</w:t>
      </w:r>
      <w:proofErr w:type="spellEnd"/>
      <w:r>
        <w:rPr>
          <w:sz w:val="20"/>
          <w:szCs w:val="20"/>
        </w:rPr>
        <w:t xml:space="preserve"> 25.</w:t>
      </w:r>
    </w:p>
    <w:p w14:paraId="1BAF511C" w14:textId="77777777" w:rsidR="00BE4A49" w:rsidRDefault="00814572">
      <w:pPr>
        <w:spacing w:after="80" w:line="276" w:lineRule="auto"/>
        <w:ind w:left="360" w:hanging="360"/>
      </w:pPr>
      <w:r>
        <w:rPr>
          <w:sz w:val="20"/>
          <w:szCs w:val="20"/>
          <w:vertAlign w:val="superscript"/>
        </w:rPr>
        <w:t xml:space="preserve">4. </w:t>
      </w:r>
      <w:r>
        <w:rPr>
          <w:sz w:val="20"/>
          <w:szCs w:val="20"/>
        </w:rPr>
        <w:t xml:space="preserve">Bede, Book III, </w:t>
      </w:r>
      <w:proofErr w:type="spellStart"/>
      <w:r>
        <w:rPr>
          <w:sz w:val="20"/>
          <w:szCs w:val="20"/>
        </w:rPr>
        <w:t>ch.</w:t>
      </w:r>
      <w:proofErr w:type="spellEnd"/>
      <w:r>
        <w:rPr>
          <w:sz w:val="20"/>
          <w:szCs w:val="20"/>
        </w:rPr>
        <w:t xml:space="preserve"> 25; see also J. Morris, ‘The Church in British Archaeology’, CBA Research Report 47 (London: Council for British Archaeology, 1995), pp. 30–45.</w:t>
      </w:r>
    </w:p>
    <w:p w14:paraId="2FC75798" w14:textId="77777777" w:rsidR="00BE4A49" w:rsidRDefault="00814572">
      <w:pPr>
        <w:spacing w:after="80" w:line="276" w:lineRule="auto"/>
        <w:ind w:left="360" w:hanging="360"/>
      </w:pPr>
      <w:r>
        <w:rPr>
          <w:sz w:val="20"/>
          <w:szCs w:val="20"/>
          <w:vertAlign w:val="superscript"/>
        </w:rPr>
        <w:t xml:space="preserve">5. </w:t>
      </w:r>
      <w:r>
        <w:rPr>
          <w:sz w:val="20"/>
          <w:szCs w:val="20"/>
        </w:rPr>
        <w:t xml:space="preserve">Eamon Duffy, The Stripping of the Altars: Traditional Religion in England 1400–1580, 2nd </w:t>
      </w:r>
      <w:proofErr w:type="spellStart"/>
      <w:r>
        <w:rPr>
          <w:sz w:val="20"/>
          <w:szCs w:val="20"/>
        </w:rPr>
        <w:t>edn</w:t>
      </w:r>
      <w:proofErr w:type="spellEnd"/>
      <w:r>
        <w:rPr>
          <w:sz w:val="20"/>
          <w:szCs w:val="20"/>
        </w:rPr>
        <w:t xml:space="preserve"> (New Haven: Yale University Press, 2005), pp. 1–52.</w:t>
      </w:r>
    </w:p>
    <w:p w14:paraId="0D783372" w14:textId="77777777" w:rsidR="00BE4A49" w:rsidRDefault="00814572">
      <w:pPr>
        <w:spacing w:after="80" w:line="276" w:lineRule="auto"/>
        <w:ind w:left="360" w:hanging="360"/>
      </w:pPr>
      <w:r>
        <w:rPr>
          <w:sz w:val="20"/>
          <w:szCs w:val="20"/>
          <w:vertAlign w:val="superscript"/>
        </w:rPr>
        <w:t xml:space="preserve">6. </w:t>
      </w:r>
      <w:r>
        <w:rPr>
          <w:sz w:val="20"/>
          <w:szCs w:val="20"/>
        </w:rPr>
        <w:t>Diarmaid MacCulloch, Reformation: Europe’s House Divided 1490–1700 (London: Penguin, 2003), pp. 198–230.</w:t>
      </w:r>
    </w:p>
    <w:p w14:paraId="575A4BFE" w14:textId="77777777" w:rsidR="00BE4A49" w:rsidRDefault="00814572">
      <w:pPr>
        <w:spacing w:after="80" w:line="276" w:lineRule="auto"/>
        <w:ind w:left="360" w:hanging="360"/>
      </w:pPr>
      <w:r>
        <w:rPr>
          <w:sz w:val="20"/>
          <w:szCs w:val="20"/>
          <w:vertAlign w:val="superscript"/>
        </w:rPr>
        <w:t xml:space="preserve">7. </w:t>
      </w:r>
      <w:r>
        <w:rPr>
          <w:sz w:val="20"/>
          <w:szCs w:val="20"/>
        </w:rPr>
        <w:t>Grace Davie, Religion in Britain Since 1945: Believing Without Belonging (Oxford: Blackwell, 1994), pp. 30–56.</w:t>
      </w:r>
    </w:p>
    <w:p w14:paraId="3E22363A" w14:textId="77777777" w:rsidR="00BE4A49" w:rsidRDefault="00814572">
      <w:pPr>
        <w:spacing w:after="80" w:line="276" w:lineRule="auto"/>
        <w:ind w:left="360" w:hanging="360"/>
      </w:pPr>
      <w:r>
        <w:rPr>
          <w:sz w:val="20"/>
          <w:szCs w:val="20"/>
          <w:vertAlign w:val="superscript"/>
        </w:rPr>
        <w:t xml:space="preserve">8. </w:t>
      </w:r>
      <w:r>
        <w:rPr>
          <w:sz w:val="20"/>
          <w:szCs w:val="20"/>
        </w:rPr>
        <w:t>Davie, pp. 74–90.</w:t>
      </w:r>
    </w:p>
    <w:p w14:paraId="41871893" w14:textId="77777777" w:rsidR="00BE4A49" w:rsidRDefault="00814572">
      <w:pPr>
        <w:spacing w:after="80" w:line="276" w:lineRule="auto"/>
        <w:ind w:left="360" w:hanging="360"/>
      </w:pPr>
      <w:r>
        <w:rPr>
          <w:sz w:val="20"/>
          <w:szCs w:val="20"/>
          <w:vertAlign w:val="superscript"/>
        </w:rPr>
        <w:t xml:space="preserve">9. </w:t>
      </w:r>
      <w:r>
        <w:rPr>
          <w:sz w:val="20"/>
          <w:szCs w:val="20"/>
        </w:rPr>
        <w:t xml:space="preserve">Callum G. Brown, The Death of Christian Britain, 2nd </w:t>
      </w:r>
      <w:proofErr w:type="spellStart"/>
      <w:r>
        <w:rPr>
          <w:sz w:val="20"/>
          <w:szCs w:val="20"/>
        </w:rPr>
        <w:t>edn</w:t>
      </w:r>
      <w:proofErr w:type="spellEnd"/>
      <w:r>
        <w:rPr>
          <w:sz w:val="20"/>
          <w:szCs w:val="20"/>
        </w:rPr>
        <w:t xml:space="preserve"> (London: Routledge, 2009), pp. 1–18; Office for National Statistics, ‘Census 2021: Religion in England and </w:t>
      </w:r>
      <w:proofErr w:type="spellStart"/>
      <w:r>
        <w:rPr>
          <w:sz w:val="20"/>
          <w:szCs w:val="20"/>
        </w:rPr>
        <w:t>Wales’</w:t>
      </w:r>
      <w:proofErr w:type="spellEnd"/>
      <w:r>
        <w:rPr>
          <w:sz w:val="20"/>
          <w:szCs w:val="20"/>
        </w:rPr>
        <w:t xml:space="preserve"> (2022).</w:t>
      </w:r>
    </w:p>
    <w:p w14:paraId="76C6A082" w14:textId="77777777" w:rsidR="00BE4A49" w:rsidRDefault="00BE4A49">
      <w:pPr>
        <w:spacing w:before="480"/>
      </w:pPr>
    </w:p>
    <w:p w14:paraId="3D0884A7" w14:textId="77777777" w:rsidR="00BE4A49" w:rsidRDefault="00814572">
      <w:pPr>
        <w:spacing w:before="240" w:after="240"/>
        <w:jc w:val="center"/>
      </w:pPr>
      <w:r>
        <w:rPr>
          <w:b/>
          <w:bCs/>
          <w:sz w:val="28"/>
          <w:szCs w:val="28"/>
        </w:rPr>
        <w:t>Bibliography</w:t>
      </w:r>
    </w:p>
    <w:p w14:paraId="0AD5C407" w14:textId="77777777" w:rsidR="00BE4A49" w:rsidRDefault="00814572">
      <w:pPr>
        <w:spacing w:after="120" w:line="360" w:lineRule="auto"/>
        <w:ind w:left="720" w:hanging="720"/>
      </w:pPr>
      <w:r>
        <w:t xml:space="preserve">Brown, Callum G., The Death of Christian Britain, 2nd </w:t>
      </w:r>
      <w:proofErr w:type="spellStart"/>
      <w:r>
        <w:t>edn</w:t>
      </w:r>
      <w:proofErr w:type="spellEnd"/>
      <w:r>
        <w:t xml:space="preserve"> (London: Routledge, 2009)</w:t>
      </w:r>
    </w:p>
    <w:p w14:paraId="45CDED5A" w14:textId="77777777" w:rsidR="00BE4A49" w:rsidRDefault="00814572">
      <w:pPr>
        <w:spacing w:after="120" w:line="360" w:lineRule="auto"/>
        <w:ind w:left="720" w:hanging="720"/>
      </w:pPr>
      <w:r>
        <w:t xml:space="preserve">Chadwick, Henry, The Early Church, rev. </w:t>
      </w:r>
      <w:proofErr w:type="spellStart"/>
      <w:r>
        <w:t>edn</w:t>
      </w:r>
      <w:proofErr w:type="spellEnd"/>
      <w:r>
        <w:t xml:space="preserve"> (London: Penguin, 1993)</w:t>
      </w:r>
    </w:p>
    <w:p w14:paraId="08176101" w14:textId="77777777" w:rsidR="00BE4A49" w:rsidRDefault="00814572">
      <w:pPr>
        <w:spacing w:after="120" w:line="360" w:lineRule="auto"/>
        <w:ind w:left="720" w:hanging="720"/>
      </w:pPr>
      <w:r>
        <w:t>Davie, Grace, Religion in Britain Since 1945: Believing Without Belonging (Oxford: Blackwell, 1994)</w:t>
      </w:r>
    </w:p>
    <w:p w14:paraId="03F10589" w14:textId="77777777" w:rsidR="00BE4A49" w:rsidRDefault="00814572">
      <w:pPr>
        <w:spacing w:after="120" w:line="360" w:lineRule="auto"/>
        <w:ind w:left="720" w:hanging="720"/>
      </w:pPr>
      <w:r>
        <w:t xml:space="preserve">Duffy, Eamon, The Stripping of the Altars: Traditional Religion in England 1400–1580, 2nd </w:t>
      </w:r>
      <w:proofErr w:type="spellStart"/>
      <w:r>
        <w:t>edn</w:t>
      </w:r>
      <w:proofErr w:type="spellEnd"/>
      <w:r>
        <w:t xml:space="preserve"> (New Haven: Yale University Press, 2005)</w:t>
      </w:r>
    </w:p>
    <w:p w14:paraId="506E05A7" w14:textId="77777777" w:rsidR="00BE4A49" w:rsidRDefault="00814572">
      <w:pPr>
        <w:spacing w:after="120" w:line="360" w:lineRule="auto"/>
        <w:ind w:left="720" w:hanging="720"/>
      </w:pPr>
      <w:r>
        <w:t>MacCulloch, Diarmaid, Reformation: Europe’s House Divided 1490–1700 (London: Penguin, 2003)</w:t>
      </w:r>
    </w:p>
    <w:p w14:paraId="27DBA9F1" w14:textId="77777777" w:rsidR="00BE4A49" w:rsidRDefault="00814572">
      <w:pPr>
        <w:spacing w:after="120" w:line="360" w:lineRule="auto"/>
        <w:ind w:left="720" w:hanging="720"/>
      </w:pPr>
      <w:r>
        <w:t>Morris, J., ‘The Church in British Archaeology’, CBA Research Report 47 (London: Council for British Archaeology, 1995)</w:t>
      </w:r>
    </w:p>
    <w:p w14:paraId="311346F6" w14:textId="77777777" w:rsidR="00BE4A49" w:rsidRDefault="00814572">
      <w:pPr>
        <w:spacing w:after="120" w:line="360" w:lineRule="auto"/>
        <w:ind w:left="720" w:hanging="720"/>
      </w:pPr>
      <w:r>
        <w:t>Thomas, Charles, Christianity in Roman Britain to AD 500 (London: Batsford, 1981)</w:t>
      </w:r>
    </w:p>
    <w:sectPr w:rsidR="00BE4A4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E5949" w14:textId="77777777" w:rsidR="00814572" w:rsidRDefault="00814572">
      <w:pPr>
        <w:spacing w:line="240" w:lineRule="auto"/>
      </w:pPr>
      <w:r>
        <w:separator/>
      </w:r>
    </w:p>
  </w:endnote>
  <w:endnote w:type="continuationSeparator" w:id="0">
    <w:p w14:paraId="1656EFA1" w14:textId="77777777" w:rsidR="00814572" w:rsidRDefault="008145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F5271" w14:textId="77777777" w:rsidR="00814572" w:rsidRDefault="00814572">
      <w:pPr>
        <w:spacing w:line="240" w:lineRule="auto"/>
      </w:pPr>
      <w:r>
        <w:separator/>
      </w:r>
    </w:p>
  </w:footnote>
  <w:footnote w:type="continuationSeparator" w:id="0">
    <w:p w14:paraId="09B26C54" w14:textId="77777777" w:rsidR="00814572" w:rsidRDefault="008145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A2172F"/>
    <w:multiLevelType w:val="hybridMultilevel"/>
    <w:tmpl w:val="76FC288E"/>
    <w:lvl w:ilvl="0" w:tplc="3F5278AA">
      <w:start w:val="1"/>
      <w:numFmt w:val="bullet"/>
      <w:lvlText w:val="●"/>
      <w:lvlJc w:val="left"/>
      <w:pPr>
        <w:ind w:left="720" w:hanging="360"/>
      </w:pPr>
    </w:lvl>
    <w:lvl w:ilvl="1" w:tplc="912A671E">
      <w:start w:val="1"/>
      <w:numFmt w:val="bullet"/>
      <w:lvlText w:val="○"/>
      <w:lvlJc w:val="left"/>
      <w:pPr>
        <w:ind w:left="1440" w:hanging="360"/>
      </w:pPr>
    </w:lvl>
    <w:lvl w:ilvl="2" w:tplc="4BE05E4E">
      <w:start w:val="1"/>
      <w:numFmt w:val="bullet"/>
      <w:lvlText w:val="■"/>
      <w:lvlJc w:val="left"/>
      <w:pPr>
        <w:ind w:left="2160" w:hanging="360"/>
      </w:pPr>
    </w:lvl>
    <w:lvl w:ilvl="3" w:tplc="2EC23DFA">
      <w:start w:val="1"/>
      <w:numFmt w:val="bullet"/>
      <w:lvlText w:val="●"/>
      <w:lvlJc w:val="left"/>
      <w:pPr>
        <w:ind w:left="2880" w:hanging="360"/>
      </w:pPr>
    </w:lvl>
    <w:lvl w:ilvl="4" w:tplc="06F662A8">
      <w:start w:val="1"/>
      <w:numFmt w:val="bullet"/>
      <w:lvlText w:val="○"/>
      <w:lvlJc w:val="left"/>
      <w:pPr>
        <w:ind w:left="3600" w:hanging="360"/>
      </w:pPr>
    </w:lvl>
    <w:lvl w:ilvl="5" w:tplc="60609D96">
      <w:start w:val="1"/>
      <w:numFmt w:val="bullet"/>
      <w:lvlText w:val="■"/>
      <w:lvlJc w:val="left"/>
      <w:pPr>
        <w:ind w:left="4320" w:hanging="360"/>
      </w:pPr>
    </w:lvl>
    <w:lvl w:ilvl="6" w:tplc="F0E2A28E">
      <w:start w:val="1"/>
      <w:numFmt w:val="bullet"/>
      <w:lvlText w:val="●"/>
      <w:lvlJc w:val="left"/>
      <w:pPr>
        <w:ind w:left="5040" w:hanging="360"/>
      </w:pPr>
    </w:lvl>
    <w:lvl w:ilvl="7" w:tplc="D41266FE">
      <w:start w:val="1"/>
      <w:numFmt w:val="bullet"/>
      <w:lvlText w:val="●"/>
      <w:lvlJc w:val="left"/>
      <w:pPr>
        <w:ind w:left="5760" w:hanging="360"/>
      </w:pPr>
    </w:lvl>
    <w:lvl w:ilvl="8" w:tplc="90E6759C">
      <w:start w:val="1"/>
      <w:numFmt w:val="bullet"/>
      <w:lvlText w:val="●"/>
      <w:lvlJc w:val="left"/>
      <w:pPr>
        <w:ind w:left="6480" w:hanging="360"/>
      </w:pPr>
    </w:lvl>
  </w:abstractNum>
  <w:num w:numId="1" w16cid:durableId="91790802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A49"/>
    <w:rsid w:val="00456BF1"/>
    <w:rsid w:val="00814572"/>
    <w:rsid w:val="00994026"/>
    <w:rsid w:val="00A7235F"/>
    <w:rsid w:val="00BB2634"/>
    <w:rsid w:val="00BE4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6F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240"/>
      <w:jc w:val="center"/>
      <w:outlineLvl w:val="0"/>
    </w:pPr>
    <w:rPr>
      <w:b/>
      <w:bCs/>
      <w:sz w:val="28"/>
      <w:szCs w:val="28"/>
    </w:rPr>
  </w:style>
  <w:style w:type="paragraph" w:styleId="Heading2">
    <w:name w:val="heading 2"/>
    <w:uiPriority w:val="9"/>
    <w:semiHidden/>
    <w:unhideWhenUsed/>
    <w:qFormat/>
    <w:pPr>
      <w:spacing w:before="240" w:after="120"/>
      <w:outlineLvl w:val="1"/>
    </w:pPr>
    <w:rPr>
      <w:b/>
      <w:bCs/>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94026"/>
    <w:pPr>
      <w:tabs>
        <w:tab w:val="center" w:pos="4513"/>
        <w:tab w:val="right" w:pos="9026"/>
      </w:tabs>
      <w:spacing w:line="240" w:lineRule="auto"/>
    </w:pPr>
  </w:style>
  <w:style w:type="character" w:customStyle="1" w:styleId="HeaderChar">
    <w:name w:val="Header Char"/>
    <w:basedOn w:val="DefaultParagraphFont"/>
    <w:link w:val="Header"/>
    <w:uiPriority w:val="99"/>
    <w:rsid w:val="00994026"/>
  </w:style>
  <w:style w:type="paragraph" w:styleId="Footer">
    <w:name w:val="footer"/>
    <w:basedOn w:val="Normal"/>
    <w:link w:val="FooterChar"/>
    <w:uiPriority w:val="99"/>
    <w:unhideWhenUsed/>
    <w:rsid w:val="00994026"/>
    <w:pPr>
      <w:tabs>
        <w:tab w:val="center" w:pos="4513"/>
        <w:tab w:val="right" w:pos="9026"/>
      </w:tabs>
      <w:spacing w:line="240" w:lineRule="auto"/>
    </w:pPr>
  </w:style>
  <w:style w:type="character" w:customStyle="1" w:styleId="FooterChar">
    <w:name w:val="Footer Char"/>
    <w:basedOn w:val="DefaultParagraphFont"/>
    <w:link w:val="Footer"/>
    <w:uiPriority w:val="99"/>
    <w:rsid w:val="009940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1367</Words>
  <Characters>7892</Characters>
  <Application>Microsoft Office Word</Application>
  <DocSecurity>0</DocSecurity>
  <Lines>121</Lines>
  <Paragraphs>36</Paragraphs>
  <ScaleCrop>false</ScaleCrop>
  <Company/>
  <LinksUpToDate>false</LinksUpToDate>
  <CharactersWithSpaces>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2026-03-31T17:16:00Z</dcterms:created>
  <dcterms:modified xsi:type="dcterms:W3CDTF">2026-03-31T17:16:00Z</dcterms:modified>
</cp:coreProperties>
</file>