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000000" w:themeColor="text1"/>
        </w:rPr>
        <w:id w:val="1891532770"/>
        <w:docPartObj>
          <w:docPartGallery w:val="Cover Pages"/>
          <w:docPartUnique/>
        </w:docPartObj>
      </w:sdtPr>
      <w:sdtEndPr/>
      <w:sdtContent>
        <w:p w:rsidR="0092005A" w:rsidRPr="00831C06" w:rsidRDefault="0092005A" w:rsidP="00831C06">
          <w:pPr>
            <w:spacing w:line="480" w:lineRule="auto"/>
            <w:rPr>
              <w:rFonts w:ascii="Arial" w:hAnsi="Arial" w:cs="Arial"/>
              <w:color w:val="000000" w:themeColor="text1"/>
            </w:rPr>
          </w:pPr>
          <w:r w:rsidRPr="00831C06">
            <w:rPr>
              <w:rFonts w:ascii="Arial" w:hAnsi="Arial" w:cs="Arial"/>
              <w:noProof/>
              <w:color w:val="000000" w:themeColor="text1"/>
            </w:rPr>
            <mc:AlternateContent>
              <mc:Choice Requires="wps">
                <w:drawing>
                  <wp:anchor distT="0" distB="0" distL="114300" distR="114300" simplePos="0" relativeHeight="251778048" behindDoc="0" locked="0" layoutInCell="1" allowOverlap="1">
                    <wp:simplePos x="0" y="0"/>
                    <wp:positionH relativeFrom="page">
                      <wp:align>left</wp:align>
                    </wp:positionH>
                    <wp:positionV relativeFrom="page">
                      <wp:align>bottom</wp:align>
                    </wp:positionV>
                    <wp:extent cx="5534025" cy="2724912"/>
                    <wp:effectExtent l="0" t="0" r="0" b="0"/>
                    <wp:wrapNone/>
                    <wp:docPr id="43" name="Text Box 43"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92005A" w:rsidRDefault="0092005A">
                                    <w:pPr>
                                      <w:pStyle w:val="NoSpacing"/>
                                      <w:spacing w:after="480"/>
                                      <w:rPr>
                                        <w:i/>
                                        <w:color w:val="262626" w:themeColor="text1" w:themeTint="D9"/>
                                        <w:sz w:val="32"/>
                                        <w:szCs w:val="32"/>
                                      </w:rPr>
                                    </w:pPr>
                                    <w:r>
                                      <w:rPr>
                                        <w:i/>
                                        <w:color w:val="262626" w:themeColor="text1" w:themeTint="D9"/>
                                        <w:sz w:val="32"/>
                                        <w:szCs w:val="32"/>
                                      </w:rPr>
                                      <w:t>Thu Hang Le (2000465)</w:t>
                                    </w:r>
                                  </w:p>
                                </w:sdtContent>
                              </w:sdt>
                              <w:p w:rsidR="0092005A" w:rsidRDefault="00353B15">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92005A">
                                      <w:rPr>
                                        <w:i/>
                                        <w:color w:val="262626" w:themeColor="text1" w:themeTint="D9"/>
                                        <w:sz w:val="26"/>
                                        <w:szCs w:val="26"/>
                                      </w:rPr>
                                      <w:t>DBA course – February 2020 intake</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3" o:spid="_x0000_s1026" type="#_x0000_t202" alt="Title: Title and subtitle" style="position:absolute;margin-left:0;margin-top:0;width:435.75pt;height:214.55pt;z-index:251778048;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Cs1Y5X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92005A" w:rsidRDefault="0092005A">
                              <w:pPr>
                                <w:pStyle w:val="NoSpacing"/>
                                <w:spacing w:after="480"/>
                                <w:rPr>
                                  <w:i/>
                                  <w:color w:val="262626" w:themeColor="text1" w:themeTint="D9"/>
                                  <w:sz w:val="32"/>
                                  <w:szCs w:val="32"/>
                                </w:rPr>
                              </w:pPr>
                              <w:r>
                                <w:rPr>
                                  <w:i/>
                                  <w:color w:val="262626" w:themeColor="text1" w:themeTint="D9"/>
                                  <w:sz w:val="32"/>
                                  <w:szCs w:val="32"/>
                                </w:rPr>
                                <w:t>Thu Hang Le (2000465)</w:t>
                              </w:r>
                            </w:p>
                          </w:sdtContent>
                        </w:sdt>
                        <w:p w:rsidR="0092005A" w:rsidRDefault="00353B15">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92005A">
                                <w:rPr>
                                  <w:i/>
                                  <w:color w:val="262626" w:themeColor="text1" w:themeTint="D9"/>
                                  <w:sz w:val="26"/>
                                  <w:szCs w:val="26"/>
                                </w:rPr>
                                <w:t>DBA course – February 2020 intake</w:t>
                              </w:r>
                            </w:sdtContent>
                          </w:sdt>
                        </w:p>
                      </w:txbxContent>
                    </v:textbox>
                    <w10:wrap anchorx="page" anchory="page"/>
                  </v:shape>
                </w:pict>
              </mc:Fallback>
            </mc:AlternateContent>
          </w:r>
          <w:r w:rsidRPr="00831C06">
            <w:rPr>
              <w:rFonts w:ascii="Arial" w:hAnsi="Arial" w:cs="Arial"/>
              <w:noProof/>
              <w:color w:val="000000" w:themeColor="text1"/>
            </w:rPr>
            <mc:AlternateContent>
              <mc:Choice Requires="wps">
                <w:drawing>
                  <wp:anchor distT="0" distB="0" distL="114300" distR="114300" simplePos="0" relativeHeight="251777024"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45" name="Straight Connector 45"/>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17A3E66" id="Straight Connector 45" o:spid="_x0000_s1026" style="position:absolute;z-index:-25153945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Pqtz1T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Pr="00831C06">
            <w:rPr>
              <w:rFonts w:ascii="Arial" w:hAnsi="Arial" w:cs="Arial"/>
              <w:noProof/>
              <w:color w:val="000000" w:themeColor="text1"/>
            </w:rPr>
            <mc:AlternateContent>
              <mc:Choice Requires="wps">
                <w:drawing>
                  <wp:anchor distT="0" distB="0" distL="114300" distR="114300" simplePos="0" relativeHeight="251776000" behindDoc="0" locked="0" layoutInCell="1" allowOverlap="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47" name="Text Box 47"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2005A" w:rsidRDefault="0092005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Por</w:t>
                                    </w:r>
                                    <w:r w:rsidR="00C46DCE">
                                      <w:rPr>
                                        <w:rFonts w:asciiTheme="majorHAnsi" w:hAnsiTheme="majorHAnsi"/>
                                        <w:i/>
                                        <w:caps/>
                                        <w:color w:val="262626" w:themeColor="text1" w:themeTint="D9"/>
                                        <w:sz w:val="120"/>
                                        <w:szCs w:val="120"/>
                                      </w:rPr>
                                      <w:t>t</w:t>
                                    </w:r>
                                    <w:r>
                                      <w:rPr>
                                        <w:rFonts w:asciiTheme="majorHAnsi" w:hAnsiTheme="majorHAnsi"/>
                                        <w:i/>
                                        <w:caps/>
                                        <w:color w:val="262626" w:themeColor="text1" w:themeTint="D9"/>
                                        <w:sz w:val="120"/>
                                        <w:szCs w:val="120"/>
                                      </w:rPr>
                                      <w:t>folio</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92005A" w:rsidRPr="00D64014" w:rsidRDefault="00717156">
                                    <w:pPr>
                                      <w:pStyle w:val="NoSpacing"/>
                                      <w:rPr>
                                        <w:b/>
                                        <w:bCs/>
                                        <w:i/>
                                        <w:iCs/>
                                        <w:color w:val="262626" w:themeColor="text1" w:themeTint="D9"/>
                                        <w:sz w:val="36"/>
                                        <w:szCs w:val="36"/>
                                      </w:rPr>
                                    </w:pPr>
                                    <w:r>
                                      <w:rPr>
                                        <w:b/>
                                        <w:bCs/>
                                        <w:i/>
                                        <w:iCs/>
                                        <w:color w:val="262626" w:themeColor="text1" w:themeTint="D9"/>
                                        <w:sz w:val="36"/>
                                        <w:szCs w:val="36"/>
                                      </w:rPr>
                                      <w:t>Resilience, talent and technology</w:t>
                                    </w:r>
                                    <w:r w:rsidR="0092005A" w:rsidRPr="00D64014">
                                      <w:rPr>
                                        <w:b/>
                                        <w:bCs/>
                                        <w:i/>
                                        <w:iCs/>
                                        <w:color w:val="262626" w:themeColor="text1" w:themeTint="D9"/>
                                        <w:sz w:val="36"/>
                                        <w:szCs w:val="36"/>
                                      </w:rPr>
                                      <w:t xml:space="preserve"> </w:t>
                                    </w:r>
                                    <w:r w:rsidR="00D4122C" w:rsidRPr="00D64014">
                                      <w:rPr>
                                        <w:b/>
                                        <w:bCs/>
                                        <w:i/>
                                        <w:iCs/>
                                        <w:color w:val="262626" w:themeColor="text1" w:themeTint="D9"/>
                                        <w:sz w:val="36"/>
                                        <w:szCs w:val="36"/>
                                      </w:rPr>
                                      <w:t xml:space="preserve">   </w:t>
                                    </w:r>
                                    <w:r>
                                      <w:rPr>
                                        <w:b/>
                                        <w:bCs/>
                                        <w:i/>
                                        <w:iCs/>
                                        <w:color w:val="262626" w:themeColor="text1" w:themeTint="D9"/>
                                        <w:sz w:val="36"/>
                                        <w:szCs w:val="36"/>
                                      </w:rPr>
                                      <w:t xml:space="preserve">                                      </w:t>
                                    </w:r>
                                    <w:r w:rsidR="00D4122C" w:rsidRPr="00D64014">
                                      <w:rPr>
                                        <w:b/>
                                        <w:bCs/>
                                        <w:i/>
                                        <w:iCs/>
                                        <w:color w:val="262626" w:themeColor="text1" w:themeTint="D9"/>
                                        <w:sz w:val="36"/>
                                        <w:szCs w:val="36"/>
                                      </w:rPr>
                                      <w:t xml:space="preserve"> </w:t>
                                    </w:r>
                                    <w:r w:rsidR="0092005A" w:rsidRPr="00D64014">
                                      <w:rPr>
                                        <w:b/>
                                        <w:bCs/>
                                        <w:i/>
                                        <w:iCs/>
                                        <w:color w:val="262626" w:themeColor="text1" w:themeTint="D9"/>
                                        <w:sz w:val="36"/>
                                        <w:szCs w:val="36"/>
                                      </w:rPr>
                                      <w:t>(7 academic evidences)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47" o:spid="_x0000_s1027" type="#_x0000_t202" alt="Title: Title and subtitle" style="position:absolute;margin-left:0;margin-top:0;width:435.75pt;height:214.55pt;z-index:25177600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2005A" w:rsidRDefault="0092005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Por</w:t>
                              </w:r>
                              <w:r w:rsidR="00C46DCE">
                                <w:rPr>
                                  <w:rFonts w:asciiTheme="majorHAnsi" w:hAnsiTheme="majorHAnsi"/>
                                  <w:i/>
                                  <w:caps/>
                                  <w:color w:val="262626" w:themeColor="text1" w:themeTint="D9"/>
                                  <w:sz w:val="120"/>
                                  <w:szCs w:val="120"/>
                                </w:rPr>
                                <w:t>t</w:t>
                              </w:r>
                              <w:r>
                                <w:rPr>
                                  <w:rFonts w:asciiTheme="majorHAnsi" w:hAnsiTheme="majorHAnsi"/>
                                  <w:i/>
                                  <w:caps/>
                                  <w:color w:val="262626" w:themeColor="text1" w:themeTint="D9"/>
                                  <w:sz w:val="120"/>
                                  <w:szCs w:val="120"/>
                                </w:rPr>
                                <w:t>folio</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92005A" w:rsidRPr="00D64014" w:rsidRDefault="00717156">
                              <w:pPr>
                                <w:pStyle w:val="NoSpacing"/>
                                <w:rPr>
                                  <w:b/>
                                  <w:bCs/>
                                  <w:i/>
                                  <w:iCs/>
                                  <w:color w:val="262626" w:themeColor="text1" w:themeTint="D9"/>
                                  <w:sz w:val="36"/>
                                  <w:szCs w:val="36"/>
                                </w:rPr>
                              </w:pPr>
                              <w:r>
                                <w:rPr>
                                  <w:b/>
                                  <w:bCs/>
                                  <w:i/>
                                  <w:iCs/>
                                  <w:color w:val="262626" w:themeColor="text1" w:themeTint="D9"/>
                                  <w:sz w:val="36"/>
                                  <w:szCs w:val="36"/>
                                </w:rPr>
                                <w:t>Resilience, talent and technology</w:t>
                              </w:r>
                              <w:r w:rsidR="0092005A" w:rsidRPr="00D64014">
                                <w:rPr>
                                  <w:b/>
                                  <w:bCs/>
                                  <w:i/>
                                  <w:iCs/>
                                  <w:color w:val="262626" w:themeColor="text1" w:themeTint="D9"/>
                                  <w:sz w:val="36"/>
                                  <w:szCs w:val="36"/>
                                </w:rPr>
                                <w:t xml:space="preserve"> </w:t>
                              </w:r>
                              <w:r w:rsidR="00D4122C" w:rsidRPr="00D64014">
                                <w:rPr>
                                  <w:b/>
                                  <w:bCs/>
                                  <w:i/>
                                  <w:iCs/>
                                  <w:color w:val="262626" w:themeColor="text1" w:themeTint="D9"/>
                                  <w:sz w:val="36"/>
                                  <w:szCs w:val="36"/>
                                </w:rPr>
                                <w:t xml:space="preserve">   </w:t>
                              </w:r>
                              <w:r>
                                <w:rPr>
                                  <w:b/>
                                  <w:bCs/>
                                  <w:i/>
                                  <w:iCs/>
                                  <w:color w:val="262626" w:themeColor="text1" w:themeTint="D9"/>
                                  <w:sz w:val="36"/>
                                  <w:szCs w:val="36"/>
                                </w:rPr>
                                <w:t xml:space="preserve">                                      </w:t>
                              </w:r>
                              <w:r w:rsidR="00D4122C" w:rsidRPr="00D64014">
                                <w:rPr>
                                  <w:b/>
                                  <w:bCs/>
                                  <w:i/>
                                  <w:iCs/>
                                  <w:color w:val="262626" w:themeColor="text1" w:themeTint="D9"/>
                                  <w:sz w:val="36"/>
                                  <w:szCs w:val="36"/>
                                </w:rPr>
                                <w:t xml:space="preserve"> </w:t>
                              </w:r>
                              <w:r w:rsidR="0092005A" w:rsidRPr="00D64014">
                                <w:rPr>
                                  <w:b/>
                                  <w:bCs/>
                                  <w:i/>
                                  <w:iCs/>
                                  <w:color w:val="262626" w:themeColor="text1" w:themeTint="D9"/>
                                  <w:sz w:val="36"/>
                                  <w:szCs w:val="36"/>
                                </w:rPr>
                                <w:t>(7 academic evidences)</w:t>
                              </w:r>
                            </w:p>
                          </w:sdtContent>
                        </w:sdt>
                      </w:txbxContent>
                    </v:textbox>
                    <w10:wrap anchorx="page" anchory="page"/>
                  </v:shape>
                </w:pict>
              </mc:Fallback>
            </mc:AlternateContent>
          </w:r>
        </w:p>
        <w:p w:rsidR="0092005A" w:rsidRPr="00831C06" w:rsidRDefault="0092005A" w:rsidP="00831C06">
          <w:pPr>
            <w:spacing w:line="480" w:lineRule="auto"/>
            <w:rPr>
              <w:rFonts w:ascii="Arial" w:hAnsi="Arial" w:cs="Arial"/>
              <w:color w:val="000000" w:themeColor="text1"/>
            </w:rPr>
          </w:pPr>
          <w:r w:rsidRPr="00831C06">
            <w:rPr>
              <w:rFonts w:ascii="Arial" w:hAnsi="Arial" w:cs="Arial"/>
              <w:color w:val="000000" w:themeColor="text1"/>
            </w:rPr>
            <w:br w:type="page"/>
          </w:r>
        </w:p>
      </w:sdtContent>
    </w:sdt>
    <w:p w:rsidR="00C36F16" w:rsidRPr="00831C06" w:rsidRDefault="00C36F16" w:rsidP="00831C06">
      <w:pPr>
        <w:pStyle w:val="Heading1"/>
        <w:spacing w:line="480" w:lineRule="auto"/>
        <w:rPr>
          <w:rFonts w:ascii="Arial" w:hAnsi="Arial" w:cs="Arial"/>
          <w:color w:val="000000" w:themeColor="text1"/>
          <w:sz w:val="24"/>
          <w:szCs w:val="24"/>
        </w:rPr>
      </w:pPr>
    </w:p>
    <w:sdt>
      <w:sdtPr>
        <w:rPr>
          <w:rFonts w:ascii="Arial" w:eastAsiaTheme="minorHAnsi" w:hAnsi="Arial" w:cs="Arial"/>
          <w:b w:val="0"/>
          <w:bCs w:val="0"/>
          <w:color w:val="000000" w:themeColor="text1"/>
          <w:sz w:val="24"/>
          <w:szCs w:val="24"/>
          <w:lang w:val="en-GB"/>
        </w:rPr>
        <w:id w:val="-848092685"/>
        <w:docPartObj>
          <w:docPartGallery w:val="Table of Contents"/>
          <w:docPartUnique/>
        </w:docPartObj>
      </w:sdtPr>
      <w:sdtEndPr>
        <w:rPr>
          <w:rFonts w:eastAsia="Times New Roman"/>
          <w:noProof/>
        </w:rPr>
      </w:sdtEndPr>
      <w:sdtContent>
        <w:p w:rsidR="00C36F16" w:rsidRPr="00831C06" w:rsidRDefault="00C36F16" w:rsidP="00831C06">
          <w:pPr>
            <w:pStyle w:val="TOCHeading"/>
            <w:spacing w:line="480" w:lineRule="auto"/>
            <w:rPr>
              <w:rFonts w:ascii="Arial" w:hAnsi="Arial" w:cs="Arial"/>
              <w:color w:val="000000" w:themeColor="text1"/>
              <w:sz w:val="24"/>
              <w:szCs w:val="24"/>
            </w:rPr>
          </w:pPr>
          <w:r w:rsidRPr="00831C06">
            <w:rPr>
              <w:rFonts w:ascii="Arial" w:hAnsi="Arial" w:cs="Arial"/>
              <w:color w:val="000000" w:themeColor="text1"/>
              <w:sz w:val="24"/>
              <w:szCs w:val="24"/>
            </w:rPr>
            <w:t>Table of Contents</w:t>
          </w:r>
        </w:p>
        <w:p w:rsidR="003E47E6" w:rsidRDefault="00C36F16">
          <w:pPr>
            <w:pStyle w:val="TOC1"/>
            <w:tabs>
              <w:tab w:val="right" w:leader="dot" w:pos="9010"/>
            </w:tabs>
            <w:rPr>
              <w:rFonts w:asciiTheme="minorHAnsi" w:eastAsiaTheme="minorEastAsia" w:hAnsiTheme="minorHAnsi" w:cstheme="minorBidi"/>
              <w:b w:val="0"/>
              <w:bCs w:val="0"/>
              <w:caps w:val="0"/>
              <w:noProof/>
              <w:sz w:val="24"/>
              <w:szCs w:val="24"/>
              <w:u w:val="none"/>
            </w:rPr>
          </w:pPr>
          <w:r w:rsidRPr="00831C06">
            <w:rPr>
              <w:rFonts w:ascii="Arial" w:hAnsi="Arial" w:cs="Arial"/>
              <w:b w:val="0"/>
              <w:bCs w:val="0"/>
              <w:color w:val="000000" w:themeColor="text1"/>
              <w:sz w:val="24"/>
              <w:szCs w:val="24"/>
            </w:rPr>
            <w:fldChar w:fldCharType="begin"/>
          </w:r>
          <w:r w:rsidRPr="00831C06">
            <w:rPr>
              <w:rFonts w:ascii="Arial" w:hAnsi="Arial" w:cs="Arial"/>
              <w:color w:val="000000" w:themeColor="text1"/>
              <w:sz w:val="24"/>
              <w:szCs w:val="24"/>
            </w:rPr>
            <w:instrText xml:space="preserve"> TOC \o "1-3" \h \z \u </w:instrText>
          </w:r>
          <w:r w:rsidRPr="00831C06">
            <w:rPr>
              <w:rFonts w:ascii="Arial" w:hAnsi="Arial" w:cs="Arial"/>
              <w:b w:val="0"/>
              <w:bCs w:val="0"/>
              <w:color w:val="000000" w:themeColor="text1"/>
              <w:sz w:val="24"/>
              <w:szCs w:val="24"/>
            </w:rPr>
            <w:fldChar w:fldCharType="separate"/>
          </w:r>
          <w:hyperlink w:anchor="_Toc54136030" w:history="1">
            <w:r w:rsidR="003E47E6" w:rsidRPr="006F7BAD">
              <w:rPr>
                <w:rStyle w:val="Hyperlink"/>
                <w:rFonts w:ascii="Arial" w:hAnsi="Arial" w:cs="Arial"/>
                <w:noProof/>
              </w:rPr>
              <w:t>List of abbreviations:</w:t>
            </w:r>
            <w:r w:rsidR="003E47E6">
              <w:rPr>
                <w:noProof/>
                <w:webHidden/>
              </w:rPr>
              <w:tab/>
            </w:r>
            <w:r w:rsidR="003E47E6">
              <w:rPr>
                <w:noProof/>
                <w:webHidden/>
              </w:rPr>
              <w:fldChar w:fldCharType="begin"/>
            </w:r>
            <w:r w:rsidR="003E47E6">
              <w:rPr>
                <w:noProof/>
                <w:webHidden/>
              </w:rPr>
              <w:instrText xml:space="preserve"> PAGEREF _Toc54136030 \h </w:instrText>
            </w:r>
            <w:r w:rsidR="003E47E6">
              <w:rPr>
                <w:noProof/>
                <w:webHidden/>
              </w:rPr>
            </w:r>
            <w:r w:rsidR="003E47E6">
              <w:rPr>
                <w:noProof/>
                <w:webHidden/>
              </w:rPr>
              <w:fldChar w:fldCharType="separate"/>
            </w:r>
            <w:r w:rsidR="00334F84">
              <w:rPr>
                <w:noProof/>
                <w:webHidden/>
              </w:rPr>
              <w:t>2</w:t>
            </w:r>
            <w:r w:rsidR="003E47E6">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1" w:history="1">
            <w:r w:rsidRPr="006F7BAD">
              <w:rPr>
                <w:rStyle w:val="Hyperlink"/>
                <w:rFonts w:ascii="Arial" w:hAnsi="Arial" w:cs="Arial"/>
                <w:noProof/>
              </w:rPr>
              <w:t>1.</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PESTLE analysis – Case study of Apple</w:t>
            </w:r>
            <w:r>
              <w:rPr>
                <w:noProof/>
                <w:webHidden/>
              </w:rPr>
              <w:tab/>
            </w:r>
            <w:r>
              <w:rPr>
                <w:noProof/>
                <w:webHidden/>
              </w:rPr>
              <w:fldChar w:fldCharType="begin"/>
            </w:r>
            <w:r>
              <w:rPr>
                <w:noProof/>
                <w:webHidden/>
              </w:rPr>
              <w:instrText xml:space="preserve"> PAGEREF _Toc54136031 \h </w:instrText>
            </w:r>
            <w:r>
              <w:rPr>
                <w:noProof/>
                <w:webHidden/>
              </w:rPr>
            </w:r>
            <w:r>
              <w:rPr>
                <w:noProof/>
                <w:webHidden/>
              </w:rPr>
              <w:fldChar w:fldCharType="separate"/>
            </w:r>
            <w:r w:rsidR="00334F84">
              <w:rPr>
                <w:noProof/>
                <w:webHidden/>
              </w:rPr>
              <w:t>3</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2" w:history="1">
            <w:r w:rsidRPr="006F7BAD">
              <w:rPr>
                <w:rStyle w:val="Hyperlink"/>
                <w:rFonts w:ascii="Arial" w:hAnsi="Arial" w:cs="Arial"/>
                <w:noProof/>
              </w:rPr>
              <w:t>2.</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Impacts of labour market trends on Delaware North</w:t>
            </w:r>
            <w:r>
              <w:rPr>
                <w:noProof/>
                <w:webHidden/>
              </w:rPr>
              <w:tab/>
            </w:r>
            <w:r>
              <w:rPr>
                <w:noProof/>
                <w:webHidden/>
              </w:rPr>
              <w:fldChar w:fldCharType="begin"/>
            </w:r>
            <w:r>
              <w:rPr>
                <w:noProof/>
                <w:webHidden/>
              </w:rPr>
              <w:instrText xml:space="preserve"> PAGEREF _Toc54136032 \h </w:instrText>
            </w:r>
            <w:r>
              <w:rPr>
                <w:noProof/>
                <w:webHidden/>
              </w:rPr>
            </w:r>
            <w:r>
              <w:rPr>
                <w:noProof/>
                <w:webHidden/>
              </w:rPr>
              <w:fldChar w:fldCharType="separate"/>
            </w:r>
            <w:r w:rsidR="00334F84">
              <w:rPr>
                <w:noProof/>
                <w:webHidden/>
              </w:rPr>
              <w:t>12</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3" w:history="1">
            <w:r w:rsidRPr="006F7BAD">
              <w:rPr>
                <w:rStyle w:val="Hyperlink"/>
                <w:rFonts w:ascii="Arial" w:hAnsi="Arial" w:cs="Arial"/>
                <w:noProof/>
              </w:rPr>
              <w:t>3.</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A 6-minute TED talk: Audio recording in YouTube</w:t>
            </w:r>
            <w:r>
              <w:rPr>
                <w:noProof/>
                <w:webHidden/>
              </w:rPr>
              <w:tab/>
            </w:r>
            <w:r>
              <w:rPr>
                <w:noProof/>
                <w:webHidden/>
              </w:rPr>
              <w:fldChar w:fldCharType="begin"/>
            </w:r>
            <w:r>
              <w:rPr>
                <w:noProof/>
                <w:webHidden/>
              </w:rPr>
              <w:instrText xml:space="preserve"> PAGEREF _Toc54136033 \h </w:instrText>
            </w:r>
            <w:r>
              <w:rPr>
                <w:noProof/>
                <w:webHidden/>
              </w:rPr>
            </w:r>
            <w:r>
              <w:rPr>
                <w:noProof/>
                <w:webHidden/>
              </w:rPr>
              <w:fldChar w:fldCharType="separate"/>
            </w:r>
            <w:r w:rsidR="00334F84">
              <w:rPr>
                <w:noProof/>
                <w:webHidden/>
              </w:rPr>
              <w:t>17</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4" w:history="1">
            <w:r w:rsidRPr="006F7BAD">
              <w:rPr>
                <w:rStyle w:val="Hyperlink"/>
                <w:rFonts w:ascii="Arial" w:hAnsi="Arial" w:cs="Arial"/>
                <w:noProof/>
              </w:rPr>
              <w:t>4.</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An executive summary: tailoring HRM policy to operate in Liberal economy compared to a Co-ordinated economy – in a context of  Delaware North.</w:t>
            </w:r>
            <w:r>
              <w:rPr>
                <w:noProof/>
                <w:webHidden/>
              </w:rPr>
              <w:tab/>
            </w:r>
            <w:r>
              <w:rPr>
                <w:noProof/>
                <w:webHidden/>
              </w:rPr>
              <w:fldChar w:fldCharType="begin"/>
            </w:r>
            <w:r>
              <w:rPr>
                <w:noProof/>
                <w:webHidden/>
              </w:rPr>
              <w:instrText xml:space="preserve"> PAGEREF _Toc54136034 \h </w:instrText>
            </w:r>
            <w:r>
              <w:rPr>
                <w:noProof/>
                <w:webHidden/>
              </w:rPr>
            </w:r>
            <w:r>
              <w:rPr>
                <w:noProof/>
                <w:webHidden/>
              </w:rPr>
              <w:fldChar w:fldCharType="separate"/>
            </w:r>
            <w:r w:rsidR="00334F84">
              <w:rPr>
                <w:noProof/>
                <w:webHidden/>
              </w:rPr>
              <w:t>18</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6" w:history="1">
            <w:r w:rsidRPr="006F7BAD">
              <w:rPr>
                <w:rStyle w:val="Hyperlink"/>
                <w:rFonts w:ascii="Arial" w:hAnsi="Arial" w:cs="Arial"/>
                <w:noProof/>
              </w:rPr>
              <w:t>5.</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A 20-minute presentation – ‘Gig economy’ and its impact on HR practice of Delaware North (Slideshow)</w:t>
            </w:r>
            <w:r>
              <w:rPr>
                <w:noProof/>
                <w:webHidden/>
              </w:rPr>
              <w:tab/>
            </w:r>
            <w:r>
              <w:rPr>
                <w:noProof/>
                <w:webHidden/>
              </w:rPr>
              <w:fldChar w:fldCharType="begin"/>
            </w:r>
            <w:r>
              <w:rPr>
                <w:noProof/>
                <w:webHidden/>
              </w:rPr>
              <w:instrText xml:space="preserve"> PAGEREF _Toc54136036 \h </w:instrText>
            </w:r>
            <w:r>
              <w:rPr>
                <w:noProof/>
                <w:webHidden/>
              </w:rPr>
            </w:r>
            <w:r>
              <w:rPr>
                <w:noProof/>
                <w:webHidden/>
              </w:rPr>
              <w:fldChar w:fldCharType="separate"/>
            </w:r>
            <w:r w:rsidR="00334F84">
              <w:rPr>
                <w:noProof/>
                <w:webHidden/>
              </w:rPr>
              <w:t>24</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7" w:history="1">
            <w:r w:rsidRPr="006F7BAD">
              <w:rPr>
                <w:rStyle w:val="Hyperlink"/>
                <w:rFonts w:ascii="Arial" w:hAnsi="Arial" w:cs="Arial"/>
                <w:noProof/>
              </w:rPr>
              <w:t>6.</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A critical analysis of Atkinson’s Flexible Firm Model</w:t>
            </w:r>
            <w:r>
              <w:rPr>
                <w:noProof/>
                <w:webHidden/>
              </w:rPr>
              <w:tab/>
            </w:r>
            <w:r>
              <w:rPr>
                <w:noProof/>
                <w:webHidden/>
              </w:rPr>
              <w:fldChar w:fldCharType="begin"/>
            </w:r>
            <w:r>
              <w:rPr>
                <w:noProof/>
                <w:webHidden/>
              </w:rPr>
              <w:instrText xml:space="preserve"> PAGEREF _Toc54136037 \h </w:instrText>
            </w:r>
            <w:r>
              <w:rPr>
                <w:noProof/>
                <w:webHidden/>
              </w:rPr>
            </w:r>
            <w:r>
              <w:rPr>
                <w:noProof/>
                <w:webHidden/>
              </w:rPr>
              <w:fldChar w:fldCharType="separate"/>
            </w:r>
            <w:r w:rsidR="00334F84">
              <w:rPr>
                <w:noProof/>
                <w:webHidden/>
              </w:rPr>
              <w:t>38</w:t>
            </w:r>
            <w:r>
              <w:rPr>
                <w:noProof/>
                <w:webHidden/>
              </w:rPr>
              <w:fldChar w:fldCharType="end"/>
            </w:r>
          </w:hyperlink>
        </w:p>
        <w:p w:rsidR="003E47E6" w:rsidRDefault="003E47E6">
          <w:pPr>
            <w:pStyle w:val="TOC1"/>
            <w:tabs>
              <w:tab w:val="left" w:pos="423"/>
              <w:tab w:val="right" w:leader="dot" w:pos="9010"/>
            </w:tabs>
            <w:rPr>
              <w:rFonts w:asciiTheme="minorHAnsi" w:eastAsiaTheme="minorEastAsia" w:hAnsiTheme="minorHAnsi" w:cstheme="minorBidi"/>
              <w:b w:val="0"/>
              <w:bCs w:val="0"/>
              <w:caps w:val="0"/>
              <w:noProof/>
              <w:sz w:val="24"/>
              <w:szCs w:val="24"/>
              <w:u w:val="none"/>
            </w:rPr>
          </w:pPr>
          <w:hyperlink w:anchor="_Toc54136038" w:history="1">
            <w:r w:rsidRPr="006F7BAD">
              <w:rPr>
                <w:rStyle w:val="Hyperlink"/>
                <w:rFonts w:ascii="Arial" w:hAnsi="Arial" w:cs="Arial"/>
                <w:noProof/>
              </w:rPr>
              <w:t>7.</w:t>
            </w:r>
            <w:r>
              <w:rPr>
                <w:rFonts w:asciiTheme="minorHAnsi" w:eastAsiaTheme="minorEastAsia" w:hAnsiTheme="minorHAnsi" w:cstheme="minorBidi"/>
                <w:b w:val="0"/>
                <w:bCs w:val="0"/>
                <w:caps w:val="0"/>
                <w:noProof/>
                <w:sz w:val="24"/>
                <w:szCs w:val="24"/>
                <w:u w:val="none"/>
              </w:rPr>
              <w:tab/>
            </w:r>
            <w:r w:rsidRPr="006F7BAD">
              <w:rPr>
                <w:rStyle w:val="Hyperlink"/>
                <w:rFonts w:ascii="Arial" w:hAnsi="Arial" w:cs="Arial"/>
                <w:noProof/>
              </w:rPr>
              <w:t>A model identifies HR factors influencing organisational resilience (and the links between engagement, commitment and performance)</w:t>
            </w:r>
            <w:r>
              <w:rPr>
                <w:noProof/>
                <w:webHidden/>
              </w:rPr>
              <w:tab/>
            </w:r>
            <w:r>
              <w:rPr>
                <w:noProof/>
                <w:webHidden/>
              </w:rPr>
              <w:fldChar w:fldCharType="begin"/>
            </w:r>
            <w:r>
              <w:rPr>
                <w:noProof/>
                <w:webHidden/>
              </w:rPr>
              <w:instrText xml:space="preserve"> PAGEREF _Toc54136038 \h </w:instrText>
            </w:r>
            <w:r>
              <w:rPr>
                <w:noProof/>
                <w:webHidden/>
              </w:rPr>
            </w:r>
            <w:r>
              <w:rPr>
                <w:noProof/>
                <w:webHidden/>
              </w:rPr>
              <w:fldChar w:fldCharType="separate"/>
            </w:r>
            <w:r w:rsidR="00334F84">
              <w:rPr>
                <w:noProof/>
                <w:webHidden/>
              </w:rPr>
              <w:t>44</w:t>
            </w:r>
            <w:r>
              <w:rPr>
                <w:noProof/>
                <w:webHidden/>
              </w:rPr>
              <w:fldChar w:fldCharType="end"/>
            </w:r>
          </w:hyperlink>
        </w:p>
        <w:p w:rsidR="003E47E6" w:rsidRDefault="003E47E6">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4136039" w:history="1">
            <w:r w:rsidRPr="006F7BA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_Toc54136039 \h </w:instrText>
            </w:r>
            <w:r>
              <w:rPr>
                <w:noProof/>
                <w:webHidden/>
              </w:rPr>
            </w:r>
            <w:r>
              <w:rPr>
                <w:noProof/>
                <w:webHidden/>
              </w:rPr>
              <w:fldChar w:fldCharType="separate"/>
            </w:r>
            <w:r w:rsidR="00334F84">
              <w:rPr>
                <w:noProof/>
                <w:webHidden/>
              </w:rPr>
              <w:t>54</w:t>
            </w:r>
            <w:r>
              <w:rPr>
                <w:noProof/>
                <w:webHidden/>
              </w:rPr>
              <w:fldChar w:fldCharType="end"/>
            </w:r>
          </w:hyperlink>
        </w:p>
        <w:p w:rsidR="00C36F16" w:rsidRPr="00831C06" w:rsidRDefault="00C36F16" w:rsidP="00831C06">
          <w:pPr>
            <w:spacing w:line="480" w:lineRule="auto"/>
            <w:rPr>
              <w:rFonts w:ascii="Arial" w:hAnsi="Arial" w:cs="Arial"/>
              <w:color w:val="000000" w:themeColor="text1"/>
            </w:rPr>
          </w:pPr>
          <w:r w:rsidRPr="00831C06">
            <w:rPr>
              <w:rFonts w:ascii="Arial" w:hAnsi="Arial" w:cs="Arial"/>
              <w:b/>
              <w:bCs/>
              <w:noProof/>
              <w:color w:val="000000" w:themeColor="text1"/>
            </w:rPr>
            <w:fldChar w:fldCharType="end"/>
          </w:r>
        </w:p>
      </w:sdtContent>
    </w:sdt>
    <w:p w:rsidR="00D52525" w:rsidRDefault="00D52525" w:rsidP="00831C06">
      <w:pPr>
        <w:spacing w:line="480" w:lineRule="auto"/>
        <w:rPr>
          <w:rFonts w:ascii="Arial" w:hAnsi="Arial" w:cs="Arial"/>
          <w:color w:val="000000" w:themeColor="text1"/>
        </w:rPr>
      </w:pPr>
    </w:p>
    <w:p w:rsidR="009A28AE" w:rsidRDefault="009A28AE" w:rsidP="00831C06">
      <w:pPr>
        <w:spacing w:line="480" w:lineRule="auto"/>
        <w:rPr>
          <w:rFonts w:ascii="Arial" w:hAnsi="Arial" w:cs="Arial"/>
          <w:color w:val="000000" w:themeColor="text1"/>
        </w:rPr>
      </w:pPr>
    </w:p>
    <w:p w:rsidR="009A28AE" w:rsidRDefault="009A28AE" w:rsidP="00831C06">
      <w:pPr>
        <w:spacing w:line="480" w:lineRule="auto"/>
        <w:rPr>
          <w:rFonts w:ascii="Arial" w:hAnsi="Arial" w:cs="Arial"/>
          <w:color w:val="000000" w:themeColor="text1"/>
        </w:rPr>
      </w:pPr>
    </w:p>
    <w:p w:rsidR="00843921" w:rsidRDefault="00843921" w:rsidP="00831C06">
      <w:pPr>
        <w:spacing w:line="480" w:lineRule="auto"/>
        <w:rPr>
          <w:rFonts w:ascii="Arial" w:hAnsi="Arial" w:cs="Arial"/>
          <w:color w:val="000000" w:themeColor="text1"/>
        </w:rPr>
      </w:pPr>
    </w:p>
    <w:p w:rsidR="00843921" w:rsidRDefault="00843921" w:rsidP="00831C06">
      <w:pPr>
        <w:spacing w:line="480" w:lineRule="auto"/>
        <w:rPr>
          <w:rFonts w:ascii="Arial" w:hAnsi="Arial" w:cs="Arial"/>
          <w:color w:val="000000" w:themeColor="text1"/>
        </w:rPr>
      </w:pPr>
    </w:p>
    <w:p w:rsidR="00843921" w:rsidRDefault="00843921" w:rsidP="00831C06">
      <w:pPr>
        <w:spacing w:line="480" w:lineRule="auto"/>
        <w:rPr>
          <w:rFonts w:ascii="Arial" w:hAnsi="Arial" w:cs="Arial"/>
          <w:color w:val="000000" w:themeColor="text1"/>
        </w:rPr>
      </w:pPr>
    </w:p>
    <w:p w:rsidR="00522F89" w:rsidRDefault="00522F89" w:rsidP="00831C06">
      <w:pPr>
        <w:spacing w:line="480" w:lineRule="auto"/>
        <w:rPr>
          <w:rFonts w:ascii="Arial" w:hAnsi="Arial" w:cs="Arial"/>
          <w:color w:val="000000" w:themeColor="text1"/>
        </w:rPr>
      </w:pPr>
    </w:p>
    <w:p w:rsidR="00522F89" w:rsidRDefault="00522F89" w:rsidP="00831C06">
      <w:pPr>
        <w:spacing w:line="480" w:lineRule="auto"/>
        <w:rPr>
          <w:rFonts w:ascii="Arial" w:hAnsi="Arial" w:cs="Arial"/>
          <w:color w:val="000000" w:themeColor="text1"/>
        </w:rPr>
      </w:pPr>
    </w:p>
    <w:p w:rsidR="00522F89" w:rsidRPr="006070FD" w:rsidRDefault="00522F89" w:rsidP="003E47E6">
      <w:pPr>
        <w:pStyle w:val="Heading1"/>
        <w:spacing w:line="480" w:lineRule="auto"/>
        <w:rPr>
          <w:rFonts w:ascii="Arial" w:hAnsi="Arial" w:cs="Arial"/>
          <w:b/>
          <w:bCs/>
          <w:color w:val="000000" w:themeColor="text1"/>
          <w:sz w:val="24"/>
          <w:szCs w:val="24"/>
          <w:u w:val="single"/>
        </w:rPr>
      </w:pPr>
      <w:bookmarkStart w:id="0" w:name="_Toc54136030"/>
      <w:r w:rsidRPr="006070FD">
        <w:rPr>
          <w:rFonts w:ascii="Arial" w:hAnsi="Arial" w:cs="Arial"/>
          <w:b/>
          <w:bCs/>
          <w:color w:val="000000" w:themeColor="text1"/>
          <w:sz w:val="24"/>
          <w:szCs w:val="24"/>
          <w:u w:val="single"/>
        </w:rPr>
        <w:lastRenderedPageBreak/>
        <w:t>List of abbreviations:</w:t>
      </w:r>
      <w:bookmarkEnd w:id="0"/>
    </w:p>
    <w:p w:rsidR="003E47E6" w:rsidRDefault="003E47E6" w:rsidP="003E47E6">
      <w:pPr>
        <w:spacing w:line="480" w:lineRule="auto"/>
        <w:rPr>
          <w:rFonts w:ascii="Arial" w:hAnsi="Arial" w:cs="Arial"/>
          <w:color w:val="000000" w:themeColor="text1"/>
        </w:rPr>
      </w:pPr>
      <w:r w:rsidRPr="003E47E6">
        <w:rPr>
          <w:rFonts w:ascii="Arial" w:hAnsi="Arial" w:cs="Arial"/>
          <w:color w:val="000000" w:themeColor="text1"/>
        </w:rPr>
        <w:t>AI: Artificial Intelligent</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CSR: Corporate social responsibility</w:t>
      </w:r>
    </w:p>
    <w:p w:rsidR="003E47E6" w:rsidRPr="003E47E6" w:rsidRDefault="003E47E6" w:rsidP="003E47E6">
      <w:pPr>
        <w:spacing w:line="480" w:lineRule="auto"/>
        <w:rPr>
          <w:rFonts w:ascii="Arial" w:hAnsi="Arial" w:cs="Arial"/>
          <w:color w:val="000000" w:themeColor="text1"/>
        </w:rPr>
      </w:pPr>
      <w:r>
        <w:rPr>
          <w:rFonts w:ascii="Arial" w:hAnsi="Arial" w:cs="Arial"/>
          <w:color w:val="000000" w:themeColor="text1"/>
        </w:rPr>
        <w:t>EE: Employee engagement</w:t>
      </w:r>
    </w:p>
    <w:p w:rsidR="003E47E6" w:rsidRDefault="003E47E6" w:rsidP="003E47E6">
      <w:pPr>
        <w:spacing w:line="480" w:lineRule="auto"/>
        <w:rPr>
          <w:rFonts w:ascii="Arial" w:hAnsi="Arial" w:cs="Arial"/>
          <w:color w:val="000000" w:themeColor="text1"/>
        </w:rPr>
      </w:pPr>
      <w:r w:rsidRPr="003E47E6">
        <w:rPr>
          <w:rFonts w:ascii="Arial" w:hAnsi="Arial" w:cs="Arial"/>
          <w:color w:val="000000" w:themeColor="text1"/>
        </w:rPr>
        <w:t>HR: Human resource/resources</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HRD: Human resource development</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HRM: Human resource management</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US: The United States</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UK: The United Kingdom</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OD: Organisation development</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OB: Organisation behaviour</w:t>
      </w:r>
      <w:r>
        <w:rPr>
          <w:rFonts w:ascii="Arial" w:hAnsi="Arial" w:cs="Arial"/>
          <w:color w:val="000000" w:themeColor="text1"/>
        </w:rPr>
        <w:br/>
        <w:t>OE: Organisation effectiveness</w:t>
      </w:r>
    </w:p>
    <w:p w:rsidR="003E47E6" w:rsidRDefault="003E47E6" w:rsidP="003E47E6">
      <w:pPr>
        <w:spacing w:line="480" w:lineRule="auto"/>
        <w:rPr>
          <w:rFonts w:ascii="Arial" w:hAnsi="Arial" w:cs="Arial"/>
          <w:color w:val="000000" w:themeColor="text1"/>
        </w:rPr>
      </w:pPr>
      <w:r>
        <w:rPr>
          <w:rFonts w:ascii="Arial" w:hAnsi="Arial" w:cs="Arial"/>
          <w:color w:val="000000" w:themeColor="text1"/>
        </w:rPr>
        <w:t>PM: Performance management</w:t>
      </w:r>
    </w:p>
    <w:p w:rsidR="003E47E6" w:rsidRDefault="003E47E6" w:rsidP="00831C06">
      <w:pPr>
        <w:spacing w:line="480" w:lineRule="auto"/>
        <w:rPr>
          <w:rFonts w:ascii="Arial" w:hAnsi="Arial" w:cs="Arial"/>
          <w:color w:val="000000" w:themeColor="text1"/>
        </w:rPr>
      </w:pPr>
    </w:p>
    <w:p w:rsidR="003E47E6" w:rsidRDefault="003E47E6" w:rsidP="00831C06">
      <w:pPr>
        <w:spacing w:line="480" w:lineRule="auto"/>
        <w:rPr>
          <w:rFonts w:ascii="Arial" w:hAnsi="Arial" w:cs="Arial"/>
          <w:color w:val="000000" w:themeColor="text1"/>
        </w:rPr>
      </w:pPr>
    </w:p>
    <w:p w:rsidR="003E47E6" w:rsidRPr="003E47E6" w:rsidRDefault="003E47E6" w:rsidP="00831C06">
      <w:pPr>
        <w:spacing w:line="480" w:lineRule="auto"/>
        <w:rPr>
          <w:rFonts w:ascii="Arial" w:hAnsi="Arial" w:cs="Arial"/>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522F89" w:rsidRDefault="00522F89" w:rsidP="00522F89">
      <w:pPr>
        <w:spacing w:line="480" w:lineRule="auto"/>
        <w:rPr>
          <w:rFonts w:ascii="Arial" w:hAnsi="Arial" w:cs="Arial"/>
          <w:b/>
          <w:bCs/>
          <w:color w:val="000000" w:themeColor="text1"/>
        </w:rPr>
      </w:pPr>
    </w:p>
    <w:p w:rsidR="003E47E6" w:rsidRPr="00522F89" w:rsidRDefault="003E47E6" w:rsidP="00522F89">
      <w:pPr>
        <w:spacing w:line="480" w:lineRule="auto"/>
        <w:rPr>
          <w:rFonts w:ascii="Arial" w:hAnsi="Arial" w:cs="Arial"/>
          <w:b/>
          <w:bCs/>
          <w:color w:val="000000" w:themeColor="text1"/>
        </w:rPr>
      </w:pPr>
    </w:p>
    <w:p w:rsidR="00343863" w:rsidRPr="00831C06" w:rsidRDefault="00343863" w:rsidP="00B34ECA">
      <w:pPr>
        <w:pStyle w:val="Heading1"/>
        <w:numPr>
          <w:ilvl w:val="0"/>
          <w:numId w:val="2"/>
        </w:numPr>
        <w:spacing w:line="480" w:lineRule="auto"/>
        <w:jc w:val="center"/>
        <w:rPr>
          <w:rFonts w:ascii="Arial" w:hAnsi="Arial" w:cs="Arial"/>
          <w:b/>
          <w:bCs/>
          <w:color w:val="000000" w:themeColor="text1"/>
          <w:sz w:val="24"/>
          <w:szCs w:val="24"/>
        </w:rPr>
      </w:pPr>
      <w:bookmarkStart w:id="1" w:name="_Toc54136031"/>
      <w:r w:rsidRPr="00831C06">
        <w:rPr>
          <w:rFonts w:ascii="Arial" w:hAnsi="Arial" w:cs="Arial"/>
          <w:b/>
          <w:bCs/>
          <w:color w:val="000000" w:themeColor="text1"/>
          <w:sz w:val="24"/>
          <w:szCs w:val="24"/>
        </w:rPr>
        <w:lastRenderedPageBreak/>
        <w:t xml:space="preserve">PESTLE analysis – </w:t>
      </w:r>
      <w:r w:rsidR="00E83CEE" w:rsidRPr="00831C06">
        <w:rPr>
          <w:rFonts w:ascii="Arial" w:hAnsi="Arial" w:cs="Arial"/>
          <w:b/>
          <w:bCs/>
          <w:color w:val="000000" w:themeColor="text1"/>
          <w:sz w:val="24"/>
          <w:szCs w:val="24"/>
        </w:rPr>
        <w:t xml:space="preserve">Case study of </w:t>
      </w:r>
      <w:r w:rsidRPr="00831C06">
        <w:rPr>
          <w:rFonts w:ascii="Arial" w:hAnsi="Arial" w:cs="Arial"/>
          <w:b/>
          <w:bCs/>
          <w:color w:val="000000" w:themeColor="text1"/>
          <w:sz w:val="24"/>
          <w:szCs w:val="24"/>
        </w:rPr>
        <w:t>Apple</w:t>
      </w:r>
      <w:bookmarkEnd w:id="1"/>
    </w:p>
    <w:p w:rsidR="005B4A04" w:rsidRPr="00831C06" w:rsidRDefault="005B4A04" w:rsidP="00831C06">
      <w:pPr>
        <w:spacing w:line="480" w:lineRule="auto"/>
        <w:rPr>
          <w:rFonts w:ascii="Arial" w:hAnsi="Arial" w:cs="Arial"/>
          <w:color w:val="000000" w:themeColor="text1"/>
        </w:rPr>
      </w:pP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xml:space="preserve">Griffin (2020) stated that as an organisation sits in within the environment, its internal labour market and HR functions such as movement of talent or recruitment process would be affected by the factors from the external labour market. As a </w:t>
      </w:r>
      <w:r w:rsidR="00387B88" w:rsidRPr="00831C06">
        <w:rPr>
          <w:rFonts w:ascii="Arial" w:hAnsi="Arial" w:cs="Arial"/>
          <w:color w:val="000000" w:themeColor="text1"/>
        </w:rPr>
        <w:t>result</w:t>
      </w:r>
      <w:r w:rsidRPr="00831C06">
        <w:rPr>
          <w:rFonts w:ascii="Arial" w:hAnsi="Arial" w:cs="Arial"/>
          <w:color w:val="000000" w:themeColor="text1"/>
        </w:rPr>
        <w:t xml:space="preserve">, this evidence is aimed to </w:t>
      </w:r>
      <w:r w:rsidR="00522F89">
        <w:rPr>
          <w:rFonts w:ascii="Arial" w:hAnsi="Arial" w:cs="Arial"/>
          <w:color w:val="000000" w:themeColor="text1"/>
        </w:rPr>
        <w:t>evaluate</w:t>
      </w:r>
      <w:r w:rsidRPr="00831C06">
        <w:rPr>
          <w:rFonts w:ascii="Arial" w:hAnsi="Arial" w:cs="Arial"/>
          <w:color w:val="000000" w:themeColor="text1"/>
        </w:rPr>
        <w:t xml:space="preserve"> the factors based on the PESTLE framework to reveal the possible effects </w:t>
      </w:r>
      <w:r w:rsidR="00522F89">
        <w:rPr>
          <w:rFonts w:ascii="Arial" w:hAnsi="Arial" w:cs="Arial"/>
          <w:color w:val="000000" w:themeColor="text1"/>
        </w:rPr>
        <w:t xml:space="preserve">of those factors </w:t>
      </w:r>
      <w:r w:rsidRPr="00831C06">
        <w:rPr>
          <w:rFonts w:ascii="Arial" w:hAnsi="Arial" w:cs="Arial"/>
          <w:color w:val="000000" w:themeColor="text1"/>
        </w:rPr>
        <w:t xml:space="preserve">on Apple’s ability to attract talent.  </w:t>
      </w:r>
    </w:p>
    <w:p w:rsidR="005B4A04" w:rsidRPr="00831C06" w:rsidRDefault="005B4A04" w:rsidP="00831C06">
      <w:pPr>
        <w:spacing w:line="480" w:lineRule="auto"/>
        <w:rPr>
          <w:rFonts w:ascii="Arial" w:hAnsi="Arial" w:cs="Arial"/>
          <w:b/>
          <w:bCs/>
          <w:color w:val="000000" w:themeColor="text1"/>
        </w:rPr>
      </w:pPr>
    </w:p>
    <w:p w:rsidR="00936320" w:rsidRPr="00831C06" w:rsidRDefault="00920B8E" w:rsidP="00831C06">
      <w:pPr>
        <w:spacing w:line="480" w:lineRule="auto"/>
        <w:rPr>
          <w:rFonts w:ascii="Arial" w:hAnsi="Arial" w:cs="Arial"/>
          <w:b/>
          <w:bCs/>
          <w:color w:val="000000" w:themeColor="text1"/>
        </w:rPr>
      </w:pPr>
      <w:r w:rsidRPr="00831C06">
        <w:rPr>
          <w:rFonts w:ascii="Arial" w:hAnsi="Arial" w:cs="Arial"/>
          <w:b/>
          <w:bCs/>
          <w:color w:val="000000" w:themeColor="text1"/>
        </w:rPr>
        <w:t>Overview</w:t>
      </w: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xml:space="preserve">While the exact way to define ‘talent’ in talent management might be still ambiguous, Armstrong &amp; Stephen (2014) pointed out that the process of attracting and managing talent is to ensure that an organisation would have the right talent based on its </w:t>
      </w:r>
      <w:r w:rsidR="00522F89">
        <w:rPr>
          <w:rFonts w:ascii="Arial" w:hAnsi="Arial" w:cs="Arial"/>
          <w:color w:val="000000" w:themeColor="text1"/>
        </w:rPr>
        <w:t>need</w:t>
      </w:r>
      <w:r w:rsidRPr="00831C06">
        <w:rPr>
          <w:rFonts w:ascii="Arial" w:hAnsi="Arial" w:cs="Arial"/>
          <w:color w:val="000000" w:themeColor="text1"/>
        </w:rPr>
        <w:t xml:space="preserve"> to achieve the desire goals. Nevertheless, Apple – world’s most valuable technology brand specializing in technological products and services (brand value of 352.21 b</w:t>
      </w:r>
      <w:r w:rsidR="00522F89">
        <w:rPr>
          <w:rFonts w:ascii="Arial" w:hAnsi="Arial" w:cs="Arial"/>
          <w:color w:val="000000" w:themeColor="text1"/>
        </w:rPr>
        <w:t xml:space="preserve">illion </w:t>
      </w:r>
      <w:r w:rsidRPr="00831C06">
        <w:rPr>
          <w:rFonts w:ascii="Arial" w:hAnsi="Arial" w:cs="Arial"/>
          <w:color w:val="000000" w:themeColor="text1"/>
        </w:rPr>
        <w:t xml:space="preserve">US dollars (updated figure in August 2020 – see Figure </w:t>
      </w:r>
      <w:r w:rsidR="00522F89">
        <w:rPr>
          <w:rFonts w:ascii="Arial" w:hAnsi="Arial" w:cs="Arial"/>
          <w:color w:val="000000" w:themeColor="text1"/>
        </w:rPr>
        <w:t>0</w:t>
      </w:r>
      <w:r w:rsidRPr="00831C06">
        <w:rPr>
          <w:rFonts w:ascii="Arial" w:hAnsi="Arial" w:cs="Arial"/>
          <w:color w:val="000000" w:themeColor="text1"/>
        </w:rPr>
        <w:t>1 (Statista</w:t>
      </w:r>
      <w:r w:rsidR="006E2220" w:rsidRPr="00831C06">
        <w:rPr>
          <w:rFonts w:ascii="Arial" w:hAnsi="Arial" w:cs="Arial"/>
          <w:color w:val="000000" w:themeColor="text1"/>
        </w:rPr>
        <w:t>,</w:t>
      </w:r>
      <w:r w:rsidRPr="00831C06">
        <w:rPr>
          <w:rFonts w:ascii="Arial" w:hAnsi="Arial" w:cs="Arial"/>
          <w:color w:val="000000" w:themeColor="text1"/>
        </w:rPr>
        <w:t xml:space="preserve"> 2020</w:t>
      </w:r>
      <w:r w:rsidR="00522F89">
        <w:rPr>
          <w:rFonts w:ascii="Arial" w:hAnsi="Arial" w:cs="Arial"/>
          <w:color w:val="000000" w:themeColor="text1"/>
        </w:rPr>
        <w:t xml:space="preserve">) </w:t>
      </w:r>
      <w:r w:rsidRPr="00831C06">
        <w:rPr>
          <w:rFonts w:ascii="Arial" w:hAnsi="Arial" w:cs="Arial"/>
          <w:color w:val="000000" w:themeColor="text1"/>
        </w:rPr>
        <w:t>for the</w:t>
      </w:r>
      <w:r w:rsidR="00522F89">
        <w:rPr>
          <w:rFonts w:ascii="Arial" w:hAnsi="Arial" w:cs="Arial"/>
          <w:color w:val="000000" w:themeColor="text1"/>
        </w:rPr>
        <w:t xml:space="preserve"> further</w:t>
      </w:r>
      <w:r w:rsidRPr="00831C06">
        <w:rPr>
          <w:rFonts w:ascii="Arial" w:hAnsi="Arial" w:cs="Arial"/>
          <w:color w:val="000000" w:themeColor="text1"/>
        </w:rPr>
        <w:t xml:space="preserve"> comparison with its competitors) with 137,000 employees (updated figure in May 2020)</w:t>
      </w:r>
      <w:r w:rsidR="00522F89">
        <w:rPr>
          <w:rFonts w:ascii="Arial" w:hAnsi="Arial" w:cs="Arial"/>
          <w:color w:val="000000" w:themeColor="text1"/>
        </w:rPr>
        <w:t>)</w:t>
      </w:r>
      <w:r w:rsidRPr="00831C06">
        <w:rPr>
          <w:rFonts w:ascii="Arial" w:hAnsi="Arial" w:cs="Arial"/>
          <w:color w:val="000000" w:themeColor="text1"/>
        </w:rPr>
        <w:t xml:space="preserve"> and operating business globally (Forbes</w:t>
      </w:r>
      <w:r w:rsidR="006E2220" w:rsidRPr="00831C06">
        <w:rPr>
          <w:rFonts w:ascii="Arial" w:hAnsi="Arial" w:cs="Arial"/>
          <w:color w:val="000000" w:themeColor="text1"/>
        </w:rPr>
        <w:t>,</w:t>
      </w:r>
      <w:r w:rsidRPr="00831C06">
        <w:rPr>
          <w:rFonts w:ascii="Arial" w:hAnsi="Arial" w:cs="Arial"/>
          <w:color w:val="000000" w:themeColor="text1"/>
        </w:rPr>
        <w:t xml:space="preserve"> 2020; Statista</w:t>
      </w:r>
      <w:r w:rsidR="006E2220" w:rsidRPr="00831C06">
        <w:rPr>
          <w:rFonts w:ascii="Arial" w:hAnsi="Arial" w:cs="Arial"/>
          <w:color w:val="000000" w:themeColor="text1"/>
        </w:rPr>
        <w:t>,</w:t>
      </w:r>
      <w:r w:rsidRPr="00831C06">
        <w:rPr>
          <w:rFonts w:ascii="Arial" w:hAnsi="Arial" w:cs="Arial"/>
          <w:color w:val="000000" w:themeColor="text1"/>
        </w:rPr>
        <w:t xml:space="preserve"> 2020) – therefore, would not be the outsider of the ‘war for talent’ (originally formulated by Steven Hankin of McKinsey in 1997) (Keller &amp; Meaney</w:t>
      </w:r>
      <w:r w:rsidR="006E2220" w:rsidRPr="00831C06">
        <w:rPr>
          <w:rFonts w:ascii="Arial" w:hAnsi="Arial" w:cs="Arial"/>
          <w:color w:val="000000" w:themeColor="text1"/>
        </w:rPr>
        <w:t>,</w:t>
      </w:r>
      <w:r w:rsidRPr="00831C06">
        <w:rPr>
          <w:rFonts w:ascii="Arial" w:hAnsi="Arial" w:cs="Arial"/>
          <w:color w:val="000000" w:themeColor="text1"/>
        </w:rPr>
        <w:t xml:space="preserve"> 2017). </w:t>
      </w:r>
    </w:p>
    <w:p w:rsidR="005B4A04" w:rsidRPr="00831C06" w:rsidRDefault="005B4A04" w:rsidP="00831C06">
      <w:pPr>
        <w:spacing w:line="480" w:lineRule="auto"/>
        <w:rPr>
          <w:rFonts w:ascii="Arial" w:hAnsi="Arial" w:cs="Arial"/>
          <w:color w:val="000000" w:themeColor="text1"/>
        </w:rPr>
      </w:pPr>
    </w:p>
    <w:p w:rsidR="005B4A04" w:rsidRPr="00831C06" w:rsidRDefault="005B4A04" w:rsidP="00831C06">
      <w:pPr>
        <w:spacing w:line="480" w:lineRule="auto"/>
        <w:rPr>
          <w:rFonts w:ascii="Arial" w:hAnsi="Arial" w:cs="Arial"/>
          <w:color w:val="000000" w:themeColor="text1"/>
        </w:rPr>
      </w:pPr>
      <w:r w:rsidRPr="00831C06">
        <w:rPr>
          <w:rFonts w:ascii="Arial" w:hAnsi="Arial" w:cs="Arial"/>
          <w:noProof/>
          <w:color w:val="000000" w:themeColor="text1"/>
        </w:rPr>
        <w:lastRenderedPageBreak/>
        <w:drawing>
          <wp:inline distT="0" distB="0" distL="0" distR="0">
            <wp:extent cx="5727700" cy="6413500"/>
            <wp:effectExtent l="0" t="0" r="0" b="0"/>
            <wp:docPr id="51" name="Picture 5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6413500"/>
                    </a:xfrm>
                    <a:prstGeom prst="rect">
                      <a:avLst/>
                    </a:prstGeom>
                  </pic:spPr>
                </pic:pic>
              </a:graphicData>
            </a:graphic>
          </wp:inline>
        </w:drawing>
      </w:r>
    </w:p>
    <w:p w:rsidR="005B4A04" w:rsidRPr="00831C06" w:rsidRDefault="005B4A04" w:rsidP="00831C06">
      <w:pPr>
        <w:spacing w:line="480" w:lineRule="auto"/>
        <w:jc w:val="center"/>
        <w:rPr>
          <w:rFonts w:ascii="Arial" w:hAnsi="Arial" w:cs="Arial"/>
          <w:i/>
          <w:iCs/>
          <w:color w:val="000000" w:themeColor="text1"/>
        </w:rPr>
      </w:pPr>
      <w:r w:rsidRPr="00831C06">
        <w:rPr>
          <w:rFonts w:ascii="Arial" w:hAnsi="Arial" w:cs="Arial"/>
          <w:i/>
          <w:iCs/>
          <w:color w:val="000000" w:themeColor="text1"/>
        </w:rPr>
        <w:t xml:space="preserve">(Figure </w:t>
      </w:r>
      <w:r w:rsidR="00F2066D" w:rsidRPr="00831C06">
        <w:rPr>
          <w:rFonts w:ascii="Arial" w:hAnsi="Arial" w:cs="Arial"/>
          <w:i/>
          <w:iCs/>
          <w:color w:val="000000" w:themeColor="text1"/>
        </w:rPr>
        <w:t>0</w:t>
      </w:r>
      <w:r w:rsidRPr="00831C06">
        <w:rPr>
          <w:rFonts w:ascii="Arial" w:hAnsi="Arial" w:cs="Arial"/>
          <w:i/>
          <w:iCs/>
          <w:color w:val="000000" w:themeColor="text1"/>
        </w:rPr>
        <w:t>1 – Values of the top 20 technology brand globally in 2020 – Statista</w:t>
      </w:r>
      <w:r w:rsidR="006E2220" w:rsidRPr="00831C06">
        <w:rPr>
          <w:rFonts w:ascii="Arial" w:hAnsi="Arial" w:cs="Arial"/>
          <w:i/>
          <w:iCs/>
          <w:color w:val="000000" w:themeColor="text1"/>
        </w:rPr>
        <w:t>,</w:t>
      </w:r>
      <w:r w:rsidRPr="00831C06">
        <w:rPr>
          <w:rFonts w:ascii="Arial" w:hAnsi="Arial" w:cs="Arial"/>
          <w:i/>
          <w:iCs/>
          <w:color w:val="000000" w:themeColor="text1"/>
        </w:rPr>
        <w:t xml:space="preserve"> 2020)</w:t>
      </w:r>
    </w:p>
    <w:p w:rsidR="005B4A04" w:rsidRDefault="005B4A04" w:rsidP="00831C06">
      <w:pPr>
        <w:spacing w:line="480" w:lineRule="auto"/>
        <w:rPr>
          <w:rFonts w:ascii="Arial" w:hAnsi="Arial" w:cs="Arial"/>
          <w:color w:val="000000" w:themeColor="text1"/>
        </w:rPr>
      </w:pPr>
    </w:p>
    <w:p w:rsidR="00CD24C8" w:rsidRDefault="00CD24C8" w:rsidP="00831C06">
      <w:pPr>
        <w:spacing w:line="480" w:lineRule="auto"/>
        <w:rPr>
          <w:rFonts w:ascii="Arial" w:hAnsi="Arial" w:cs="Arial"/>
          <w:color w:val="000000" w:themeColor="text1"/>
        </w:rPr>
      </w:pPr>
    </w:p>
    <w:p w:rsidR="00CD24C8" w:rsidRDefault="00CD24C8" w:rsidP="00831C06">
      <w:pPr>
        <w:spacing w:line="480" w:lineRule="auto"/>
        <w:rPr>
          <w:rFonts w:ascii="Arial" w:hAnsi="Arial" w:cs="Arial"/>
          <w:color w:val="000000" w:themeColor="text1"/>
        </w:rPr>
      </w:pPr>
    </w:p>
    <w:p w:rsidR="00CD24C8" w:rsidRPr="00831C06" w:rsidRDefault="00CD24C8" w:rsidP="00831C06">
      <w:pPr>
        <w:spacing w:line="480" w:lineRule="auto"/>
        <w:rPr>
          <w:rFonts w:ascii="Arial" w:hAnsi="Arial" w:cs="Arial"/>
          <w:color w:val="000000" w:themeColor="text1"/>
        </w:rPr>
      </w:pPr>
    </w:p>
    <w:p w:rsidR="005B4A04" w:rsidRPr="00831C06" w:rsidRDefault="005B4A04" w:rsidP="00831C06">
      <w:pPr>
        <w:spacing w:line="480" w:lineRule="auto"/>
        <w:rPr>
          <w:rFonts w:ascii="Arial" w:hAnsi="Arial" w:cs="Arial"/>
          <w:color w:val="000000" w:themeColor="text1"/>
        </w:rPr>
      </w:pPr>
    </w:p>
    <w:p w:rsidR="005B4A04" w:rsidRPr="00831C06" w:rsidRDefault="00920B8E" w:rsidP="00831C06">
      <w:pPr>
        <w:spacing w:line="480" w:lineRule="auto"/>
        <w:rPr>
          <w:rFonts w:ascii="Arial" w:hAnsi="Arial" w:cs="Arial"/>
          <w:b/>
          <w:bCs/>
          <w:color w:val="000000" w:themeColor="text1"/>
        </w:rPr>
      </w:pPr>
      <w:r w:rsidRPr="00831C06">
        <w:rPr>
          <w:rFonts w:ascii="Arial" w:hAnsi="Arial" w:cs="Arial"/>
          <w:b/>
          <w:bCs/>
          <w:color w:val="000000" w:themeColor="text1"/>
        </w:rPr>
        <w:lastRenderedPageBreak/>
        <w:t xml:space="preserve">PESTLE analysis </w:t>
      </w:r>
    </w:p>
    <w:tbl>
      <w:tblPr>
        <w:tblStyle w:val="TableGrid"/>
        <w:tblW w:w="9918" w:type="dxa"/>
        <w:tblLook w:val="04A0" w:firstRow="1" w:lastRow="0" w:firstColumn="1" w:lastColumn="0" w:noHBand="0" w:noVBand="1"/>
      </w:tblPr>
      <w:tblGrid>
        <w:gridCol w:w="603"/>
        <w:gridCol w:w="1883"/>
        <w:gridCol w:w="3364"/>
        <w:gridCol w:w="4068"/>
      </w:tblGrid>
      <w:tr w:rsidR="00D9640B" w:rsidRPr="00831C06" w:rsidTr="009E5E3C">
        <w:tc>
          <w:tcPr>
            <w:tcW w:w="562" w:type="dxa"/>
          </w:tcPr>
          <w:p w:rsidR="005B4A04" w:rsidRPr="00831C06" w:rsidRDefault="005B4A04"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No.</w:t>
            </w:r>
          </w:p>
        </w:tc>
        <w:tc>
          <w:tcPr>
            <w:tcW w:w="1843" w:type="dxa"/>
          </w:tcPr>
          <w:p w:rsidR="005B4A04" w:rsidRPr="00831C06" w:rsidRDefault="005B4A04"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Factor</w:t>
            </w:r>
          </w:p>
        </w:tc>
        <w:tc>
          <w:tcPr>
            <w:tcW w:w="3402" w:type="dxa"/>
          </w:tcPr>
          <w:p w:rsidR="005B4A04" w:rsidRPr="00831C06" w:rsidRDefault="005B4A04"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Signal</w:t>
            </w:r>
          </w:p>
        </w:tc>
        <w:tc>
          <w:tcPr>
            <w:tcW w:w="4111" w:type="dxa"/>
          </w:tcPr>
          <w:p w:rsidR="005B4A04" w:rsidRPr="00831C06" w:rsidRDefault="005B4A04"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Impacts</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1</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Political</w:t>
            </w:r>
          </w:p>
        </w:tc>
        <w:tc>
          <w:tcPr>
            <w:tcW w:w="3402" w:type="dxa"/>
          </w:tcPr>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Political nationalism: Fear of globalisation have led to the concern of job security for the local workers (Horak et al.</w:t>
            </w:r>
            <w:r w:rsidR="006E2220" w:rsidRPr="00831C06">
              <w:rPr>
                <w:rFonts w:ascii="Arial" w:hAnsi="Arial" w:cs="Arial"/>
                <w:color w:val="000000" w:themeColor="text1"/>
              </w:rPr>
              <w:t>,</w:t>
            </w:r>
            <w:r w:rsidRPr="00831C06">
              <w:rPr>
                <w:rFonts w:ascii="Arial" w:hAnsi="Arial" w:cs="Arial"/>
                <w:color w:val="000000" w:themeColor="text1"/>
              </w:rPr>
              <w:t xml:space="preserve"> 2019)</w:t>
            </w:r>
          </w:p>
        </w:tc>
        <w:tc>
          <w:tcPr>
            <w:tcW w:w="4111" w:type="dxa"/>
          </w:tcPr>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t>It result</w:t>
            </w:r>
            <w:r w:rsidR="00B14090" w:rsidRPr="00831C06">
              <w:rPr>
                <w:rFonts w:ascii="Arial" w:hAnsi="Arial" w:cs="Arial"/>
                <w:color w:val="000000" w:themeColor="text1"/>
              </w:rPr>
              <w:t>s</w:t>
            </w:r>
            <w:r w:rsidRPr="00831C06">
              <w:rPr>
                <w:rFonts w:ascii="Arial" w:hAnsi="Arial" w:cs="Arial"/>
                <w:color w:val="000000" w:themeColor="text1"/>
              </w:rPr>
              <w:t xml:space="preserve"> in the isolationistic or nationalistic policies regulated by the political </w:t>
            </w:r>
            <w:r w:rsidR="00387B88" w:rsidRPr="00831C06">
              <w:rPr>
                <w:rFonts w:ascii="Arial" w:hAnsi="Arial" w:cs="Arial"/>
                <w:color w:val="000000" w:themeColor="text1"/>
              </w:rPr>
              <w:t>leaders (</w:t>
            </w:r>
            <w:proofErr w:type="spellStart"/>
            <w:r w:rsidRPr="00831C06">
              <w:rPr>
                <w:rFonts w:ascii="Arial" w:hAnsi="Arial" w:cs="Arial"/>
                <w:color w:val="000000" w:themeColor="text1"/>
              </w:rPr>
              <w:t>Horak</w:t>
            </w:r>
            <w:proofErr w:type="spellEnd"/>
            <w:r w:rsidRPr="00831C06">
              <w:rPr>
                <w:rFonts w:ascii="Arial" w:hAnsi="Arial" w:cs="Arial"/>
                <w:color w:val="000000" w:themeColor="text1"/>
              </w:rPr>
              <w:t xml:space="preserve"> et al.</w:t>
            </w:r>
            <w:r w:rsidR="006E2220" w:rsidRPr="00831C06">
              <w:rPr>
                <w:rFonts w:ascii="Arial" w:hAnsi="Arial" w:cs="Arial"/>
                <w:color w:val="000000" w:themeColor="text1"/>
              </w:rPr>
              <w:t>,</w:t>
            </w:r>
            <w:r w:rsidRPr="00831C06">
              <w:rPr>
                <w:rFonts w:ascii="Arial" w:hAnsi="Arial" w:cs="Arial"/>
                <w:color w:val="000000" w:themeColor="text1"/>
              </w:rPr>
              <w:t xml:space="preserve"> 2019)</w:t>
            </w:r>
          </w:p>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t>Difficulties in attracting international talent/ workers for the multinational tech companies like Apple.</w:t>
            </w:r>
          </w:p>
          <w:p w:rsidR="00B14090" w:rsidRPr="00831C06" w:rsidRDefault="00B14090" w:rsidP="00831C06">
            <w:pPr>
              <w:spacing w:line="480" w:lineRule="auto"/>
              <w:rPr>
                <w:rFonts w:ascii="Arial" w:hAnsi="Arial" w:cs="Arial"/>
                <w:color w:val="000000" w:themeColor="text1"/>
              </w:rPr>
            </w:pPr>
            <w:r w:rsidRPr="00831C06">
              <w:rPr>
                <w:rFonts w:ascii="Arial" w:hAnsi="Arial" w:cs="Arial"/>
                <w:color w:val="000000" w:themeColor="text1"/>
              </w:rPr>
              <w:t>+ Ex: Donald Trumps’ ban on issuing H1B &amp; the other foreign work visa announced recently raised the concern from the leading tech companies in the US such as: Apple, Google or Amazon regarding the shortage of elite talent, especially in the time of post-crisis because of the pandemic Covid-19 (Reuters</w:t>
            </w:r>
            <w:r w:rsidR="006E2220" w:rsidRPr="00831C06">
              <w:rPr>
                <w:rFonts w:ascii="Arial" w:hAnsi="Arial" w:cs="Arial"/>
                <w:color w:val="000000" w:themeColor="text1"/>
              </w:rPr>
              <w:t>,</w:t>
            </w:r>
            <w:r w:rsidRPr="00831C06">
              <w:rPr>
                <w:rFonts w:ascii="Arial" w:hAnsi="Arial" w:cs="Arial"/>
                <w:color w:val="000000" w:themeColor="text1"/>
              </w:rPr>
              <w:t xml:space="preserve"> 2020)</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2</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Economical</w:t>
            </w:r>
          </w:p>
        </w:tc>
        <w:tc>
          <w:tcPr>
            <w:tcW w:w="3402" w:type="dxa"/>
          </w:tcPr>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xml:space="preserve">Globalisation (which is </w:t>
            </w:r>
            <w:r w:rsidR="00B14090" w:rsidRPr="00831C06">
              <w:rPr>
                <w:rFonts w:ascii="Arial" w:hAnsi="Arial" w:cs="Arial"/>
                <w:color w:val="000000" w:themeColor="text1"/>
              </w:rPr>
              <w:t>dedicated</w:t>
            </w:r>
            <w:r w:rsidRPr="00831C06">
              <w:rPr>
                <w:rFonts w:ascii="Arial" w:hAnsi="Arial" w:cs="Arial"/>
                <w:color w:val="000000" w:themeColor="text1"/>
              </w:rPr>
              <w:t xml:space="preserve"> </w:t>
            </w:r>
            <w:r w:rsidR="00B14090" w:rsidRPr="00831C06">
              <w:rPr>
                <w:rFonts w:ascii="Arial" w:hAnsi="Arial" w:cs="Arial"/>
                <w:color w:val="000000" w:themeColor="text1"/>
              </w:rPr>
              <w:t xml:space="preserve">as </w:t>
            </w:r>
            <w:r w:rsidRPr="00831C06">
              <w:rPr>
                <w:rFonts w:ascii="Arial" w:hAnsi="Arial" w:cs="Arial"/>
                <w:color w:val="000000" w:themeColor="text1"/>
              </w:rPr>
              <w:t xml:space="preserve">‘the increased movement of capital and labour, of finance, goods and services between countries’ </w:t>
            </w:r>
            <w:r w:rsidRPr="00831C06">
              <w:rPr>
                <w:rFonts w:ascii="Arial" w:hAnsi="Arial" w:cs="Arial"/>
                <w:color w:val="000000" w:themeColor="text1"/>
              </w:rPr>
              <w:lastRenderedPageBreak/>
              <w:t>(Edward &amp; Rees</w:t>
            </w:r>
            <w:r w:rsidR="006E2220" w:rsidRPr="00831C06">
              <w:rPr>
                <w:rFonts w:ascii="Arial" w:hAnsi="Arial" w:cs="Arial"/>
                <w:color w:val="000000" w:themeColor="text1"/>
              </w:rPr>
              <w:t>,</w:t>
            </w:r>
            <w:r w:rsidRPr="00831C06">
              <w:rPr>
                <w:rFonts w:ascii="Arial" w:hAnsi="Arial" w:cs="Arial"/>
                <w:color w:val="000000" w:themeColor="text1"/>
              </w:rPr>
              <w:t xml:space="preserve"> 2016, p4)): </w:t>
            </w:r>
            <w:r w:rsidR="00522F89">
              <w:rPr>
                <w:rFonts w:ascii="Arial" w:hAnsi="Arial" w:cs="Arial"/>
                <w:color w:val="000000" w:themeColor="text1"/>
              </w:rPr>
              <w:t>I</w:t>
            </w:r>
            <w:r w:rsidRPr="00831C06">
              <w:rPr>
                <w:rFonts w:ascii="Arial" w:hAnsi="Arial" w:cs="Arial"/>
                <w:color w:val="000000" w:themeColor="text1"/>
              </w:rPr>
              <w:t xml:space="preserve">ntensified competition for talent between </w:t>
            </w:r>
            <w:r w:rsidR="00387B88" w:rsidRPr="00831C06">
              <w:rPr>
                <w:rFonts w:ascii="Arial" w:hAnsi="Arial" w:cs="Arial"/>
                <w:color w:val="000000" w:themeColor="text1"/>
              </w:rPr>
              <w:t>companies (</w:t>
            </w:r>
            <w:r w:rsidRPr="00831C06">
              <w:rPr>
                <w:rFonts w:ascii="Arial" w:hAnsi="Arial" w:cs="Arial"/>
                <w:color w:val="000000" w:themeColor="text1"/>
              </w:rPr>
              <w:t xml:space="preserve">Deloitte </w:t>
            </w:r>
            <w:r w:rsidR="00F2066D" w:rsidRPr="00831C06">
              <w:rPr>
                <w:rFonts w:ascii="Arial" w:hAnsi="Arial" w:cs="Arial"/>
                <w:color w:val="000000" w:themeColor="text1"/>
              </w:rPr>
              <w:t>CFO</w:t>
            </w:r>
            <w:r w:rsidR="006E2220" w:rsidRPr="00831C06">
              <w:rPr>
                <w:rFonts w:ascii="Arial" w:hAnsi="Arial" w:cs="Arial"/>
                <w:color w:val="000000" w:themeColor="text1"/>
              </w:rPr>
              <w:t>,</w:t>
            </w:r>
            <w:r w:rsidR="00F2066D" w:rsidRPr="00831C06">
              <w:rPr>
                <w:rFonts w:ascii="Arial" w:hAnsi="Arial" w:cs="Arial"/>
                <w:color w:val="000000" w:themeColor="text1"/>
              </w:rPr>
              <w:t xml:space="preserve"> </w:t>
            </w:r>
            <w:r w:rsidRPr="00831C06">
              <w:rPr>
                <w:rFonts w:ascii="Arial" w:hAnsi="Arial" w:cs="Arial"/>
                <w:color w:val="000000" w:themeColor="text1"/>
              </w:rPr>
              <w:t>2014)</w:t>
            </w:r>
          </w:p>
        </w:tc>
        <w:tc>
          <w:tcPr>
            <w:tcW w:w="4111" w:type="dxa"/>
          </w:tcPr>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lastRenderedPageBreak/>
              <w:t xml:space="preserve">An organisation would have to compete their local employment brands to solve the math of attracting talent in the countries which it is </w:t>
            </w:r>
            <w:r w:rsidRPr="00831C06">
              <w:rPr>
                <w:rFonts w:ascii="Arial" w:hAnsi="Arial" w:cs="Arial"/>
                <w:color w:val="000000" w:themeColor="text1"/>
              </w:rPr>
              <w:lastRenderedPageBreak/>
              <w:t>not based in (CFO Deloitte</w:t>
            </w:r>
            <w:r w:rsidR="006E2220" w:rsidRPr="00831C06">
              <w:rPr>
                <w:rFonts w:ascii="Arial" w:hAnsi="Arial" w:cs="Arial"/>
                <w:color w:val="000000" w:themeColor="text1"/>
              </w:rPr>
              <w:t>,</w:t>
            </w:r>
            <w:r w:rsidRPr="00831C06">
              <w:rPr>
                <w:rFonts w:ascii="Arial" w:hAnsi="Arial" w:cs="Arial"/>
                <w:color w:val="000000" w:themeColor="text1"/>
              </w:rPr>
              <w:t xml:space="preserve"> 2014)</w:t>
            </w: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xml:space="preserve">+ Ex: China market &amp; huge </w:t>
            </w:r>
            <w:r w:rsidR="00522F89">
              <w:rPr>
                <w:rFonts w:ascii="Arial" w:hAnsi="Arial" w:cs="Arial"/>
                <w:color w:val="000000" w:themeColor="text1"/>
              </w:rPr>
              <w:t xml:space="preserve">Chinese </w:t>
            </w:r>
            <w:r w:rsidRPr="00831C06">
              <w:rPr>
                <w:rFonts w:ascii="Arial" w:hAnsi="Arial" w:cs="Arial"/>
                <w:color w:val="000000" w:themeColor="text1"/>
              </w:rPr>
              <w:t>competitors: Huawei, Alibaba, Baidu &amp; Tencent (McKinsey &amp; Company</w:t>
            </w:r>
            <w:r w:rsidR="006E2220" w:rsidRPr="00831C06">
              <w:rPr>
                <w:rFonts w:ascii="Arial" w:hAnsi="Arial" w:cs="Arial"/>
                <w:color w:val="000000" w:themeColor="text1"/>
              </w:rPr>
              <w:t>,</w:t>
            </w:r>
            <w:r w:rsidRPr="00831C06">
              <w:rPr>
                <w:rFonts w:ascii="Arial" w:hAnsi="Arial" w:cs="Arial"/>
                <w:color w:val="000000" w:themeColor="text1"/>
              </w:rPr>
              <w:t xml:space="preserve"> 2019</w:t>
            </w:r>
            <w:r w:rsidR="00522F89">
              <w:rPr>
                <w:rFonts w:ascii="Arial" w:hAnsi="Arial" w:cs="Arial"/>
                <w:color w:val="000000" w:themeColor="text1"/>
              </w:rPr>
              <w:t xml:space="preserve"> - </w:t>
            </w:r>
            <w:r w:rsidRPr="00831C06">
              <w:rPr>
                <w:rFonts w:ascii="Arial" w:hAnsi="Arial" w:cs="Arial"/>
                <w:color w:val="000000" w:themeColor="text1"/>
              </w:rPr>
              <w:t>p63-65)</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lastRenderedPageBreak/>
              <w:t>3</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Social</w:t>
            </w:r>
          </w:p>
        </w:tc>
        <w:tc>
          <w:tcPr>
            <w:tcW w:w="3402" w:type="dxa"/>
          </w:tcPr>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The changes/ the patterns regarding customers’ beliefs, behaviours and mindsets</w:t>
            </w:r>
            <w:r w:rsidR="006E2220" w:rsidRPr="00831C06">
              <w:rPr>
                <w:rFonts w:ascii="Arial" w:hAnsi="Arial" w:cs="Arial"/>
                <w:color w:val="000000" w:themeColor="text1"/>
              </w:rPr>
              <w:t xml:space="preserve"> (McKinsey &amp; Company, 2020)</w:t>
            </w:r>
            <w:r w:rsidRPr="00831C06">
              <w:rPr>
                <w:rFonts w:ascii="Arial" w:hAnsi="Arial" w:cs="Arial"/>
                <w:color w:val="000000" w:themeColor="text1"/>
              </w:rPr>
              <w:t xml:space="preserve"> </w:t>
            </w:r>
          </w:p>
        </w:tc>
        <w:tc>
          <w:tcPr>
            <w:tcW w:w="4111" w:type="dxa"/>
          </w:tcPr>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t>Company has to pay attention to what their customers care about in order to align with their tone</w:t>
            </w:r>
            <w:r w:rsidR="00522F89">
              <w:rPr>
                <w:rFonts w:ascii="Arial" w:hAnsi="Arial" w:cs="Arial"/>
                <w:color w:val="000000" w:themeColor="text1"/>
              </w:rPr>
              <w:t>s</w:t>
            </w:r>
            <w:r w:rsidRPr="00831C06">
              <w:rPr>
                <w:rFonts w:ascii="Arial" w:hAnsi="Arial" w:cs="Arial"/>
                <w:color w:val="000000" w:themeColor="text1"/>
              </w:rPr>
              <w:t xml:space="preserve"> and message</w:t>
            </w:r>
            <w:r w:rsidR="00522F89">
              <w:rPr>
                <w:rFonts w:ascii="Arial" w:hAnsi="Arial" w:cs="Arial"/>
                <w:color w:val="000000" w:themeColor="text1"/>
              </w:rPr>
              <w:t>s</w:t>
            </w:r>
            <w:r w:rsidRPr="00831C06">
              <w:rPr>
                <w:rFonts w:ascii="Arial" w:hAnsi="Arial" w:cs="Arial"/>
                <w:color w:val="000000" w:themeColor="text1"/>
              </w:rPr>
              <w:t xml:space="preserve"> regarding how an organisation operates (McKinsey &amp; Company</w:t>
            </w:r>
            <w:r w:rsidR="006E2220" w:rsidRPr="00831C06">
              <w:rPr>
                <w:rFonts w:ascii="Arial" w:hAnsi="Arial" w:cs="Arial"/>
                <w:color w:val="000000" w:themeColor="text1"/>
              </w:rPr>
              <w:t>,</w:t>
            </w:r>
            <w:r w:rsidRPr="00831C06">
              <w:rPr>
                <w:rFonts w:ascii="Arial" w:hAnsi="Arial" w:cs="Arial"/>
                <w:color w:val="000000" w:themeColor="text1"/>
              </w:rPr>
              <w:t xml:space="preserve"> 2020)</w:t>
            </w: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Ex: The crisis of the global pandemic Covid-19 raised the concern of customer regarding how employers treat their employees providing the uncertainty caused</w:t>
            </w:r>
            <w:r w:rsidR="00522F89">
              <w:rPr>
                <w:rFonts w:ascii="Arial" w:hAnsi="Arial" w:cs="Arial"/>
                <w:color w:val="000000" w:themeColor="text1"/>
              </w:rPr>
              <w:t>,</w:t>
            </w:r>
            <w:r w:rsidRPr="00831C06">
              <w:rPr>
                <w:rFonts w:ascii="Arial" w:hAnsi="Arial" w:cs="Arial"/>
                <w:color w:val="000000" w:themeColor="text1"/>
              </w:rPr>
              <w:t xml:space="preserve"> so it would be a company’s competitive advantage to be able to catch the customers’ thoughts to enhance their HR game which in this case is not about recruiting talent but to </w:t>
            </w:r>
            <w:r w:rsidRPr="00831C06">
              <w:rPr>
                <w:rFonts w:ascii="Arial" w:hAnsi="Arial" w:cs="Arial"/>
                <w:color w:val="000000" w:themeColor="text1"/>
              </w:rPr>
              <w:lastRenderedPageBreak/>
              <w:t>protect talent</w:t>
            </w:r>
            <w:r w:rsidR="00F2066D" w:rsidRPr="00831C06">
              <w:rPr>
                <w:rFonts w:ascii="Arial" w:hAnsi="Arial" w:cs="Arial"/>
                <w:color w:val="000000" w:themeColor="text1"/>
              </w:rPr>
              <w:t xml:space="preserve"> (McKinsey &amp; Company</w:t>
            </w:r>
            <w:r w:rsidR="006E2220" w:rsidRPr="00831C06">
              <w:rPr>
                <w:rFonts w:ascii="Arial" w:hAnsi="Arial" w:cs="Arial"/>
                <w:color w:val="000000" w:themeColor="text1"/>
              </w:rPr>
              <w:t>,</w:t>
            </w:r>
            <w:r w:rsidR="00F2066D" w:rsidRPr="00831C06">
              <w:rPr>
                <w:rFonts w:ascii="Arial" w:hAnsi="Arial" w:cs="Arial"/>
                <w:color w:val="000000" w:themeColor="text1"/>
              </w:rPr>
              <w:t xml:space="preserve"> 2020).</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lastRenderedPageBreak/>
              <w:t>4</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Technological</w:t>
            </w:r>
          </w:p>
        </w:tc>
        <w:tc>
          <w:tcPr>
            <w:tcW w:w="3402" w:type="dxa"/>
          </w:tcPr>
          <w:p w:rsidR="005B4A04" w:rsidRPr="00831C06" w:rsidRDefault="00CD24C8" w:rsidP="00831C06">
            <w:pPr>
              <w:spacing w:line="480" w:lineRule="auto"/>
              <w:rPr>
                <w:rFonts w:ascii="Arial" w:hAnsi="Arial" w:cs="Arial"/>
                <w:color w:val="000000" w:themeColor="text1"/>
              </w:rPr>
            </w:pPr>
            <w:r>
              <w:rPr>
                <w:rFonts w:ascii="Arial" w:hAnsi="Arial" w:cs="Arial"/>
                <w:color w:val="000000" w:themeColor="text1"/>
              </w:rPr>
              <w:t>The dramatic growth of technology in AI, automation (Frey &amp; Osborne, 2013).</w:t>
            </w:r>
          </w:p>
        </w:tc>
        <w:tc>
          <w:tcPr>
            <w:tcW w:w="4111" w:type="dxa"/>
          </w:tcPr>
          <w:p w:rsidR="005B4A04" w:rsidRPr="00831C06" w:rsidRDefault="00CD24C8" w:rsidP="00831C06">
            <w:pPr>
              <w:spacing w:line="480" w:lineRule="auto"/>
              <w:rPr>
                <w:rFonts w:ascii="Arial" w:hAnsi="Arial" w:cs="Arial"/>
                <w:color w:val="000000" w:themeColor="text1"/>
              </w:rPr>
            </w:pPr>
            <w:r>
              <w:rPr>
                <w:rFonts w:ascii="Arial" w:hAnsi="Arial" w:cs="Arial"/>
                <w:color w:val="000000" w:themeColor="text1"/>
              </w:rPr>
              <w:t>The threat of losing jobs to the low and unskilled workers because of automation and AI might lead to the displacement from people to machines at workplace, especially with the roles that do not require cognitive skills (Frey &amp; Osborne, 2013).</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5</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Legal</w:t>
            </w:r>
          </w:p>
        </w:tc>
        <w:tc>
          <w:tcPr>
            <w:tcW w:w="3402" w:type="dxa"/>
          </w:tcPr>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To mitigate the impacts of recruitment bias and enhance the diversity and inclusion in workforce, non-discrimination policies with the disclosure of personal data such as: disability, sexual orientation, and gender identity has been encouraged to be followed by the employers (CIPD</w:t>
            </w:r>
            <w:r w:rsidR="006E2220" w:rsidRPr="00831C06">
              <w:rPr>
                <w:rFonts w:ascii="Arial" w:hAnsi="Arial" w:cs="Arial"/>
                <w:color w:val="000000" w:themeColor="text1"/>
              </w:rPr>
              <w:t>,</w:t>
            </w:r>
            <w:r w:rsidRPr="00831C06">
              <w:rPr>
                <w:rFonts w:ascii="Arial" w:hAnsi="Arial" w:cs="Arial"/>
                <w:color w:val="000000" w:themeColor="text1"/>
              </w:rPr>
              <w:t xml:space="preserve"> 2019)</w:t>
            </w:r>
            <w:r w:rsidR="00CD24C8">
              <w:rPr>
                <w:rFonts w:ascii="Arial" w:hAnsi="Arial" w:cs="Arial"/>
                <w:color w:val="000000" w:themeColor="text1"/>
              </w:rPr>
              <w:t>.</w:t>
            </w:r>
          </w:p>
        </w:tc>
        <w:tc>
          <w:tcPr>
            <w:tcW w:w="4111" w:type="dxa"/>
          </w:tcPr>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t>However, besides the fact that it would help minimise the recruitment bias:</w:t>
            </w: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There is a fear of the employees that the disclosure of such kind of information might be the obstacles for their career path or the hiring process (CIPD</w:t>
            </w:r>
            <w:r w:rsidR="006E2220" w:rsidRPr="00831C06">
              <w:rPr>
                <w:rFonts w:ascii="Arial" w:hAnsi="Arial" w:cs="Arial"/>
                <w:color w:val="000000" w:themeColor="text1"/>
              </w:rPr>
              <w:t>,</w:t>
            </w:r>
            <w:r w:rsidRPr="00831C06">
              <w:rPr>
                <w:rFonts w:ascii="Arial" w:hAnsi="Arial" w:cs="Arial"/>
                <w:color w:val="000000" w:themeColor="text1"/>
              </w:rPr>
              <w:t xml:space="preserve"> 2019).</w:t>
            </w:r>
          </w:p>
          <w:p w:rsidR="005B4A04"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Speaking of the employers, there is also the concern of the consent of those sensitive and significant information of their employees and the candidates (How to store and protect it safely) (CIPD</w:t>
            </w:r>
            <w:r w:rsidR="006E2220" w:rsidRPr="00831C06">
              <w:rPr>
                <w:rFonts w:ascii="Arial" w:hAnsi="Arial" w:cs="Arial"/>
                <w:color w:val="000000" w:themeColor="text1"/>
              </w:rPr>
              <w:t>,</w:t>
            </w:r>
            <w:r w:rsidRPr="00831C06">
              <w:rPr>
                <w:rFonts w:ascii="Arial" w:hAnsi="Arial" w:cs="Arial"/>
                <w:color w:val="000000" w:themeColor="text1"/>
              </w:rPr>
              <w:t xml:space="preserve"> 2019)</w:t>
            </w:r>
            <w:r w:rsidR="00CD24C8">
              <w:rPr>
                <w:rFonts w:ascii="Arial" w:hAnsi="Arial" w:cs="Arial"/>
                <w:color w:val="000000" w:themeColor="text1"/>
              </w:rPr>
              <w:t>.</w:t>
            </w:r>
            <w:r w:rsidRPr="00831C06">
              <w:rPr>
                <w:rFonts w:ascii="Arial" w:hAnsi="Arial" w:cs="Arial"/>
                <w:color w:val="000000" w:themeColor="text1"/>
              </w:rPr>
              <w:t xml:space="preserve"> </w:t>
            </w:r>
          </w:p>
        </w:tc>
      </w:tr>
      <w:tr w:rsidR="00D9640B" w:rsidRPr="00831C06" w:rsidTr="009E5E3C">
        <w:tc>
          <w:tcPr>
            <w:tcW w:w="562"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lastRenderedPageBreak/>
              <w:t>6</w:t>
            </w:r>
          </w:p>
        </w:tc>
        <w:tc>
          <w:tcPr>
            <w:tcW w:w="1843" w:type="dxa"/>
          </w:tcPr>
          <w:p w:rsidR="005B4A04" w:rsidRPr="00B34ECA" w:rsidRDefault="005B4A04" w:rsidP="00831C06">
            <w:pPr>
              <w:spacing w:line="480" w:lineRule="auto"/>
              <w:rPr>
                <w:rFonts w:ascii="Arial" w:hAnsi="Arial" w:cs="Arial"/>
                <w:b/>
                <w:bCs/>
                <w:color w:val="000000" w:themeColor="text1"/>
              </w:rPr>
            </w:pPr>
            <w:r w:rsidRPr="00B34ECA">
              <w:rPr>
                <w:rFonts w:ascii="Arial" w:hAnsi="Arial" w:cs="Arial"/>
                <w:b/>
                <w:bCs/>
                <w:color w:val="000000" w:themeColor="text1"/>
              </w:rPr>
              <w:t>Environmental</w:t>
            </w:r>
          </w:p>
        </w:tc>
        <w:tc>
          <w:tcPr>
            <w:tcW w:w="3402" w:type="dxa"/>
          </w:tcPr>
          <w:p w:rsidR="005B4A04" w:rsidRPr="00831C06" w:rsidRDefault="00387B88" w:rsidP="00831C06">
            <w:pPr>
              <w:spacing w:line="480" w:lineRule="auto"/>
              <w:rPr>
                <w:rFonts w:ascii="Arial" w:hAnsi="Arial" w:cs="Arial"/>
                <w:color w:val="000000" w:themeColor="text1"/>
              </w:rPr>
            </w:pPr>
            <w:r w:rsidRPr="00831C06">
              <w:rPr>
                <w:rFonts w:ascii="Arial" w:hAnsi="Arial" w:cs="Arial"/>
                <w:color w:val="000000" w:themeColor="text1"/>
              </w:rPr>
              <w:t>Corporate social responsibilities practices might have impacts on an organisation’s employer brand (Murray, 2018)</w:t>
            </w:r>
            <w:r w:rsidR="00522F89">
              <w:rPr>
                <w:rFonts w:ascii="Arial" w:hAnsi="Arial" w:cs="Arial"/>
                <w:color w:val="000000" w:themeColor="text1"/>
              </w:rPr>
              <w:t>.</w:t>
            </w:r>
          </w:p>
        </w:tc>
        <w:tc>
          <w:tcPr>
            <w:tcW w:w="4111" w:type="dxa"/>
          </w:tcPr>
          <w:p w:rsidR="005B4A04" w:rsidRPr="00831C06" w:rsidRDefault="005B4A04" w:rsidP="00831C06">
            <w:pPr>
              <w:pStyle w:val="ListParagraph"/>
              <w:numPr>
                <w:ilvl w:val="0"/>
                <w:numId w:val="10"/>
              </w:numPr>
              <w:spacing w:line="480" w:lineRule="auto"/>
              <w:rPr>
                <w:rFonts w:ascii="Arial" w:hAnsi="Arial" w:cs="Arial"/>
                <w:color w:val="000000" w:themeColor="text1"/>
              </w:rPr>
            </w:pPr>
            <w:r w:rsidRPr="00831C06">
              <w:rPr>
                <w:rFonts w:ascii="Arial" w:hAnsi="Arial" w:cs="Arial"/>
                <w:color w:val="000000" w:themeColor="text1"/>
              </w:rPr>
              <w:t xml:space="preserve">To understand </w:t>
            </w:r>
            <w:r w:rsidR="00522F89">
              <w:rPr>
                <w:rFonts w:ascii="Arial" w:hAnsi="Arial" w:cs="Arial"/>
                <w:color w:val="000000" w:themeColor="text1"/>
              </w:rPr>
              <w:t xml:space="preserve">how </w:t>
            </w:r>
            <w:r w:rsidRPr="00831C06">
              <w:rPr>
                <w:rFonts w:ascii="Arial" w:hAnsi="Arial" w:cs="Arial"/>
                <w:color w:val="000000" w:themeColor="text1"/>
              </w:rPr>
              <w:t>the importance of the features formulated the good employer brand would help the organisation in attracting more talent than the competitors in the field</w:t>
            </w:r>
            <w:r w:rsidR="00F2066D" w:rsidRPr="00831C06">
              <w:rPr>
                <w:rFonts w:ascii="Arial" w:hAnsi="Arial" w:cs="Arial"/>
                <w:color w:val="000000" w:themeColor="text1"/>
              </w:rPr>
              <w:t xml:space="preserve"> (Armstrong &amp; Stephen</w:t>
            </w:r>
            <w:r w:rsidR="006E2220" w:rsidRPr="00831C06">
              <w:rPr>
                <w:rFonts w:ascii="Arial" w:hAnsi="Arial" w:cs="Arial"/>
                <w:color w:val="000000" w:themeColor="text1"/>
              </w:rPr>
              <w:t>,</w:t>
            </w:r>
            <w:r w:rsidR="00F2066D" w:rsidRPr="00831C06">
              <w:rPr>
                <w:rFonts w:ascii="Arial" w:hAnsi="Arial" w:cs="Arial"/>
                <w:color w:val="000000" w:themeColor="text1"/>
              </w:rPr>
              <w:t xml:space="preserve"> 2014)</w:t>
            </w:r>
            <w:r w:rsidRPr="00831C06">
              <w:rPr>
                <w:rFonts w:ascii="Arial" w:hAnsi="Arial" w:cs="Arial"/>
                <w:color w:val="000000" w:themeColor="text1"/>
              </w:rPr>
              <w:t xml:space="preserve">. </w:t>
            </w:r>
          </w:p>
        </w:tc>
      </w:tr>
    </w:tbl>
    <w:p w:rsidR="005B4A04" w:rsidRPr="00831C06" w:rsidRDefault="005B4A04" w:rsidP="00831C06">
      <w:pPr>
        <w:spacing w:line="480" w:lineRule="auto"/>
        <w:jc w:val="center"/>
        <w:rPr>
          <w:rFonts w:ascii="Arial" w:hAnsi="Arial" w:cs="Arial"/>
          <w:i/>
          <w:iCs/>
          <w:color w:val="000000" w:themeColor="text1"/>
        </w:rPr>
      </w:pPr>
      <w:r w:rsidRPr="00831C06">
        <w:rPr>
          <w:rFonts w:ascii="Arial" w:hAnsi="Arial" w:cs="Arial"/>
          <w:i/>
          <w:iCs/>
          <w:color w:val="000000" w:themeColor="text1"/>
        </w:rPr>
        <w:t xml:space="preserve">(Table </w:t>
      </w:r>
      <w:r w:rsidR="00B34ECA">
        <w:rPr>
          <w:rFonts w:ascii="Arial" w:hAnsi="Arial" w:cs="Arial"/>
          <w:i/>
          <w:iCs/>
          <w:color w:val="000000" w:themeColor="text1"/>
        </w:rPr>
        <w:t>0</w:t>
      </w:r>
      <w:r w:rsidRPr="00831C06">
        <w:rPr>
          <w:rFonts w:ascii="Arial" w:hAnsi="Arial" w:cs="Arial"/>
          <w:i/>
          <w:iCs/>
          <w:color w:val="000000" w:themeColor="text1"/>
        </w:rPr>
        <w:t xml:space="preserve">1 – Factors from PESTLE and its possible impacts on </w:t>
      </w:r>
      <w:r w:rsidR="00F2066D" w:rsidRPr="00831C06">
        <w:rPr>
          <w:rFonts w:ascii="Arial" w:hAnsi="Arial" w:cs="Arial"/>
          <w:i/>
          <w:iCs/>
          <w:color w:val="000000" w:themeColor="text1"/>
        </w:rPr>
        <w:t>the ability of Apple</w:t>
      </w:r>
      <w:r w:rsidRPr="00831C06">
        <w:rPr>
          <w:rFonts w:ascii="Arial" w:hAnsi="Arial" w:cs="Arial"/>
          <w:i/>
          <w:iCs/>
          <w:color w:val="000000" w:themeColor="text1"/>
        </w:rPr>
        <w:t xml:space="preserve"> attract talent – Le</w:t>
      </w:r>
      <w:r w:rsidR="00B34ECA">
        <w:rPr>
          <w:rFonts w:ascii="Arial" w:hAnsi="Arial" w:cs="Arial"/>
          <w:i/>
          <w:iCs/>
          <w:color w:val="000000" w:themeColor="text1"/>
        </w:rPr>
        <w:t>, 2020</w:t>
      </w:r>
      <w:r w:rsidRPr="00831C06">
        <w:rPr>
          <w:rFonts w:ascii="Arial" w:hAnsi="Arial" w:cs="Arial"/>
          <w:i/>
          <w:iCs/>
          <w:color w:val="000000" w:themeColor="text1"/>
        </w:rPr>
        <w:t>)</w:t>
      </w:r>
    </w:p>
    <w:p w:rsidR="005B4A04" w:rsidRPr="00831C06" w:rsidRDefault="005B4A04" w:rsidP="00831C06">
      <w:pPr>
        <w:spacing w:line="480" w:lineRule="auto"/>
        <w:rPr>
          <w:rFonts w:ascii="Arial" w:hAnsi="Arial" w:cs="Arial"/>
          <w:b/>
          <w:bCs/>
          <w:color w:val="000000" w:themeColor="text1"/>
        </w:rPr>
      </w:pPr>
    </w:p>
    <w:p w:rsidR="00F2066D" w:rsidRPr="00831C06" w:rsidRDefault="005B4A04" w:rsidP="00831C06">
      <w:pPr>
        <w:spacing w:line="480" w:lineRule="auto"/>
        <w:rPr>
          <w:rFonts w:ascii="Arial" w:hAnsi="Arial" w:cs="Arial"/>
          <w:color w:val="000000" w:themeColor="text1"/>
        </w:rPr>
      </w:pPr>
      <w:r w:rsidRPr="00831C06">
        <w:rPr>
          <w:rFonts w:ascii="Arial" w:hAnsi="Arial" w:cs="Arial"/>
          <w:color w:val="000000" w:themeColor="text1"/>
        </w:rPr>
        <w:t xml:space="preserve">Horak et al. (2019) mentioned the </w:t>
      </w:r>
      <w:r w:rsidR="00387B88" w:rsidRPr="00831C06">
        <w:rPr>
          <w:rFonts w:ascii="Arial" w:hAnsi="Arial" w:cs="Arial"/>
          <w:color w:val="000000" w:themeColor="text1"/>
        </w:rPr>
        <w:t>so-called</w:t>
      </w:r>
      <w:r w:rsidRPr="00831C06">
        <w:rPr>
          <w:rFonts w:ascii="Arial" w:hAnsi="Arial" w:cs="Arial"/>
          <w:color w:val="000000" w:themeColor="text1"/>
        </w:rPr>
        <w:t xml:space="preserve"> issue as ‘Political nationalism’ which illustrates</w:t>
      </w:r>
      <w:r w:rsidR="00522F89">
        <w:rPr>
          <w:rFonts w:ascii="Arial" w:hAnsi="Arial" w:cs="Arial"/>
          <w:color w:val="000000" w:themeColor="text1"/>
        </w:rPr>
        <w:t xml:space="preserve"> </w:t>
      </w:r>
      <w:r w:rsidRPr="00831C06">
        <w:rPr>
          <w:rFonts w:ascii="Arial" w:hAnsi="Arial" w:cs="Arial"/>
          <w:color w:val="000000" w:themeColor="text1"/>
        </w:rPr>
        <w:t xml:space="preserve">the fear of globalisation </w:t>
      </w:r>
      <w:r w:rsidR="00522F89">
        <w:rPr>
          <w:rFonts w:ascii="Arial" w:hAnsi="Arial" w:cs="Arial"/>
          <w:color w:val="000000" w:themeColor="text1"/>
        </w:rPr>
        <w:t xml:space="preserve">as it </w:t>
      </w:r>
      <w:r w:rsidRPr="00831C06">
        <w:rPr>
          <w:rFonts w:ascii="Arial" w:hAnsi="Arial" w:cs="Arial"/>
          <w:color w:val="000000" w:themeColor="text1"/>
        </w:rPr>
        <w:t>ha</w:t>
      </w:r>
      <w:r w:rsidR="00522F89">
        <w:rPr>
          <w:rFonts w:ascii="Arial" w:hAnsi="Arial" w:cs="Arial"/>
          <w:color w:val="000000" w:themeColor="text1"/>
        </w:rPr>
        <w:t>s</w:t>
      </w:r>
      <w:r w:rsidRPr="00831C06">
        <w:rPr>
          <w:rFonts w:ascii="Arial" w:hAnsi="Arial" w:cs="Arial"/>
          <w:color w:val="000000" w:themeColor="text1"/>
        </w:rPr>
        <w:t xml:space="preserve"> led to the concern of job security for the local workers. As a results, </w:t>
      </w:r>
      <w:r w:rsidR="00B14090" w:rsidRPr="00831C06">
        <w:rPr>
          <w:rFonts w:ascii="Arial" w:hAnsi="Arial" w:cs="Arial"/>
          <w:color w:val="000000" w:themeColor="text1"/>
        </w:rPr>
        <w:t>i</w:t>
      </w:r>
      <w:r w:rsidRPr="00831C06">
        <w:rPr>
          <w:rFonts w:ascii="Arial" w:hAnsi="Arial" w:cs="Arial"/>
          <w:color w:val="000000" w:themeColor="text1"/>
        </w:rPr>
        <w:t xml:space="preserve">t </w:t>
      </w:r>
      <w:r w:rsidR="00B14090" w:rsidRPr="00831C06">
        <w:rPr>
          <w:rFonts w:ascii="Arial" w:hAnsi="Arial" w:cs="Arial"/>
          <w:color w:val="000000" w:themeColor="text1"/>
        </w:rPr>
        <w:t>requires</w:t>
      </w:r>
      <w:r w:rsidRPr="00831C06">
        <w:rPr>
          <w:rFonts w:ascii="Arial" w:hAnsi="Arial" w:cs="Arial"/>
          <w:color w:val="000000" w:themeColor="text1"/>
        </w:rPr>
        <w:t xml:space="preserve"> the isolationistic or nationalistic policies regulated by the political leaders (Horak et al.</w:t>
      </w:r>
      <w:r w:rsidR="006E2220" w:rsidRPr="00831C06">
        <w:rPr>
          <w:rFonts w:ascii="Arial" w:hAnsi="Arial" w:cs="Arial"/>
          <w:color w:val="000000" w:themeColor="text1"/>
        </w:rPr>
        <w:t>,</w:t>
      </w:r>
      <w:r w:rsidRPr="00831C06">
        <w:rPr>
          <w:rFonts w:ascii="Arial" w:hAnsi="Arial" w:cs="Arial"/>
          <w:color w:val="000000" w:themeColor="text1"/>
        </w:rPr>
        <w:t xml:space="preserve"> 2019)</w:t>
      </w:r>
      <w:r w:rsidR="00B14090" w:rsidRPr="00831C06">
        <w:rPr>
          <w:rFonts w:ascii="Arial" w:hAnsi="Arial" w:cs="Arial"/>
          <w:color w:val="000000" w:themeColor="text1"/>
        </w:rPr>
        <w:t xml:space="preserve"> to impose the restriction on immigration in order to ensure the security of job for the local citizens which on the one hand would secure the job opportunities for the locals</w:t>
      </w:r>
      <w:r w:rsidR="00522F89">
        <w:rPr>
          <w:rFonts w:ascii="Arial" w:hAnsi="Arial" w:cs="Arial"/>
          <w:color w:val="000000" w:themeColor="text1"/>
        </w:rPr>
        <w:t>,</w:t>
      </w:r>
      <w:r w:rsidR="00B14090" w:rsidRPr="00831C06">
        <w:rPr>
          <w:rFonts w:ascii="Arial" w:hAnsi="Arial" w:cs="Arial"/>
          <w:color w:val="000000" w:themeColor="text1"/>
        </w:rPr>
        <w:t xml:space="preserve"> </w:t>
      </w:r>
      <w:r w:rsidR="00522F89">
        <w:rPr>
          <w:rFonts w:ascii="Arial" w:hAnsi="Arial" w:cs="Arial"/>
          <w:color w:val="000000" w:themeColor="text1"/>
        </w:rPr>
        <w:t>however,</w:t>
      </w:r>
      <w:r w:rsidR="00B14090" w:rsidRPr="00831C06">
        <w:rPr>
          <w:rFonts w:ascii="Arial" w:hAnsi="Arial" w:cs="Arial"/>
          <w:color w:val="000000" w:themeColor="text1"/>
        </w:rPr>
        <w:t xml:space="preserve"> on the other hand would lead to the difficulties in attracting/ recruiting international talent/ workers for the multinational tech companies like Apple. </w:t>
      </w:r>
    </w:p>
    <w:p w:rsidR="00F2066D" w:rsidRPr="00831C06" w:rsidRDefault="00F2066D" w:rsidP="00831C06">
      <w:pPr>
        <w:spacing w:line="480" w:lineRule="auto"/>
        <w:rPr>
          <w:rFonts w:ascii="Arial" w:hAnsi="Arial" w:cs="Arial"/>
          <w:color w:val="000000" w:themeColor="text1"/>
        </w:rPr>
      </w:pPr>
    </w:p>
    <w:p w:rsidR="00B14090" w:rsidRDefault="00B14090" w:rsidP="00831C06">
      <w:pPr>
        <w:spacing w:line="480" w:lineRule="auto"/>
        <w:rPr>
          <w:rFonts w:ascii="Arial" w:hAnsi="Arial" w:cs="Arial"/>
          <w:color w:val="000000" w:themeColor="text1"/>
        </w:rPr>
      </w:pPr>
      <w:r w:rsidRPr="00831C06">
        <w:rPr>
          <w:rFonts w:ascii="Arial" w:hAnsi="Arial" w:cs="Arial"/>
          <w:color w:val="000000" w:themeColor="text1"/>
        </w:rPr>
        <w:t xml:space="preserve">For instance, Donald Trumps’ recent ban on issuing H1B (visa type for exceptional foreign workers in the US) &amp; the other foreign work visa raised the concern from the leading tech companies in the US such as: Apple, Google or Amazon regarding the shortage of elite talent, especially in the time of post-crisis because of the pandemic </w:t>
      </w:r>
      <w:r w:rsidRPr="00831C06">
        <w:rPr>
          <w:rFonts w:ascii="Arial" w:hAnsi="Arial" w:cs="Arial"/>
          <w:color w:val="000000" w:themeColor="text1"/>
        </w:rPr>
        <w:lastRenderedPageBreak/>
        <w:t>Covid-19 when there would be a significant demand for talent for not only their business but the whole US economy to recover (Reuters</w:t>
      </w:r>
      <w:r w:rsidR="006E2220" w:rsidRPr="00831C06">
        <w:rPr>
          <w:rFonts w:ascii="Arial" w:hAnsi="Arial" w:cs="Arial"/>
          <w:color w:val="000000" w:themeColor="text1"/>
        </w:rPr>
        <w:t>,</w:t>
      </w:r>
      <w:r w:rsidRPr="00831C06">
        <w:rPr>
          <w:rFonts w:ascii="Arial" w:hAnsi="Arial" w:cs="Arial"/>
          <w:color w:val="000000" w:themeColor="text1"/>
        </w:rPr>
        <w:t xml:space="preserve"> 2020). </w:t>
      </w:r>
    </w:p>
    <w:p w:rsidR="00C04479" w:rsidRPr="00831C06" w:rsidRDefault="00C04479" w:rsidP="00831C06">
      <w:pPr>
        <w:spacing w:line="480" w:lineRule="auto"/>
        <w:rPr>
          <w:rFonts w:ascii="Arial" w:hAnsi="Arial" w:cs="Arial"/>
          <w:color w:val="000000" w:themeColor="text1"/>
        </w:rPr>
      </w:pPr>
    </w:p>
    <w:p w:rsidR="00B14090" w:rsidRPr="00831C06" w:rsidRDefault="00B14090" w:rsidP="00831C06">
      <w:pPr>
        <w:spacing w:line="480" w:lineRule="auto"/>
        <w:rPr>
          <w:rFonts w:ascii="Arial" w:hAnsi="Arial" w:cs="Arial"/>
          <w:color w:val="000000" w:themeColor="text1"/>
        </w:rPr>
      </w:pPr>
      <w:r w:rsidRPr="00831C06">
        <w:rPr>
          <w:rFonts w:ascii="Arial" w:hAnsi="Arial" w:cs="Arial"/>
          <w:color w:val="000000" w:themeColor="text1"/>
        </w:rPr>
        <w:t xml:space="preserve">Regarding economical factor, globalisation (which </w:t>
      </w:r>
      <w:r w:rsidR="00F2066D" w:rsidRPr="00831C06">
        <w:rPr>
          <w:rFonts w:ascii="Arial" w:hAnsi="Arial" w:cs="Arial"/>
          <w:color w:val="000000" w:themeColor="text1"/>
        </w:rPr>
        <w:t>was defined</w:t>
      </w:r>
      <w:r w:rsidRPr="00831C06">
        <w:rPr>
          <w:rFonts w:ascii="Arial" w:hAnsi="Arial" w:cs="Arial"/>
          <w:color w:val="000000" w:themeColor="text1"/>
        </w:rPr>
        <w:t xml:space="preserve"> as ‘the increased movement of capital and labour, of finance, goods and services between countries’ (Edward &amp; Rees</w:t>
      </w:r>
      <w:r w:rsidR="006E2220" w:rsidRPr="00831C06">
        <w:rPr>
          <w:rFonts w:ascii="Arial" w:hAnsi="Arial" w:cs="Arial"/>
          <w:color w:val="000000" w:themeColor="text1"/>
        </w:rPr>
        <w:t>,</w:t>
      </w:r>
      <w:r w:rsidRPr="00831C06">
        <w:rPr>
          <w:rFonts w:ascii="Arial" w:hAnsi="Arial" w:cs="Arial"/>
          <w:color w:val="000000" w:themeColor="text1"/>
        </w:rPr>
        <w:t xml:space="preserve"> 2016</w:t>
      </w:r>
      <w:r w:rsidR="00522F89">
        <w:rPr>
          <w:rFonts w:ascii="Arial" w:hAnsi="Arial" w:cs="Arial"/>
          <w:color w:val="000000" w:themeColor="text1"/>
        </w:rPr>
        <w:t xml:space="preserve">, </w:t>
      </w:r>
      <w:r w:rsidRPr="00831C06">
        <w:rPr>
          <w:rFonts w:ascii="Arial" w:hAnsi="Arial" w:cs="Arial"/>
          <w:color w:val="000000" w:themeColor="text1"/>
        </w:rPr>
        <w:t>p4)) might pave the way to the intensified competition for talent between companies (CFO Deloitte</w:t>
      </w:r>
      <w:r w:rsidR="006E2220" w:rsidRPr="00831C06">
        <w:rPr>
          <w:rFonts w:ascii="Arial" w:hAnsi="Arial" w:cs="Arial"/>
          <w:color w:val="000000" w:themeColor="text1"/>
        </w:rPr>
        <w:t>,</w:t>
      </w:r>
      <w:r w:rsidRPr="00831C06">
        <w:rPr>
          <w:rFonts w:ascii="Arial" w:hAnsi="Arial" w:cs="Arial"/>
          <w:color w:val="000000" w:themeColor="text1"/>
        </w:rPr>
        <w:t xml:space="preserve"> 2014). An organisation would have to compete their local employment brands to solve the math of attracting talent in the countries which it is not based in (CFO Deloitte</w:t>
      </w:r>
      <w:r w:rsidR="006E2220" w:rsidRPr="00831C06">
        <w:rPr>
          <w:rFonts w:ascii="Arial" w:hAnsi="Arial" w:cs="Arial"/>
          <w:color w:val="000000" w:themeColor="text1"/>
        </w:rPr>
        <w:t>,</w:t>
      </w:r>
      <w:r w:rsidRPr="00831C06">
        <w:rPr>
          <w:rFonts w:ascii="Arial" w:hAnsi="Arial" w:cs="Arial"/>
          <w:color w:val="000000" w:themeColor="text1"/>
        </w:rPr>
        <w:t xml:space="preserve"> 2014). Take China</w:t>
      </w:r>
      <w:r w:rsidR="00F2066D" w:rsidRPr="00831C06">
        <w:rPr>
          <w:rFonts w:ascii="Arial" w:hAnsi="Arial" w:cs="Arial"/>
          <w:color w:val="000000" w:themeColor="text1"/>
        </w:rPr>
        <w:t xml:space="preserve"> </w:t>
      </w:r>
      <w:r w:rsidRPr="00831C06">
        <w:rPr>
          <w:rFonts w:ascii="Arial" w:hAnsi="Arial" w:cs="Arial"/>
          <w:color w:val="000000" w:themeColor="text1"/>
        </w:rPr>
        <w:t>&amp; the huge competitors</w:t>
      </w:r>
      <w:r w:rsidR="00F2066D" w:rsidRPr="00831C06">
        <w:rPr>
          <w:rFonts w:ascii="Arial" w:hAnsi="Arial" w:cs="Arial"/>
          <w:color w:val="000000" w:themeColor="text1"/>
        </w:rPr>
        <w:t xml:space="preserve"> from this country</w:t>
      </w:r>
      <w:r w:rsidRPr="00831C06">
        <w:rPr>
          <w:rFonts w:ascii="Arial" w:hAnsi="Arial" w:cs="Arial"/>
          <w:color w:val="000000" w:themeColor="text1"/>
        </w:rPr>
        <w:t xml:space="preserve">: Huawei, Alibaba, Baidu &amp; Tencent as an example </w:t>
      </w:r>
      <w:r w:rsidR="00F2066D" w:rsidRPr="00831C06">
        <w:rPr>
          <w:rFonts w:ascii="Arial" w:hAnsi="Arial" w:cs="Arial"/>
          <w:color w:val="000000" w:themeColor="text1"/>
        </w:rPr>
        <w:t xml:space="preserve">as this country is not only the biggest customer of technology globally (in 2017, it accounted for 40% the global sales in mobile phones) but also has shown the prevalent growth on the way catching up with the world leader in the industry </w:t>
      </w:r>
      <w:r w:rsidRPr="00831C06">
        <w:rPr>
          <w:rFonts w:ascii="Arial" w:hAnsi="Arial" w:cs="Arial"/>
          <w:color w:val="000000" w:themeColor="text1"/>
        </w:rPr>
        <w:t>(McKinsey &amp; Company</w:t>
      </w:r>
      <w:r w:rsidR="006E2220" w:rsidRPr="00831C06">
        <w:rPr>
          <w:rFonts w:ascii="Arial" w:hAnsi="Arial" w:cs="Arial"/>
          <w:color w:val="000000" w:themeColor="text1"/>
        </w:rPr>
        <w:t xml:space="preserve">, </w:t>
      </w:r>
      <w:r w:rsidRPr="00831C06">
        <w:rPr>
          <w:rFonts w:ascii="Arial" w:hAnsi="Arial" w:cs="Arial"/>
          <w:color w:val="000000" w:themeColor="text1"/>
        </w:rPr>
        <w:t>2019</w:t>
      </w:r>
      <w:r w:rsidR="00522F89">
        <w:rPr>
          <w:rFonts w:ascii="Arial" w:hAnsi="Arial" w:cs="Arial"/>
          <w:color w:val="000000" w:themeColor="text1"/>
        </w:rPr>
        <w:t xml:space="preserve">, </w:t>
      </w:r>
      <w:r w:rsidRPr="00831C06">
        <w:rPr>
          <w:rFonts w:ascii="Arial" w:hAnsi="Arial" w:cs="Arial"/>
          <w:color w:val="000000" w:themeColor="text1"/>
        </w:rPr>
        <w:t>p63-65)</w:t>
      </w:r>
      <w:r w:rsidR="00F2066D" w:rsidRPr="00831C06">
        <w:rPr>
          <w:rFonts w:ascii="Arial" w:hAnsi="Arial" w:cs="Arial"/>
          <w:color w:val="000000" w:themeColor="text1"/>
        </w:rPr>
        <w:t>.</w:t>
      </w: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r w:rsidRPr="00831C06">
        <w:rPr>
          <w:rFonts w:ascii="Arial" w:hAnsi="Arial" w:cs="Arial"/>
          <w:noProof/>
          <w:color w:val="000000" w:themeColor="text1"/>
        </w:rPr>
        <w:lastRenderedPageBreak/>
        <w:drawing>
          <wp:inline distT="0" distB="0" distL="0" distR="0">
            <wp:extent cx="5727700" cy="4695190"/>
            <wp:effectExtent l="0" t="0" r="0" b="3810"/>
            <wp:docPr id="71" name="Picture 7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4695190"/>
                    </a:xfrm>
                    <a:prstGeom prst="rect">
                      <a:avLst/>
                    </a:prstGeom>
                  </pic:spPr>
                </pic:pic>
              </a:graphicData>
            </a:graphic>
          </wp:inline>
        </w:drawing>
      </w:r>
    </w:p>
    <w:p w:rsidR="00F2066D" w:rsidRPr="00831C06" w:rsidRDefault="00F2066D" w:rsidP="00831C06">
      <w:pPr>
        <w:spacing w:line="480" w:lineRule="auto"/>
        <w:jc w:val="center"/>
        <w:rPr>
          <w:rFonts w:ascii="Arial" w:hAnsi="Arial" w:cs="Arial"/>
          <w:i/>
          <w:iCs/>
          <w:color w:val="000000" w:themeColor="text1"/>
        </w:rPr>
      </w:pPr>
      <w:r w:rsidRPr="00831C06">
        <w:rPr>
          <w:rFonts w:ascii="Arial" w:hAnsi="Arial" w:cs="Arial"/>
          <w:i/>
          <w:iCs/>
          <w:color w:val="000000" w:themeColor="text1"/>
        </w:rPr>
        <w:t xml:space="preserve">(Figure 02 – China’s market share regarding technology section of Chinese producers compared with Non-Chinese producers in China and globally – From </w:t>
      </w:r>
      <w:r w:rsidR="00B34ECA">
        <w:rPr>
          <w:rFonts w:ascii="Arial" w:hAnsi="Arial" w:cs="Arial"/>
          <w:i/>
          <w:iCs/>
          <w:color w:val="000000" w:themeColor="text1"/>
        </w:rPr>
        <w:t>‘</w:t>
      </w:r>
      <w:r w:rsidRPr="00831C06">
        <w:rPr>
          <w:rFonts w:ascii="Arial" w:hAnsi="Arial" w:cs="Arial"/>
          <w:i/>
          <w:iCs/>
          <w:color w:val="000000" w:themeColor="text1"/>
        </w:rPr>
        <w:t>China and the world. Inside the dynamics of a changing relationship</w:t>
      </w:r>
      <w:r w:rsidR="00B34ECA">
        <w:rPr>
          <w:rFonts w:ascii="Arial" w:hAnsi="Arial" w:cs="Arial"/>
          <w:i/>
          <w:iCs/>
          <w:color w:val="000000" w:themeColor="text1"/>
        </w:rPr>
        <w:t>.’</w:t>
      </w:r>
      <w:r w:rsidRPr="00831C06">
        <w:rPr>
          <w:rFonts w:ascii="Arial" w:hAnsi="Arial" w:cs="Arial"/>
          <w:i/>
          <w:iCs/>
          <w:color w:val="000000" w:themeColor="text1"/>
        </w:rPr>
        <w:t xml:space="preserve"> – McKinsey &amp; Company</w:t>
      </w:r>
      <w:r w:rsidR="006E2220" w:rsidRPr="00831C06">
        <w:rPr>
          <w:rFonts w:ascii="Arial" w:hAnsi="Arial" w:cs="Arial"/>
          <w:i/>
          <w:iCs/>
          <w:color w:val="000000" w:themeColor="text1"/>
        </w:rPr>
        <w:t>,</w:t>
      </w:r>
      <w:r w:rsidRPr="00831C06">
        <w:rPr>
          <w:rFonts w:ascii="Arial" w:hAnsi="Arial" w:cs="Arial"/>
          <w:i/>
          <w:iCs/>
          <w:color w:val="000000" w:themeColor="text1"/>
        </w:rPr>
        <w:t xml:space="preserve"> 2020</w:t>
      </w:r>
      <w:r w:rsidR="00B34ECA">
        <w:rPr>
          <w:rFonts w:ascii="Arial" w:hAnsi="Arial" w:cs="Arial"/>
          <w:i/>
          <w:iCs/>
          <w:color w:val="000000" w:themeColor="text1"/>
        </w:rPr>
        <w:t xml:space="preserve"> - </w:t>
      </w:r>
      <w:r w:rsidRPr="00831C06">
        <w:rPr>
          <w:rFonts w:ascii="Arial" w:hAnsi="Arial" w:cs="Arial"/>
          <w:i/>
          <w:iCs/>
          <w:color w:val="000000" w:themeColor="text1"/>
        </w:rPr>
        <w:t>p65)</w:t>
      </w:r>
    </w:p>
    <w:p w:rsidR="00F2066D" w:rsidRPr="00831C06" w:rsidRDefault="00F2066D" w:rsidP="00831C06">
      <w:pPr>
        <w:spacing w:line="480" w:lineRule="auto"/>
        <w:jc w:val="center"/>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r w:rsidRPr="00831C06">
        <w:rPr>
          <w:rFonts w:ascii="Arial" w:hAnsi="Arial" w:cs="Arial"/>
          <w:color w:val="000000" w:themeColor="text1"/>
        </w:rPr>
        <w:t>It could be seen from Figure 02 (McKinsey &amp; Company</w:t>
      </w:r>
      <w:r w:rsidR="006E2220" w:rsidRPr="00831C06">
        <w:rPr>
          <w:rFonts w:ascii="Arial" w:hAnsi="Arial" w:cs="Arial"/>
          <w:color w:val="000000" w:themeColor="text1"/>
        </w:rPr>
        <w:t>,</w:t>
      </w:r>
      <w:r w:rsidRPr="00831C06">
        <w:rPr>
          <w:rFonts w:ascii="Arial" w:hAnsi="Arial" w:cs="Arial"/>
          <w:color w:val="000000" w:themeColor="text1"/>
        </w:rPr>
        <w:t xml:space="preserve"> 2020, p65) that in the sector of for example, smart-phones, in China market itself, Chinese producers aced the Non-Chinese producers out with 85% out of total 100% market share, while this global figure is 25% out of 100% global market share (latest number in 2018). With such evidences reported, it could be argued that the dramatic growth both domestic and internationally would official get China’s tech companies such as Huawei to </w:t>
      </w:r>
      <w:r w:rsidRPr="00831C06">
        <w:rPr>
          <w:rFonts w:ascii="Arial" w:hAnsi="Arial" w:cs="Arial"/>
          <w:color w:val="000000" w:themeColor="text1"/>
        </w:rPr>
        <w:lastRenderedPageBreak/>
        <w:t>enter the global ‘war for talent’ (Daye</w:t>
      </w:r>
      <w:r w:rsidR="006E2220" w:rsidRPr="00831C06">
        <w:rPr>
          <w:rFonts w:ascii="Arial" w:hAnsi="Arial" w:cs="Arial"/>
          <w:color w:val="000000" w:themeColor="text1"/>
        </w:rPr>
        <w:t>,</w:t>
      </w:r>
      <w:r w:rsidRPr="00831C06">
        <w:rPr>
          <w:rFonts w:ascii="Arial" w:hAnsi="Arial" w:cs="Arial"/>
          <w:color w:val="000000" w:themeColor="text1"/>
        </w:rPr>
        <w:t xml:space="preserve"> 2018) which nevertheless would cause the significant threat to Apple or any other technology firms.</w:t>
      </w: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r w:rsidRPr="00831C06">
        <w:rPr>
          <w:rFonts w:ascii="Arial" w:hAnsi="Arial" w:cs="Arial"/>
          <w:color w:val="000000" w:themeColor="text1"/>
        </w:rPr>
        <w:t>Furthermore, although the other factors as: social, technological, social and environmental might not be brought into in-depth analysis due to the limitation of research capacity, detailed clarification and relevant example could be found in Table 1 above (Le</w:t>
      </w:r>
      <w:r w:rsidR="006E2220" w:rsidRPr="00831C06">
        <w:rPr>
          <w:rFonts w:ascii="Arial" w:hAnsi="Arial" w:cs="Arial"/>
          <w:color w:val="000000" w:themeColor="text1"/>
        </w:rPr>
        <w:t xml:space="preserve">, </w:t>
      </w:r>
      <w:r w:rsidRPr="00831C06">
        <w:rPr>
          <w:rFonts w:ascii="Arial" w:hAnsi="Arial" w:cs="Arial"/>
          <w:color w:val="000000" w:themeColor="text1"/>
        </w:rPr>
        <w:t xml:space="preserve">2020).  </w:t>
      </w: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r w:rsidRPr="00831C06">
        <w:rPr>
          <w:rFonts w:ascii="Arial" w:hAnsi="Arial" w:cs="Arial"/>
          <w:color w:val="000000" w:themeColor="text1"/>
        </w:rPr>
        <w:t xml:space="preserve">To summary, when it comes to the math of talent and human resource, understanding that the organisation’s ability to attract talent would be affected a great deal by a number of factors stemming from the </w:t>
      </w:r>
      <w:r w:rsidR="00522F89">
        <w:rPr>
          <w:rFonts w:ascii="Arial" w:hAnsi="Arial" w:cs="Arial"/>
          <w:color w:val="000000" w:themeColor="text1"/>
        </w:rPr>
        <w:t xml:space="preserve">external </w:t>
      </w:r>
      <w:r w:rsidRPr="00831C06">
        <w:rPr>
          <w:rFonts w:ascii="Arial" w:hAnsi="Arial" w:cs="Arial"/>
          <w:color w:val="000000" w:themeColor="text1"/>
        </w:rPr>
        <w:t xml:space="preserve">environment that the organisation is situated in is necessary </w:t>
      </w:r>
      <w:r w:rsidR="00522F89">
        <w:rPr>
          <w:rFonts w:ascii="Arial" w:hAnsi="Arial" w:cs="Arial"/>
          <w:color w:val="000000" w:themeColor="text1"/>
        </w:rPr>
        <w:t xml:space="preserve">for </w:t>
      </w:r>
      <w:r w:rsidRPr="00831C06">
        <w:rPr>
          <w:rFonts w:ascii="Arial" w:hAnsi="Arial" w:cs="Arial"/>
          <w:color w:val="000000" w:themeColor="text1"/>
        </w:rPr>
        <w:t xml:space="preserve">the leaders or HR experts in order to define &amp; address both the threats and opportunities to not only enhance their HR work but to tackle with the problems of the ‘war for talent’. </w:t>
      </w:r>
    </w:p>
    <w:p w:rsidR="006E2220" w:rsidRDefault="006E2220"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Default="00CD24C8" w:rsidP="00831C06">
      <w:pPr>
        <w:spacing w:line="480" w:lineRule="auto"/>
        <w:rPr>
          <w:rFonts w:ascii="Arial" w:hAnsi="Arial" w:cs="Arial"/>
          <w:b/>
          <w:bCs/>
          <w:color w:val="000000" w:themeColor="text1"/>
        </w:rPr>
      </w:pPr>
    </w:p>
    <w:p w:rsidR="00CD24C8" w:rsidRPr="00831C06" w:rsidRDefault="00CD24C8" w:rsidP="00831C06">
      <w:pPr>
        <w:spacing w:line="480" w:lineRule="auto"/>
        <w:rPr>
          <w:rFonts w:ascii="Arial" w:hAnsi="Arial" w:cs="Arial"/>
          <w:b/>
          <w:bCs/>
          <w:color w:val="000000" w:themeColor="text1"/>
        </w:rPr>
      </w:pPr>
    </w:p>
    <w:p w:rsidR="00C149AB" w:rsidRPr="00831C06" w:rsidRDefault="00843921" w:rsidP="00CD24C8">
      <w:pPr>
        <w:pStyle w:val="Heading1"/>
        <w:numPr>
          <w:ilvl w:val="0"/>
          <w:numId w:val="2"/>
        </w:numPr>
        <w:spacing w:line="480" w:lineRule="auto"/>
        <w:jc w:val="center"/>
        <w:rPr>
          <w:rFonts w:ascii="Arial" w:hAnsi="Arial" w:cs="Arial"/>
          <w:b/>
          <w:bCs/>
          <w:color w:val="000000" w:themeColor="text1"/>
          <w:sz w:val="24"/>
          <w:szCs w:val="24"/>
        </w:rPr>
      </w:pPr>
      <w:bookmarkStart w:id="2" w:name="_Toc54136032"/>
      <w:r>
        <w:rPr>
          <w:rFonts w:ascii="Arial" w:hAnsi="Arial" w:cs="Arial"/>
          <w:b/>
          <w:bCs/>
          <w:color w:val="000000" w:themeColor="text1"/>
          <w:sz w:val="24"/>
          <w:szCs w:val="24"/>
        </w:rPr>
        <w:lastRenderedPageBreak/>
        <w:t>Impacts of l</w:t>
      </w:r>
      <w:r w:rsidR="00F2066D" w:rsidRPr="00831C06">
        <w:rPr>
          <w:rFonts w:ascii="Arial" w:hAnsi="Arial" w:cs="Arial"/>
          <w:b/>
          <w:bCs/>
          <w:color w:val="000000" w:themeColor="text1"/>
          <w:sz w:val="24"/>
          <w:szCs w:val="24"/>
        </w:rPr>
        <w:t xml:space="preserve">abour market trends </w:t>
      </w:r>
      <w:r>
        <w:rPr>
          <w:rFonts w:ascii="Arial" w:hAnsi="Arial" w:cs="Arial"/>
          <w:b/>
          <w:bCs/>
          <w:color w:val="000000" w:themeColor="text1"/>
          <w:sz w:val="24"/>
          <w:szCs w:val="24"/>
        </w:rPr>
        <w:t xml:space="preserve">on </w:t>
      </w:r>
      <w:r w:rsidR="00F2066D" w:rsidRPr="00831C06">
        <w:rPr>
          <w:rFonts w:ascii="Arial" w:hAnsi="Arial" w:cs="Arial"/>
          <w:b/>
          <w:bCs/>
          <w:color w:val="000000" w:themeColor="text1"/>
          <w:sz w:val="24"/>
          <w:szCs w:val="24"/>
        </w:rPr>
        <w:t>Delaware North</w:t>
      </w:r>
      <w:bookmarkEnd w:id="2"/>
    </w:p>
    <w:p w:rsidR="005E157B" w:rsidRPr="00831C06" w:rsidRDefault="005E157B" w:rsidP="00831C06">
      <w:pPr>
        <w:spacing w:line="480" w:lineRule="auto"/>
        <w:rPr>
          <w:rFonts w:ascii="Arial" w:hAnsi="Arial" w:cs="Arial"/>
        </w:rPr>
      </w:pPr>
      <w:r w:rsidRPr="00831C06">
        <w:rPr>
          <w:rFonts w:ascii="Arial" w:hAnsi="Arial" w:cs="Arial"/>
        </w:rPr>
        <w:t xml:space="preserve">In the first blog, the ability of Delaware North </w:t>
      </w:r>
      <w:r w:rsidR="00522F89">
        <w:rPr>
          <w:rFonts w:ascii="Arial" w:hAnsi="Arial" w:cs="Arial"/>
        </w:rPr>
        <w:t xml:space="preserve">to attract talent </w:t>
      </w:r>
      <w:r w:rsidRPr="00831C06">
        <w:rPr>
          <w:rFonts w:ascii="Arial" w:hAnsi="Arial" w:cs="Arial"/>
        </w:rPr>
        <w:t xml:space="preserve">was already revealed to be impacted by a number of factors from the external market that it is situated in through PESTLE analysis. However, in this blog, Delaware North will be put in another frame of reference, evaluating how it might be impacted by </w:t>
      </w:r>
      <w:r w:rsidRPr="00831C06">
        <w:rPr>
          <w:rFonts w:ascii="Arial" w:hAnsi="Arial" w:cs="Arial"/>
          <w:b/>
          <w:bCs/>
          <w:i/>
          <w:iCs/>
        </w:rPr>
        <w:t>the primary trends</w:t>
      </w:r>
      <w:r w:rsidRPr="00831C06">
        <w:rPr>
          <w:rFonts w:ascii="Arial" w:hAnsi="Arial" w:cs="Arial"/>
        </w:rPr>
        <w:t xml:space="preserve"> and signals from labour market which in this case is UK labour market.</w:t>
      </w:r>
    </w:p>
    <w:p w:rsidR="005E157B" w:rsidRPr="00831C06" w:rsidRDefault="005E157B" w:rsidP="00831C06">
      <w:pPr>
        <w:spacing w:line="480" w:lineRule="auto"/>
        <w:rPr>
          <w:rFonts w:ascii="Arial" w:hAnsi="Arial" w:cs="Arial"/>
        </w:rPr>
      </w:pPr>
    </w:p>
    <w:p w:rsidR="005E157B" w:rsidRPr="00831C06" w:rsidRDefault="005E157B" w:rsidP="00831C06">
      <w:pPr>
        <w:spacing w:line="480" w:lineRule="auto"/>
        <w:rPr>
          <w:rFonts w:ascii="Arial" w:hAnsi="Arial" w:cs="Arial"/>
        </w:rPr>
      </w:pPr>
      <w:r w:rsidRPr="00831C06">
        <w:rPr>
          <w:rFonts w:ascii="Arial" w:hAnsi="Arial" w:cs="Arial"/>
        </w:rPr>
        <w:t xml:space="preserve">Firstly, the trend of globalisation stemming from the increased movement in capital, human resources and trade through the borders (Edwards &amp; Rees, 2016) could be seen through a number of relevant signals. Nevertheless, the internationalization of production, distribution and exchange has caused the prevalence growth of labour mobility or global workforce shift such as the issue of outsourcing illustrated by the movement of unskilled manufacturing job to developed countries </w:t>
      </w:r>
      <w:r w:rsidR="00522F89">
        <w:rPr>
          <w:rFonts w:ascii="Arial" w:hAnsi="Arial" w:cs="Arial"/>
        </w:rPr>
        <w:t>as</w:t>
      </w:r>
      <w:r w:rsidRPr="00831C06">
        <w:rPr>
          <w:rFonts w:ascii="Arial" w:hAnsi="Arial" w:cs="Arial"/>
        </w:rPr>
        <w:t xml:space="preserve"> Asia, Africa or Latin America and the high-skilled workers would primarily work in the head-quarters in developing countries (Ibid., p7 &amp; 8). Back to the context of Delaware North, as it has the operation in retail &amp; hospitality industry which requires a lot of temporary workers or gig-economy workers with low skill</w:t>
      </w:r>
      <w:r w:rsidR="003E4BC7" w:rsidRPr="00831C06">
        <w:rPr>
          <w:rFonts w:ascii="Arial" w:hAnsi="Arial" w:cs="Arial"/>
        </w:rPr>
        <w:t xml:space="preserve"> (</w:t>
      </w:r>
      <w:r w:rsidR="00F30421" w:rsidRPr="00831C06">
        <w:rPr>
          <w:rFonts w:ascii="Arial" w:hAnsi="Arial" w:cs="Arial"/>
        </w:rPr>
        <w:t>CIPD, 2013; CIPD, 2019</w:t>
      </w:r>
      <w:r w:rsidR="003E4BC7" w:rsidRPr="00831C06">
        <w:rPr>
          <w:rFonts w:ascii="Arial" w:hAnsi="Arial" w:cs="Arial"/>
        </w:rPr>
        <w:t>)</w:t>
      </w:r>
      <w:r w:rsidRPr="00831C06">
        <w:rPr>
          <w:rFonts w:ascii="Arial" w:hAnsi="Arial" w:cs="Arial"/>
        </w:rPr>
        <w:t xml:space="preserve">, there is a concern that Brexit deal which would cause a </w:t>
      </w:r>
      <w:r w:rsidR="00F30421" w:rsidRPr="00831C06">
        <w:rPr>
          <w:rFonts w:ascii="Arial" w:hAnsi="Arial" w:cs="Arial"/>
        </w:rPr>
        <w:t>fluctuation in</w:t>
      </w:r>
      <w:r w:rsidRPr="00831C06">
        <w:rPr>
          <w:rFonts w:ascii="Arial" w:hAnsi="Arial" w:cs="Arial"/>
        </w:rPr>
        <w:t xml:space="preserve"> immigration policy towards workers from EU might be a threat for the companies like Delaware North regarding the shortage of workers</w:t>
      </w:r>
      <w:r w:rsidR="003E4BC7" w:rsidRPr="00831C06">
        <w:rPr>
          <w:rFonts w:ascii="Arial" w:hAnsi="Arial" w:cs="Arial"/>
        </w:rPr>
        <w:t xml:space="preserve"> (</w:t>
      </w:r>
      <w:r w:rsidR="00F30421" w:rsidRPr="00831C06">
        <w:rPr>
          <w:rFonts w:ascii="Arial" w:hAnsi="Arial" w:cs="Arial"/>
        </w:rPr>
        <w:t>FDSC 2019</w:t>
      </w:r>
      <w:r w:rsidR="003E4BC7" w:rsidRPr="00831C06">
        <w:rPr>
          <w:rFonts w:ascii="Arial" w:hAnsi="Arial" w:cs="Arial"/>
        </w:rPr>
        <w:t>)</w:t>
      </w:r>
      <w:r w:rsidRPr="00831C06">
        <w:rPr>
          <w:rFonts w:ascii="Arial" w:hAnsi="Arial" w:cs="Arial"/>
        </w:rPr>
        <w:t>.</w:t>
      </w:r>
    </w:p>
    <w:p w:rsidR="003E4BC7" w:rsidRPr="00831C06" w:rsidRDefault="003E4BC7" w:rsidP="00831C06">
      <w:pPr>
        <w:spacing w:line="480" w:lineRule="auto"/>
        <w:rPr>
          <w:rFonts w:ascii="Arial" w:hAnsi="Arial" w:cs="Arial"/>
        </w:rPr>
      </w:pPr>
    </w:p>
    <w:p w:rsidR="003E4BC7" w:rsidRPr="00831C06" w:rsidRDefault="003E4BC7" w:rsidP="00831C06">
      <w:pPr>
        <w:spacing w:line="480" w:lineRule="auto"/>
        <w:rPr>
          <w:rFonts w:ascii="Arial" w:hAnsi="Arial" w:cs="Arial"/>
        </w:rPr>
      </w:pPr>
      <w:r w:rsidRPr="00831C06">
        <w:rPr>
          <w:rFonts w:ascii="Arial" w:hAnsi="Arial" w:cs="Arial"/>
        </w:rPr>
        <w:t>Secondly, as we are living in the Fourth industrial revolution with the rocketed development in technological products and services from the inv</w:t>
      </w:r>
      <w:r w:rsidR="001A5B79" w:rsidRPr="00831C06">
        <w:rPr>
          <w:rFonts w:ascii="Arial" w:hAnsi="Arial" w:cs="Arial"/>
        </w:rPr>
        <w:t>ention</w:t>
      </w:r>
      <w:r w:rsidRPr="00831C06">
        <w:rPr>
          <w:rFonts w:ascii="Arial" w:hAnsi="Arial" w:cs="Arial"/>
        </w:rPr>
        <w:t xml:space="preserve"> of artificial intelligent (AI), robotics, automation, ‘the Internet of Things’, nano/bio technology </w:t>
      </w:r>
      <w:r w:rsidRPr="00831C06">
        <w:rPr>
          <w:rFonts w:ascii="Arial" w:hAnsi="Arial" w:cs="Arial"/>
        </w:rPr>
        <w:lastRenderedPageBreak/>
        <w:t xml:space="preserve">according to Schwab (2016), </w:t>
      </w:r>
      <w:r w:rsidR="000D4581" w:rsidRPr="00831C06">
        <w:rPr>
          <w:rFonts w:ascii="Arial" w:hAnsi="Arial" w:cs="Arial"/>
        </w:rPr>
        <w:t>on the one hand, there are</w:t>
      </w:r>
      <w:r w:rsidRPr="00831C06">
        <w:rPr>
          <w:rFonts w:ascii="Arial" w:hAnsi="Arial" w:cs="Arial"/>
        </w:rPr>
        <w:t xml:space="preserve"> the unarguable advantage</w:t>
      </w:r>
      <w:r w:rsidR="000D4581" w:rsidRPr="00831C06">
        <w:rPr>
          <w:rFonts w:ascii="Arial" w:hAnsi="Arial" w:cs="Arial"/>
        </w:rPr>
        <w:t>s</w:t>
      </w:r>
      <w:r w:rsidRPr="00831C06">
        <w:rPr>
          <w:rFonts w:ascii="Arial" w:hAnsi="Arial" w:cs="Arial"/>
        </w:rPr>
        <w:t xml:space="preserve"> as it could facilitate</w:t>
      </w:r>
      <w:r w:rsidR="001A5B79" w:rsidRPr="00831C06">
        <w:rPr>
          <w:rFonts w:ascii="Arial" w:hAnsi="Arial" w:cs="Arial"/>
        </w:rPr>
        <w:t xml:space="preserve"> a number of HR functions </w:t>
      </w:r>
      <w:r w:rsidR="000D4581" w:rsidRPr="00831C06">
        <w:rPr>
          <w:rFonts w:ascii="Arial" w:hAnsi="Arial" w:cs="Arial"/>
        </w:rPr>
        <w:t xml:space="preserve">of Delaware North </w:t>
      </w:r>
      <w:r w:rsidR="001A5B79" w:rsidRPr="00831C06">
        <w:rPr>
          <w:rFonts w:ascii="Arial" w:hAnsi="Arial" w:cs="Arial"/>
        </w:rPr>
        <w:t>(</w:t>
      </w:r>
      <w:r w:rsidR="002A7A64" w:rsidRPr="00831C06">
        <w:rPr>
          <w:rFonts w:ascii="Arial" w:hAnsi="Arial" w:cs="Arial"/>
        </w:rPr>
        <w:t xml:space="preserve">see </w:t>
      </w:r>
      <w:r w:rsidR="001A5B79" w:rsidRPr="00831C06">
        <w:rPr>
          <w:rFonts w:ascii="Arial" w:hAnsi="Arial" w:cs="Arial"/>
        </w:rPr>
        <w:t>Figure 01</w:t>
      </w:r>
      <w:r w:rsidR="002A7A64" w:rsidRPr="00831C06">
        <w:rPr>
          <w:rFonts w:ascii="Arial" w:hAnsi="Arial" w:cs="Arial"/>
        </w:rPr>
        <w:t>)</w:t>
      </w:r>
      <w:r w:rsidR="00522F89">
        <w:rPr>
          <w:rFonts w:ascii="Arial" w:hAnsi="Arial" w:cs="Arial"/>
        </w:rPr>
        <w:t>.</w:t>
      </w:r>
    </w:p>
    <w:p w:rsidR="001A5B79" w:rsidRPr="00831C06" w:rsidRDefault="001A5B79" w:rsidP="00831C06">
      <w:pPr>
        <w:spacing w:line="480" w:lineRule="auto"/>
        <w:rPr>
          <w:rFonts w:ascii="Arial" w:hAnsi="Arial" w:cs="Arial"/>
        </w:rPr>
      </w:pPr>
      <w:r w:rsidRPr="00831C06">
        <w:rPr>
          <w:rFonts w:ascii="Arial" w:hAnsi="Arial" w:cs="Arial"/>
          <w:noProof/>
        </w:rPr>
        <w:drawing>
          <wp:inline distT="0" distB="0" distL="0" distR="0">
            <wp:extent cx="5727700" cy="4311015"/>
            <wp:effectExtent l="0" t="0" r="0" b="0"/>
            <wp:docPr id="144" name="Picture 14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picture containing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311015"/>
                    </a:xfrm>
                    <a:prstGeom prst="rect">
                      <a:avLst/>
                    </a:prstGeom>
                  </pic:spPr>
                </pic:pic>
              </a:graphicData>
            </a:graphic>
          </wp:inline>
        </w:drawing>
      </w:r>
    </w:p>
    <w:p w:rsidR="00F60300" w:rsidRPr="00831C06" w:rsidRDefault="001A5B79" w:rsidP="00831C06">
      <w:pPr>
        <w:spacing w:line="480" w:lineRule="auto"/>
        <w:jc w:val="center"/>
        <w:rPr>
          <w:rFonts w:ascii="Arial" w:hAnsi="Arial" w:cs="Arial"/>
          <w:i/>
          <w:iCs/>
        </w:rPr>
      </w:pPr>
      <w:r w:rsidRPr="00831C06">
        <w:rPr>
          <w:rFonts w:ascii="Arial" w:hAnsi="Arial" w:cs="Arial"/>
          <w:i/>
          <w:iCs/>
        </w:rPr>
        <w:t xml:space="preserve">(Figure 01 – Ranking of the reasons for tech investment – From: </w:t>
      </w:r>
      <w:r w:rsidR="00B34ECA">
        <w:rPr>
          <w:rFonts w:ascii="Arial" w:hAnsi="Arial" w:cs="Arial"/>
          <w:i/>
          <w:iCs/>
        </w:rPr>
        <w:t>‘</w:t>
      </w:r>
      <w:r w:rsidRPr="00831C06">
        <w:rPr>
          <w:rFonts w:ascii="Arial" w:hAnsi="Arial" w:cs="Arial"/>
          <w:i/>
          <w:iCs/>
        </w:rPr>
        <w:t>Future of HR 2020: Which path are you taking?</w:t>
      </w:r>
      <w:r w:rsidR="00B34ECA">
        <w:rPr>
          <w:rFonts w:ascii="Arial" w:hAnsi="Arial" w:cs="Arial"/>
          <w:i/>
          <w:iCs/>
        </w:rPr>
        <w:t>’</w:t>
      </w:r>
      <w:r w:rsidRPr="00831C06">
        <w:rPr>
          <w:rFonts w:ascii="Arial" w:hAnsi="Arial" w:cs="Arial"/>
          <w:i/>
          <w:iCs/>
        </w:rPr>
        <w:t xml:space="preserve"> – </w:t>
      </w:r>
      <w:r w:rsidR="002A7A64" w:rsidRPr="00831C06">
        <w:rPr>
          <w:rFonts w:ascii="Arial" w:hAnsi="Arial" w:cs="Arial"/>
          <w:i/>
          <w:iCs/>
        </w:rPr>
        <w:t xml:space="preserve">Spears from </w:t>
      </w:r>
      <w:r w:rsidRPr="00831C06">
        <w:rPr>
          <w:rFonts w:ascii="Arial" w:hAnsi="Arial" w:cs="Arial"/>
          <w:i/>
          <w:iCs/>
        </w:rPr>
        <w:t>KPMG, 2019 – Figure 10, p24)</w:t>
      </w:r>
    </w:p>
    <w:p w:rsidR="00F60300" w:rsidRPr="00831C06" w:rsidRDefault="00F60300" w:rsidP="00831C06">
      <w:pPr>
        <w:spacing w:before="100" w:beforeAutospacing="1" w:after="100" w:afterAutospacing="1" w:line="480" w:lineRule="auto"/>
        <w:rPr>
          <w:rFonts w:ascii="Arial" w:hAnsi="Arial" w:cs="Arial"/>
        </w:rPr>
      </w:pPr>
      <w:r w:rsidRPr="00831C06">
        <w:rPr>
          <w:rFonts w:ascii="Arial" w:hAnsi="Arial" w:cs="Arial"/>
        </w:rPr>
        <w:t>However, it also comes with the price that would cost us a great deal as the growth in technology might lead to the inequality in the labour market, creating the gap between workers in high-skill and low-skill segment (Schwab 2016) as according to Frey &amp; Osborne (2013), there has been a prevalence innovation/ growth of computerisation</w:t>
      </w:r>
      <w:r w:rsidR="00F30421" w:rsidRPr="00831C06">
        <w:rPr>
          <w:rFonts w:ascii="Arial" w:hAnsi="Arial" w:cs="Arial"/>
        </w:rPr>
        <w:t>/automation</w:t>
      </w:r>
      <w:r w:rsidRPr="00831C06">
        <w:rPr>
          <w:rFonts w:ascii="Arial" w:hAnsi="Arial" w:cs="Arial"/>
        </w:rPr>
        <w:t xml:space="preserve"> which even goes beyond the routine manufacturing tasks. For instance, we all could see Google has successfully developed autonomous driverless car which leads to the possible future of manual tasks in transport and logistic could soon be seen automated (Ibid. p3, 2013). Nevertheless, </w:t>
      </w:r>
      <w:r w:rsidRPr="00831C06">
        <w:rPr>
          <w:rFonts w:ascii="Arial" w:hAnsi="Arial" w:cs="Arial"/>
        </w:rPr>
        <w:lastRenderedPageBreak/>
        <w:t>it would lead to the fear of job loss because automation and AI development</w:t>
      </w:r>
      <w:r w:rsidR="00F30421" w:rsidRPr="00831C06">
        <w:rPr>
          <w:rFonts w:ascii="Arial" w:hAnsi="Arial" w:cs="Arial"/>
        </w:rPr>
        <w:t xml:space="preserve"> might replace the presence of human in workplace.</w:t>
      </w:r>
    </w:p>
    <w:p w:rsidR="00F30421" w:rsidRPr="00831C06" w:rsidRDefault="00F30421" w:rsidP="00831C06">
      <w:pPr>
        <w:spacing w:before="100" w:beforeAutospacing="1" w:after="100" w:afterAutospacing="1" w:line="480" w:lineRule="auto"/>
        <w:rPr>
          <w:rFonts w:ascii="Arial" w:hAnsi="Arial" w:cs="Arial"/>
        </w:rPr>
      </w:pPr>
      <w:r w:rsidRPr="00831C06">
        <w:rPr>
          <w:rFonts w:ascii="Arial" w:hAnsi="Arial" w:cs="Arial"/>
          <w:noProof/>
        </w:rPr>
        <w:drawing>
          <wp:inline distT="0" distB="0" distL="0" distR="0">
            <wp:extent cx="5727700" cy="161353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613535"/>
                    </a:xfrm>
                    <a:prstGeom prst="rect">
                      <a:avLst/>
                    </a:prstGeom>
                  </pic:spPr>
                </pic:pic>
              </a:graphicData>
            </a:graphic>
          </wp:inline>
        </w:drawing>
      </w:r>
    </w:p>
    <w:p w:rsidR="00F30421" w:rsidRPr="00831C06" w:rsidRDefault="00F30421" w:rsidP="00831C06">
      <w:pPr>
        <w:spacing w:before="100" w:beforeAutospacing="1" w:after="100" w:afterAutospacing="1" w:line="480" w:lineRule="auto"/>
        <w:rPr>
          <w:rFonts w:ascii="Arial" w:hAnsi="Arial" w:cs="Arial"/>
          <w:i/>
          <w:iCs/>
        </w:rPr>
      </w:pPr>
      <w:r w:rsidRPr="00831C06">
        <w:rPr>
          <w:rFonts w:ascii="Arial" w:hAnsi="Arial" w:cs="Arial"/>
          <w:i/>
          <w:iCs/>
        </w:rPr>
        <w:t>(Figure 0</w:t>
      </w:r>
      <w:r w:rsidR="001A5B79" w:rsidRPr="00831C06">
        <w:rPr>
          <w:rFonts w:ascii="Arial" w:hAnsi="Arial" w:cs="Arial"/>
          <w:i/>
          <w:iCs/>
        </w:rPr>
        <w:t>2</w:t>
      </w:r>
      <w:r w:rsidRPr="00831C06">
        <w:rPr>
          <w:rFonts w:ascii="Arial" w:hAnsi="Arial" w:cs="Arial"/>
          <w:i/>
          <w:iCs/>
        </w:rPr>
        <w:t xml:space="preserve"> – Percentage of respondents regarding jobs at risk of automation by country – From ‘Workforce of the future: The competing forces </w:t>
      </w:r>
      <w:r w:rsidRPr="00831C06">
        <w:rPr>
          <w:rFonts w:ascii="Arial" w:hAnsi="Arial" w:cs="Arial"/>
        </w:rPr>
        <w:t>shaping</w:t>
      </w:r>
      <w:r w:rsidRPr="00831C06">
        <w:rPr>
          <w:rFonts w:ascii="Arial" w:hAnsi="Arial" w:cs="Arial"/>
          <w:i/>
          <w:iCs/>
        </w:rPr>
        <w:t xml:space="preserve"> 2030.’ – Pwc, 2018 – Figure 2, p30)</w:t>
      </w:r>
    </w:p>
    <w:p w:rsidR="00F30421" w:rsidRPr="00831C06" w:rsidRDefault="00F30421" w:rsidP="00831C06">
      <w:pPr>
        <w:spacing w:before="100" w:beforeAutospacing="1" w:after="100" w:afterAutospacing="1" w:line="480" w:lineRule="auto"/>
        <w:rPr>
          <w:rFonts w:ascii="Arial" w:hAnsi="Arial" w:cs="Arial"/>
        </w:rPr>
      </w:pPr>
      <w:r w:rsidRPr="00831C06">
        <w:rPr>
          <w:rFonts w:ascii="Arial" w:hAnsi="Arial" w:cs="Arial"/>
        </w:rPr>
        <w:t>Figure 0</w:t>
      </w:r>
      <w:r w:rsidR="002A7A64" w:rsidRPr="00831C06">
        <w:rPr>
          <w:rFonts w:ascii="Arial" w:hAnsi="Arial" w:cs="Arial"/>
        </w:rPr>
        <w:t>2</w:t>
      </w:r>
      <w:r w:rsidRPr="00831C06">
        <w:rPr>
          <w:rFonts w:ascii="Arial" w:hAnsi="Arial" w:cs="Arial"/>
        </w:rPr>
        <w:t xml:space="preserve"> above from the report: ‘Workforce of the future: The competing forces shaping 2030.’ of Pwc (2018) shows that out of more than 10,000 </w:t>
      </w:r>
      <w:r w:rsidR="00387B88" w:rsidRPr="00831C06">
        <w:rPr>
          <w:rFonts w:ascii="Arial" w:hAnsi="Arial" w:cs="Arial"/>
        </w:rPr>
        <w:t>participants in</w:t>
      </w:r>
      <w:r w:rsidRPr="00831C06">
        <w:rPr>
          <w:rFonts w:ascii="Arial" w:hAnsi="Arial" w:cs="Arial"/>
        </w:rPr>
        <w:t xml:space="preserve"> the survey</w:t>
      </w:r>
      <w:r w:rsidR="00522F89">
        <w:rPr>
          <w:rFonts w:ascii="Arial" w:hAnsi="Arial" w:cs="Arial"/>
        </w:rPr>
        <w:t xml:space="preserve"> from 5 countries</w:t>
      </w:r>
      <w:r w:rsidRPr="00831C06">
        <w:rPr>
          <w:rFonts w:ascii="Arial" w:hAnsi="Arial" w:cs="Arial"/>
        </w:rPr>
        <w:t>, 30% of UK workers expressed their concern over the possibility of losing job because of automation development. Besides that, from this same report, 56% of the total workers asked</w:t>
      </w:r>
      <w:r w:rsidR="00522F89">
        <w:rPr>
          <w:rFonts w:ascii="Arial" w:hAnsi="Arial" w:cs="Arial"/>
        </w:rPr>
        <w:t>,</w:t>
      </w:r>
      <w:r w:rsidRPr="00831C06">
        <w:rPr>
          <w:rFonts w:ascii="Arial" w:hAnsi="Arial" w:cs="Arial"/>
        </w:rPr>
        <w:t xml:space="preserve"> gave the thought that there should be an intervention from the government in order to save jobs from automation (Ibid., p33).</w:t>
      </w:r>
    </w:p>
    <w:p w:rsidR="00F30421" w:rsidRPr="00831C06" w:rsidRDefault="00F30421" w:rsidP="00831C06">
      <w:pPr>
        <w:spacing w:before="100" w:beforeAutospacing="1" w:after="100" w:afterAutospacing="1" w:line="480" w:lineRule="auto"/>
        <w:rPr>
          <w:rFonts w:ascii="Arial" w:hAnsi="Arial" w:cs="Arial"/>
        </w:rPr>
      </w:pPr>
      <w:r w:rsidRPr="00831C06">
        <w:rPr>
          <w:rFonts w:ascii="Arial" w:hAnsi="Arial" w:cs="Arial"/>
        </w:rPr>
        <w:t>Furthermore, there is also the significant link between the very 2 crucial trends as technology and new patterns of behaviour as: Development and innovation in technology might change the way people eat and shop (Consultancy UK 2019). Take Amazon Go of Amazon as an example, this app has just been launched aiming to create a transformation in retail industry which allows customer shopping without check-out step</w:t>
      </w:r>
      <w:r w:rsidR="00522F89" w:rsidRPr="00522F89">
        <w:rPr>
          <w:rFonts w:ascii="Arial" w:hAnsi="Arial" w:cs="Arial"/>
        </w:rPr>
        <w:t xml:space="preserve"> </w:t>
      </w:r>
      <w:r w:rsidR="00522F89">
        <w:rPr>
          <w:rFonts w:ascii="Arial" w:hAnsi="Arial" w:cs="Arial"/>
        </w:rPr>
        <w:t>(</w:t>
      </w:r>
      <w:r w:rsidR="00522F89" w:rsidRPr="00831C06">
        <w:rPr>
          <w:rFonts w:ascii="Arial" w:hAnsi="Arial" w:cs="Arial"/>
        </w:rPr>
        <w:t>Butler 2020</w:t>
      </w:r>
      <w:r w:rsidRPr="00831C06">
        <w:rPr>
          <w:rFonts w:ascii="Arial" w:hAnsi="Arial" w:cs="Arial"/>
        </w:rPr>
        <w:t xml:space="preserve">. The customers just literally need to scan their app at the </w:t>
      </w:r>
      <w:r w:rsidRPr="00831C06">
        <w:rPr>
          <w:rFonts w:ascii="Arial" w:hAnsi="Arial" w:cs="Arial"/>
        </w:rPr>
        <w:lastRenderedPageBreak/>
        <w:t>store entrance to pick up any of their desire products on the shelves, put them into their basket then leave the store with the automated payment process (</w:t>
      </w:r>
      <w:r w:rsidR="00522F89">
        <w:rPr>
          <w:rFonts w:ascii="Arial" w:hAnsi="Arial" w:cs="Arial"/>
        </w:rPr>
        <w:t>Ibid., 2020</w:t>
      </w:r>
      <w:r w:rsidRPr="00831C06">
        <w:rPr>
          <w:rFonts w:ascii="Arial" w:hAnsi="Arial" w:cs="Arial"/>
        </w:rPr>
        <w:t>).</w:t>
      </w:r>
    </w:p>
    <w:p w:rsidR="006E3DE9" w:rsidRPr="00831C06" w:rsidRDefault="006E3DE9" w:rsidP="00831C06">
      <w:pPr>
        <w:spacing w:before="100" w:beforeAutospacing="1" w:after="100" w:afterAutospacing="1" w:line="480" w:lineRule="auto"/>
        <w:rPr>
          <w:rFonts w:ascii="Arial" w:hAnsi="Arial" w:cs="Arial"/>
        </w:rPr>
      </w:pPr>
      <w:r w:rsidRPr="00831C06">
        <w:rPr>
          <w:rFonts w:ascii="Arial" w:hAnsi="Arial" w:cs="Arial"/>
        </w:rPr>
        <w:t>Finally, a trend as labour market mobility should not be overlooked, especially in this current time of the Covid-19 pandemic, it is exhibited by a number of signals such as: a new normal of workplace with 40% of employers indicating their expectation of more than 50% of their employees working from home post pandemic, compared with only 15% before the event of pandemic (Gifford &amp; Green 2020); or concern over security of jobs of the furloughed workers</w:t>
      </w:r>
      <w:r w:rsidR="002A7A64" w:rsidRPr="00831C06">
        <w:rPr>
          <w:rFonts w:ascii="Arial" w:hAnsi="Arial" w:cs="Arial"/>
        </w:rPr>
        <w:t xml:space="preserve"> (see Figure 03 – the forecast of unemployment rate in the UK till 2021)</w:t>
      </w:r>
      <w:r w:rsidR="00522F89">
        <w:rPr>
          <w:rFonts w:ascii="Arial" w:hAnsi="Arial" w:cs="Arial"/>
        </w:rPr>
        <w:t>. In addition, t</w:t>
      </w:r>
      <w:r w:rsidRPr="00831C06">
        <w:rPr>
          <w:rFonts w:ascii="Arial" w:hAnsi="Arial" w:cs="Arial"/>
        </w:rPr>
        <w:t>he increase in the status of key workers, and the uncertainty in doing business which requires</w:t>
      </w:r>
      <w:r w:rsidR="001A5B79" w:rsidRPr="00831C06">
        <w:rPr>
          <w:rFonts w:ascii="Arial" w:hAnsi="Arial" w:cs="Arial"/>
        </w:rPr>
        <w:t xml:space="preserve"> Delaware North and any</w:t>
      </w:r>
      <w:r w:rsidRPr="00831C06">
        <w:rPr>
          <w:rFonts w:ascii="Arial" w:hAnsi="Arial" w:cs="Arial"/>
        </w:rPr>
        <w:t xml:space="preserve"> the businessm</w:t>
      </w:r>
      <w:r w:rsidR="001A5B79" w:rsidRPr="00831C06">
        <w:rPr>
          <w:rFonts w:ascii="Arial" w:hAnsi="Arial" w:cs="Arial"/>
        </w:rPr>
        <w:t>e</w:t>
      </w:r>
      <w:r w:rsidRPr="00831C06">
        <w:rPr>
          <w:rFonts w:ascii="Arial" w:hAnsi="Arial" w:cs="Arial"/>
        </w:rPr>
        <w:t>n thinking about their resilient and agile skills</w:t>
      </w:r>
      <w:r w:rsidR="002A7A64" w:rsidRPr="00831C06">
        <w:rPr>
          <w:rFonts w:ascii="Arial" w:hAnsi="Arial" w:cs="Arial"/>
        </w:rPr>
        <w:t xml:space="preserve"> to probe</w:t>
      </w:r>
      <w:r w:rsidR="00522F89">
        <w:rPr>
          <w:rFonts w:ascii="Arial" w:hAnsi="Arial" w:cs="Arial"/>
        </w:rPr>
        <w:t xml:space="preserve">, </w:t>
      </w:r>
      <w:r w:rsidR="002A7A64" w:rsidRPr="00831C06">
        <w:rPr>
          <w:rFonts w:ascii="Arial" w:hAnsi="Arial" w:cs="Arial"/>
        </w:rPr>
        <w:t>sense and responds effectively and efficiently to the rapid changes/ uncertainty</w:t>
      </w:r>
      <w:r w:rsidRPr="00831C06">
        <w:rPr>
          <w:rFonts w:ascii="Arial" w:hAnsi="Arial" w:cs="Arial"/>
        </w:rPr>
        <w:t xml:space="preserve"> (Ibid., 2020).</w:t>
      </w:r>
    </w:p>
    <w:p w:rsidR="002A7A64" w:rsidRPr="00831C06" w:rsidRDefault="002A7A64" w:rsidP="00831C06">
      <w:pPr>
        <w:spacing w:before="100" w:beforeAutospacing="1" w:after="100" w:afterAutospacing="1" w:line="480" w:lineRule="auto"/>
        <w:rPr>
          <w:rFonts w:ascii="Arial" w:hAnsi="Arial" w:cs="Arial"/>
        </w:rPr>
      </w:pPr>
      <w:r w:rsidRPr="00831C06">
        <w:rPr>
          <w:rFonts w:ascii="Arial" w:hAnsi="Arial" w:cs="Arial"/>
          <w:noProof/>
        </w:rPr>
        <w:lastRenderedPageBreak/>
        <w:drawing>
          <wp:inline distT="0" distB="0" distL="0" distR="0">
            <wp:extent cx="5727700" cy="4243070"/>
            <wp:effectExtent l="0" t="0" r="0" b="0"/>
            <wp:docPr id="145" name="Picture 14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4243070"/>
                    </a:xfrm>
                    <a:prstGeom prst="rect">
                      <a:avLst/>
                    </a:prstGeom>
                  </pic:spPr>
                </pic:pic>
              </a:graphicData>
            </a:graphic>
          </wp:inline>
        </w:drawing>
      </w:r>
    </w:p>
    <w:p w:rsidR="002A7A64" w:rsidRPr="00831C06" w:rsidRDefault="002A7A64" w:rsidP="00831C06">
      <w:pPr>
        <w:spacing w:before="100" w:beforeAutospacing="1" w:after="100" w:afterAutospacing="1" w:line="480" w:lineRule="auto"/>
        <w:jc w:val="center"/>
        <w:rPr>
          <w:rFonts w:ascii="Arial" w:hAnsi="Arial" w:cs="Arial"/>
          <w:i/>
          <w:iCs/>
        </w:rPr>
      </w:pPr>
      <w:r w:rsidRPr="00831C06">
        <w:rPr>
          <w:rFonts w:ascii="Arial" w:hAnsi="Arial" w:cs="Arial"/>
          <w:i/>
          <w:iCs/>
        </w:rPr>
        <w:t>(Figure 03 – Unemployment rate forecast – From: ‘Hope on the horizon. UK economic outlook. September 2020.’ – KPMG, 2020 – Chart 5, p6)</w:t>
      </w:r>
    </w:p>
    <w:p w:rsidR="002A7A64" w:rsidRPr="00831C06" w:rsidRDefault="002A7A64" w:rsidP="00831C06">
      <w:pPr>
        <w:spacing w:before="100" w:beforeAutospacing="1" w:after="100" w:afterAutospacing="1" w:line="480" w:lineRule="auto"/>
        <w:rPr>
          <w:rFonts w:ascii="Arial" w:hAnsi="Arial" w:cs="Arial"/>
        </w:rPr>
      </w:pPr>
    </w:p>
    <w:p w:rsidR="006E2220" w:rsidRPr="00831C06" w:rsidRDefault="006E2220" w:rsidP="00831C06">
      <w:pPr>
        <w:spacing w:line="480" w:lineRule="auto"/>
        <w:rPr>
          <w:rFonts w:ascii="Arial" w:hAnsi="Arial" w:cs="Arial"/>
        </w:rPr>
      </w:pPr>
    </w:p>
    <w:p w:rsidR="001A5B79" w:rsidRPr="00831C06" w:rsidRDefault="001A5B79" w:rsidP="00831C06">
      <w:pPr>
        <w:spacing w:line="480" w:lineRule="auto"/>
        <w:rPr>
          <w:rFonts w:ascii="Arial" w:hAnsi="Arial" w:cs="Arial"/>
          <w:color w:val="000000" w:themeColor="text1"/>
        </w:rPr>
      </w:pPr>
    </w:p>
    <w:p w:rsidR="001A5B79" w:rsidRPr="00831C06" w:rsidRDefault="001A5B79" w:rsidP="00831C06">
      <w:pPr>
        <w:spacing w:line="480" w:lineRule="auto"/>
        <w:rPr>
          <w:rFonts w:ascii="Arial" w:hAnsi="Arial" w:cs="Arial"/>
          <w:color w:val="000000" w:themeColor="text1"/>
        </w:rPr>
      </w:pPr>
    </w:p>
    <w:p w:rsidR="002A7A64" w:rsidRPr="00831C06" w:rsidRDefault="002A7A64" w:rsidP="00831C06">
      <w:pPr>
        <w:spacing w:line="480" w:lineRule="auto"/>
        <w:rPr>
          <w:rFonts w:ascii="Arial" w:hAnsi="Arial" w:cs="Arial"/>
          <w:color w:val="000000" w:themeColor="text1"/>
        </w:rPr>
      </w:pPr>
    </w:p>
    <w:p w:rsidR="002A7A64" w:rsidRPr="00831C06" w:rsidRDefault="002A7A64" w:rsidP="00831C06">
      <w:pPr>
        <w:spacing w:line="480" w:lineRule="auto"/>
        <w:rPr>
          <w:rFonts w:ascii="Arial" w:hAnsi="Arial" w:cs="Arial"/>
          <w:color w:val="000000" w:themeColor="text1"/>
        </w:rPr>
      </w:pPr>
    </w:p>
    <w:p w:rsidR="002A7A64" w:rsidRPr="00831C06" w:rsidRDefault="002A7A64" w:rsidP="00831C06">
      <w:pPr>
        <w:spacing w:line="480" w:lineRule="auto"/>
        <w:rPr>
          <w:rFonts w:ascii="Arial" w:hAnsi="Arial" w:cs="Arial"/>
          <w:color w:val="000000" w:themeColor="text1"/>
        </w:rPr>
      </w:pPr>
    </w:p>
    <w:p w:rsidR="002A7A64" w:rsidRPr="00831C06" w:rsidRDefault="002A7A64" w:rsidP="00831C06">
      <w:pPr>
        <w:spacing w:line="480" w:lineRule="auto"/>
        <w:rPr>
          <w:rFonts w:ascii="Arial" w:hAnsi="Arial" w:cs="Arial"/>
          <w:color w:val="000000" w:themeColor="text1"/>
        </w:rPr>
      </w:pPr>
    </w:p>
    <w:p w:rsidR="00F2066D" w:rsidRPr="00831C06" w:rsidRDefault="00F2066D" w:rsidP="00831C06">
      <w:pPr>
        <w:pStyle w:val="Heading1"/>
        <w:numPr>
          <w:ilvl w:val="0"/>
          <w:numId w:val="2"/>
        </w:numPr>
        <w:spacing w:line="480" w:lineRule="auto"/>
        <w:jc w:val="center"/>
        <w:rPr>
          <w:rFonts w:ascii="Arial" w:hAnsi="Arial" w:cs="Arial"/>
          <w:b/>
          <w:bCs/>
          <w:color w:val="000000" w:themeColor="text1"/>
          <w:sz w:val="24"/>
          <w:szCs w:val="24"/>
        </w:rPr>
      </w:pPr>
      <w:bookmarkStart w:id="3" w:name="_Toc54136033"/>
      <w:r w:rsidRPr="00831C06">
        <w:rPr>
          <w:rFonts w:ascii="Arial" w:hAnsi="Arial" w:cs="Arial"/>
          <w:b/>
          <w:bCs/>
          <w:color w:val="000000" w:themeColor="text1"/>
          <w:sz w:val="24"/>
          <w:szCs w:val="24"/>
        </w:rPr>
        <w:lastRenderedPageBreak/>
        <w:t>A 6-minute TED talk: Audio recording in YouTube</w:t>
      </w:r>
      <w:bookmarkEnd w:id="3"/>
    </w:p>
    <w:p w:rsidR="00F2066D" w:rsidRDefault="00F2066D" w:rsidP="00831C06">
      <w:pPr>
        <w:spacing w:line="480" w:lineRule="auto"/>
        <w:rPr>
          <w:rFonts w:ascii="Arial" w:hAnsi="Arial" w:cs="Arial"/>
          <w:color w:val="000000" w:themeColor="text1"/>
        </w:rPr>
      </w:pPr>
      <w:r w:rsidRPr="00831C06">
        <w:rPr>
          <w:rFonts w:ascii="Arial" w:hAnsi="Arial" w:cs="Arial"/>
          <w:b/>
          <w:bCs/>
          <w:color w:val="000000" w:themeColor="text1"/>
          <w:u w:val="single"/>
        </w:rPr>
        <w:t>Link</w:t>
      </w:r>
      <w:r w:rsidRPr="00831C06">
        <w:rPr>
          <w:rFonts w:ascii="Arial" w:hAnsi="Arial" w:cs="Arial"/>
          <w:b/>
          <w:bCs/>
          <w:color w:val="000000" w:themeColor="text1"/>
        </w:rPr>
        <w:t>:</w:t>
      </w:r>
      <w:r w:rsidRPr="00831C06">
        <w:rPr>
          <w:rFonts w:ascii="Arial" w:hAnsi="Arial" w:cs="Arial"/>
          <w:color w:val="000000" w:themeColor="text1"/>
        </w:rPr>
        <w:t xml:space="preserve"> </w:t>
      </w:r>
      <w:hyperlink r:id="rId13" w:history="1">
        <w:r w:rsidR="00522F89" w:rsidRPr="004A5D57">
          <w:rPr>
            <w:rStyle w:val="Hyperlink"/>
            <w:rFonts w:ascii="Arial" w:hAnsi="Arial" w:cs="Arial"/>
          </w:rPr>
          <w:t>https://www.youtube.com/watch?v=-HGHdVU0uoA</w:t>
        </w:r>
      </w:hyperlink>
    </w:p>
    <w:p w:rsidR="00522F89" w:rsidRPr="00522F89" w:rsidRDefault="00522F89" w:rsidP="00831C06">
      <w:pPr>
        <w:spacing w:line="480" w:lineRule="auto"/>
        <w:rPr>
          <w:rFonts w:ascii="Arial" w:hAnsi="Arial" w:cs="Arial"/>
          <w:b/>
          <w:bCs/>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color w:val="000000" w:themeColor="text1"/>
        </w:rPr>
      </w:pPr>
    </w:p>
    <w:p w:rsidR="003E47E6" w:rsidRDefault="003E47E6" w:rsidP="00831C06">
      <w:pPr>
        <w:spacing w:line="480" w:lineRule="auto"/>
        <w:rPr>
          <w:rFonts w:ascii="Arial" w:hAnsi="Arial" w:cs="Arial"/>
          <w:color w:val="000000" w:themeColor="text1"/>
        </w:rPr>
      </w:pPr>
    </w:p>
    <w:p w:rsidR="003E47E6" w:rsidRPr="00831C06" w:rsidRDefault="003E47E6" w:rsidP="00831C06">
      <w:pPr>
        <w:spacing w:line="480" w:lineRule="auto"/>
        <w:rPr>
          <w:rFonts w:ascii="Arial" w:hAnsi="Arial" w:cs="Arial"/>
          <w:color w:val="000000" w:themeColor="text1"/>
          <w:lang w:eastAsia="en-US"/>
        </w:rPr>
      </w:pPr>
    </w:p>
    <w:p w:rsidR="00F2066D" w:rsidRPr="00831C06" w:rsidRDefault="00207991" w:rsidP="00831C06">
      <w:pPr>
        <w:pStyle w:val="Heading1"/>
        <w:numPr>
          <w:ilvl w:val="0"/>
          <w:numId w:val="2"/>
        </w:numPr>
        <w:spacing w:line="480" w:lineRule="auto"/>
        <w:rPr>
          <w:rFonts w:ascii="Arial" w:hAnsi="Arial" w:cs="Arial"/>
          <w:b/>
          <w:bCs/>
          <w:color w:val="000000" w:themeColor="text1"/>
          <w:sz w:val="24"/>
          <w:szCs w:val="24"/>
        </w:rPr>
      </w:pPr>
      <w:bookmarkStart w:id="4" w:name="_Toc54136034"/>
      <w:r w:rsidRPr="00831C06">
        <w:rPr>
          <w:rFonts w:ascii="Arial" w:hAnsi="Arial" w:cs="Arial"/>
          <w:b/>
          <w:bCs/>
          <w:color w:val="000000" w:themeColor="text1"/>
          <w:sz w:val="24"/>
          <w:szCs w:val="24"/>
        </w:rPr>
        <w:lastRenderedPageBreak/>
        <w:t>A</w:t>
      </w:r>
      <w:r w:rsidR="00F2066D" w:rsidRPr="00831C06">
        <w:rPr>
          <w:rFonts w:ascii="Arial" w:hAnsi="Arial" w:cs="Arial"/>
          <w:b/>
          <w:bCs/>
          <w:color w:val="000000" w:themeColor="text1"/>
          <w:sz w:val="24"/>
          <w:szCs w:val="24"/>
        </w:rPr>
        <w:t>n executive summary: tailoring HRM policy to operate in Liberal economy compared to a Co-ordinated economy</w:t>
      </w:r>
      <w:r w:rsidR="00D9640B" w:rsidRPr="00831C06">
        <w:rPr>
          <w:rFonts w:ascii="Arial" w:hAnsi="Arial" w:cs="Arial"/>
          <w:b/>
          <w:bCs/>
          <w:color w:val="000000" w:themeColor="text1"/>
          <w:sz w:val="24"/>
          <w:szCs w:val="24"/>
        </w:rPr>
        <w:t xml:space="preserve"> – in a context of  Delaware North</w:t>
      </w:r>
      <w:bookmarkEnd w:id="4"/>
    </w:p>
    <w:p w:rsidR="00F2066D" w:rsidRPr="00831C06" w:rsidRDefault="00F2066D" w:rsidP="00831C06">
      <w:pPr>
        <w:spacing w:line="480" w:lineRule="auto"/>
        <w:rPr>
          <w:rFonts w:ascii="Arial" w:hAnsi="Arial" w:cs="Arial"/>
          <w:color w:val="000000" w:themeColor="text1"/>
        </w:rPr>
      </w:pPr>
    </w:p>
    <w:p w:rsidR="00D9640B" w:rsidRPr="00831C06" w:rsidRDefault="00F2066D" w:rsidP="00831C06">
      <w:pPr>
        <w:spacing w:line="480" w:lineRule="auto"/>
        <w:rPr>
          <w:rFonts w:ascii="Arial" w:hAnsi="Arial" w:cs="Arial"/>
          <w:color w:val="000000" w:themeColor="text1"/>
        </w:rPr>
      </w:pPr>
      <w:r w:rsidRPr="00831C06">
        <w:rPr>
          <w:rFonts w:ascii="Arial" w:hAnsi="Arial" w:cs="Arial"/>
          <w:color w:val="000000" w:themeColor="text1"/>
        </w:rPr>
        <w:t>In the context of Delaware North (based in US) with their diverse types of business in hospitality and entertainment industry, represented by resorts, restaurants, casinos operated in 4 continents and served approximately half a billion customers every year (Delaware North</w:t>
      </w:r>
      <w:r w:rsidR="006E2220" w:rsidRPr="00831C06">
        <w:rPr>
          <w:rFonts w:ascii="Arial" w:hAnsi="Arial" w:cs="Arial"/>
          <w:color w:val="000000" w:themeColor="text1"/>
        </w:rPr>
        <w:t>,</w:t>
      </w:r>
      <w:r w:rsidRPr="00831C06">
        <w:rPr>
          <w:rFonts w:ascii="Arial" w:hAnsi="Arial" w:cs="Arial"/>
          <w:color w:val="000000" w:themeColor="text1"/>
        </w:rPr>
        <w:t xml:space="preserve"> 2020), it is suggested that their HRM policy</w:t>
      </w:r>
      <w:r w:rsidR="006E2220" w:rsidRPr="00831C06">
        <w:rPr>
          <w:rFonts w:ascii="Arial" w:hAnsi="Arial" w:cs="Arial"/>
          <w:color w:val="000000" w:themeColor="text1"/>
        </w:rPr>
        <w:t>, provided Delaware North was based in Co-ordinated economy,</w:t>
      </w:r>
      <w:r w:rsidRPr="00831C06">
        <w:rPr>
          <w:rFonts w:ascii="Arial" w:hAnsi="Arial" w:cs="Arial"/>
          <w:color w:val="000000" w:themeColor="text1"/>
        </w:rPr>
        <w:t xml:space="preserve"> should be </w:t>
      </w:r>
      <w:r w:rsidR="006E2220" w:rsidRPr="00831C06">
        <w:rPr>
          <w:rFonts w:ascii="Arial" w:hAnsi="Arial" w:cs="Arial"/>
          <w:color w:val="000000" w:themeColor="text1"/>
        </w:rPr>
        <w:t>tailored to be operated in liberal economy</w:t>
      </w:r>
      <w:r w:rsidR="00D9640B" w:rsidRPr="00831C06">
        <w:rPr>
          <w:rFonts w:ascii="Arial" w:hAnsi="Arial" w:cs="Arial"/>
          <w:color w:val="000000" w:themeColor="text1"/>
        </w:rPr>
        <w:t xml:space="preserve"> utilizing</w:t>
      </w:r>
      <w:r w:rsidR="006E2220" w:rsidRPr="00831C06">
        <w:rPr>
          <w:rFonts w:ascii="Arial" w:hAnsi="Arial" w:cs="Arial"/>
          <w:color w:val="000000" w:themeColor="text1"/>
        </w:rPr>
        <w:t xml:space="preserve"> the geocentric </w:t>
      </w:r>
      <w:r w:rsidR="00D9640B" w:rsidRPr="00831C06">
        <w:rPr>
          <w:rFonts w:ascii="Arial" w:hAnsi="Arial" w:cs="Arial"/>
          <w:color w:val="000000" w:themeColor="text1"/>
        </w:rPr>
        <w:t xml:space="preserve">HR </w:t>
      </w:r>
      <w:r w:rsidR="006E2220" w:rsidRPr="00831C06">
        <w:rPr>
          <w:rFonts w:ascii="Arial" w:hAnsi="Arial" w:cs="Arial"/>
          <w:color w:val="000000" w:themeColor="text1"/>
        </w:rPr>
        <w:t>approach – aiming to</w:t>
      </w:r>
      <w:r w:rsidRPr="00831C06">
        <w:rPr>
          <w:rFonts w:ascii="Arial" w:hAnsi="Arial" w:cs="Arial"/>
          <w:color w:val="000000" w:themeColor="text1"/>
        </w:rPr>
        <w:t xml:space="preserve"> high</w:t>
      </w:r>
      <w:r w:rsidR="00D9640B" w:rsidRPr="00831C06">
        <w:rPr>
          <w:rFonts w:ascii="Arial" w:hAnsi="Arial" w:cs="Arial"/>
          <w:color w:val="000000" w:themeColor="text1"/>
        </w:rPr>
        <w:t xml:space="preserve"> </w:t>
      </w:r>
      <w:r w:rsidRPr="00831C06">
        <w:rPr>
          <w:rFonts w:ascii="Arial" w:hAnsi="Arial" w:cs="Arial"/>
          <w:color w:val="000000" w:themeColor="text1"/>
        </w:rPr>
        <w:t>quality of service</w:t>
      </w:r>
      <w:r w:rsidR="00D9640B" w:rsidRPr="00831C06">
        <w:rPr>
          <w:rFonts w:ascii="Arial" w:hAnsi="Arial" w:cs="Arial"/>
          <w:color w:val="000000" w:themeColor="text1"/>
        </w:rPr>
        <w:t>/ production</w:t>
      </w:r>
      <w:r w:rsidRPr="00831C06">
        <w:rPr>
          <w:rFonts w:ascii="Arial" w:hAnsi="Arial" w:cs="Arial"/>
          <w:color w:val="000000" w:themeColor="text1"/>
        </w:rPr>
        <w:t xml:space="preserve"> in the local destinations where the HR practices would be transferred to (Parry et al.</w:t>
      </w:r>
      <w:r w:rsidR="006E2220" w:rsidRPr="00831C06">
        <w:rPr>
          <w:rFonts w:ascii="Arial" w:hAnsi="Arial" w:cs="Arial"/>
          <w:color w:val="000000" w:themeColor="text1"/>
        </w:rPr>
        <w:t>,</w:t>
      </w:r>
      <w:r w:rsidRPr="00831C06">
        <w:rPr>
          <w:rFonts w:ascii="Arial" w:hAnsi="Arial" w:cs="Arial"/>
          <w:color w:val="000000" w:themeColor="text1"/>
        </w:rPr>
        <w:t xml:space="preserve"> 2008).</w:t>
      </w:r>
    </w:p>
    <w:p w:rsidR="00D9640B" w:rsidRPr="00831C06" w:rsidRDefault="00D9640B" w:rsidP="00831C06">
      <w:pPr>
        <w:spacing w:line="480" w:lineRule="auto"/>
        <w:rPr>
          <w:rFonts w:ascii="Arial" w:hAnsi="Arial" w:cs="Arial"/>
          <w:color w:val="000000" w:themeColor="text1"/>
        </w:rPr>
      </w:pPr>
    </w:p>
    <w:p w:rsidR="00F2066D" w:rsidRPr="00831C06" w:rsidRDefault="00F2066D" w:rsidP="00831C06">
      <w:pPr>
        <w:spacing w:line="480" w:lineRule="auto"/>
        <w:rPr>
          <w:rFonts w:ascii="Arial" w:hAnsi="Arial" w:cs="Arial"/>
          <w:b/>
          <w:bCs/>
          <w:color w:val="000000" w:themeColor="text1"/>
        </w:rPr>
      </w:pPr>
      <w:r w:rsidRPr="00831C06">
        <w:rPr>
          <w:rFonts w:ascii="Arial" w:hAnsi="Arial" w:cs="Arial"/>
          <w:b/>
          <w:bCs/>
          <w:color w:val="000000" w:themeColor="text1"/>
        </w:rPr>
        <w:t>Liberal economy and coordinated economy</w:t>
      </w:r>
    </w:p>
    <w:p w:rsidR="00F2066D" w:rsidRPr="00831C06" w:rsidRDefault="00F2066D" w:rsidP="00831C06">
      <w:pPr>
        <w:spacing w:line="480" w:lineRule="auto"/>
        <w:rPr>
          <w:rFonts w:ascii="Arial" w:hAnsi="Arial" w:cs="Arial"/>
          <w:color w:val="000000" w:themeColor="text1"/>
        </w:rPr>
      </w:pPr>
      <w:r w:rsidRPr="00831C06">
        <w:rPr>
          <w:rFonts w:ascii="Arial" w:hAnsi="Arial" w:cs="Arial"/>
          <w:color w:val="000000" w:themeColor="text1"/>
        </w:rPr>
        <w:t>According to Farndale et al. (2008), the primary difference between liberal market economies and co-ordinated market economies regarding HRM practices is that coordinated market economy has higher level of regulation and institutionalization, and liberal market economies, on the contrary has lower level of regulation, it therefore leads to the fact that HRM policy and the approaches to the needs of HRM might vary within different contexts.</w:t>
      </w:r>
    </w:p>
    <w:p w:rsidR="00F2066D" w:rsidRPr="00831C06" w:rsidRDefault="00F2066D" w:rsidP="00831C06">
      <w:pPr>
        <w:spacing w:line="480" w:lineRule="auto"/>
        <w:rPr>
          <w:rFonts w:ascii="Arial" w:hAnsi="Arial" w:cs="Arial"/>
          <w:color w:val="000000" w:themeColor="text1"/>
        </w:rPr>
      </w:pPr>
    </w:p>
    <w:p w:rsidR="00522F89" w:rsidRDefault="00F2066D" w:rsidP="00831C06">
      <w:pPr>
        <w:spacing w:line="480" w:lineRule="auto"/>
        <w:rPr>
          <w:rFonts w:ascii="Arial" w:hAnsi="Arial" w:cs="Arial"/>
          <w:color w:val="000000" w:themeColor="text1"/>
        </w:rPr>
      </w:pPr>
      <w:r w:rsidRPr="00831C06">
        <w:rPr>
          <w:rFonts w:ascii="Arial" w:hAnsi="Arial" w:cs="Arial"/>
          <w:color w:val="000000" w:themeColor="text1"/>
        </w:rPr>
        <w:t xml:space="preserve">To what extent, Kluike (2015) stated that UK could be the example of liberal market economies that has the feature as the freedom of companies to formulate their own HRM policies and limited coordination between employers and employees; while the countries like Germany or Switzerland are typically known for their elements of </w:t>
      </w:r>
      <w:r w:rsidRPr="00831C06">
        <w:rPr>
          <w:rFonts w:ascii="Arial" w:hAnsi="Arial" w:cs="Arial"/>
          <w:color w:val="000000" w:themeColor="text1"/>
        </w:rPr>
        <w:lastRenderedPageBreak/>
        <w:t>coordinated market economy as: vocational education and training system and flexible employment protection legislation.</w:t>
      </w:r>
    </w:p>
    <w:p w:rsidR="003E47E6" w:rsidRPr="00831C06" w:rsidRDefault="003E47E6"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b/>
          <w:bCs/>
          <w:color w:val="000000" w:themeColor="text1"/>
        </w:rPr>
      </w:pPr>
      <w:r w:rsidRPr="00831C06">
        <w:rPr>
          <w:rFonts w:ascii="Arial" w:hAnsi="Arial" w:cs="Arial"/>
          <w:b/>
          <w:bCs/>
          <w:color w:val="000000" w:themeColor="text1"/>
        </w:rPr>
        <w:t>4 primary HR approaches</w:t>
      </w:r>
    </w:p>
    <w:p w:rsidR="006E2220"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xml:space="preserve">Nevertheless, considering the differences between co-ordinated and liberal economy, it requires the parent company as Delaware North to have the distinctive HR approach in order to transfer its home country’s HR practices to the host country (Edwards &amp; Rees, 2016). The process of internationalizing the knowledge, expertise and HRM policy of the parent company to fit with </w:t>
      </w:r>
      <w:r w:rsidR="00387B88" w:rsidRPr="00831C06">
        <w:rPr>
          <w:rFonts w:ascii="Arial" w:hAnsi="Arial" w:cs="Arial"/>
          <w:color w:val="000000" w:themeColor="text1"/>
        </w:rPr>
        <w:t>another</w:t>
      </w:r>
      <w:r w:rsidRPr="00831C06">
        <w:rPr>
          <w:rFonts w:ascii="Arial" w:hAnsi="Arial" w:cs="Arial"/>
          <w:color w:val="000000" w:themeColor="text1"/>
        </w:rPr>
        <w:t xml:space="preserve"> market/ foreign country in a new economy could be classified in 4 significant HR approaches as: polycentric, ethnocentric, regiocentric and geocentric (Ibid., p89-93)</w:t>
      </w:r>
    </w:p>
    <w:p w:rsidR="00D9640B" w:rsidRPr="00831C06" w:rsidRDefault="00D9640B" w:rsidP="00831C06">
      <w:pPr>
        <w:spacing w:line="480" w:lineRule="auto"/>
        <w:rPr>
          <w:rFonts w:ascii="Arial" w:hAnsi="Arial" w:cs="Arial"/>
          <w:color w:val="000000" w:themeColor="text1"/>
        </w:rPr>
      </w:pPr>
    </w:p>
    <w:tbl>
      <w:tblPr>
        <w:tblStyle w:val="TableGrid"/>
        <w:tblW w:w="0" w:type="auto"/>
        <w:tblLook w:val="04A0" w:firstRow="1" w:lastRow="0" w:firstColumn="1" w:lastColumn="0" w:noHBand="0" w:noVBand="1"/>
      </w:tblPr>
      <w:tblGrid>
        <w:gridCol w:w="662"/>
        <w:gridCol w:w="1982"/>
        <w:gridCol w:w="3338"/>
        <w:gridCol w:w="3028"/>
      </w:tblGrid>
      <w:tr w:rsidR="00D9640B" w:rsidRPr="00831C06" w:rsidTr="00D9640B">
        <w:tc>
          <w:tcPr>
            <w:tcW w:w="662"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No.</w:t>
            </w:r>
          </w:p>
        </w:tc>
        <w:tc>
          <w:tcPr>
            <w:tcW w:w="1982" w:type="dxa"/>
          </w:tcPr>
          <w:p w:rsidR="00D9640B" w:rsidRPr="00226C12" w:rsidRDefault="00D9640B" w:rsidP="00831C06">
            <w:pPr>
              <w:spacing w:line="480" w:lineRule="auto"/>
              <w:jc w:val="center"/>
              <w:rPr>
                <w:rFonts w:ascii="Arial" w:hAnsi="Arial" w:cs="Arial"/>
                <w:b/>
                <w:bCs/>
                <w:color w:val="000000" w:themeColor="text1"/>
              </w:rPr>
            </w:pPr>
            <w:r w:rsidRPr="00226C12">
              <w:rPr>
                <w:rFonts w:ascii="Arial" w:hAnsi="Arial" w:cs="Arial"/>
                <w:b/>
                <w:bCs/>
                <w:color w:val="000000" w:themeColor="text1"/>
              </w:rPr>
              <w:t>HR approach</w:t>
            </w:r>
          </w:p>
        </w:tc>
        <w:tc>
          <w:tcPr>
            <w:tcW w:w="3338"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Key features</w:t>
            </w:r>
          </w:p>
        </w:tc>
        <w:tc>
          <w:tcPr>
            <w:tcW w:w="3028"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Advantages/Challenges</w:t>
            </w:r>
          </w:p>
        </w:tc>
      </w:tr>
      <w:tr w:rsidR="00D9640B" w:rsidRPr="00831C06" w:rsidTr="00D9640B">
        <w:tc>
          <w:tcPr>
            <w:tcW w:w="662"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1</w:t>
            </w:r>
          </w:p>
        </w:tc>
        <w:tc>
          <w:tcPr>
            <w:tcW w:w="1982" w:type="dxa"/>
          </w:tcPr>
          <w:p w:rsidR="00D9640B" w:rsidRPr="00226C12" w:rsidRDefault="00D9640B" w:rsidP="00831C06">
            <w:pPr>
              <w:spacing w:line="480" w:lineRule="auto"/>
              <w:rPr>
                <w:rFonts w:ascii="Arial" w:hAnsi="Arial" w:cs="Arial"/>
                <w:b/>
                <w:bCs/>
                <w:color w:val="000000" w:themeColor="text1"/>
              </w:rPr>
            </w:pPr>
            <w:r w:rsidRPr="00226C12">
              <w:rPr>
                <w:rFonts w:ascii="Arial" w:hAnsi="Arial" w:cs="Arial"/>
                <w:b/>
                <w:bCs/>
                <w:color w:val="000000" w:themeColor="text1"/>
              </w:rPr>
              <w:t>Polycentric</w:t>
            </w:r>
          </w:p>
        </w:tc>
        <w:tc>
          <w:tcPr>
            <w:tcW w:w="333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xml:space="preserve">There is a pressure </w:t>
            </w:r>
            <w:r w:rsidR="00226C12">
              <w:rPr>
                <w:rFonts w:ascii="Arial" w:hAnsi="Arial" w:cs="Arial"/>
                <w:color w:val="000000" w:themeColor="text1"/>
              </w:rPr>
              <w:t xml:space="preserve">of </w:t>
            </w:r>
            <w:r w:rsidRPr="00831C06">
              <w:rPr>
                <w:rFonts w:ascii="Arial" w:hAnsi="Arial" w:cs="Arial"/>
                <w:color w:val="000000" w:themeColor="text1"/>
              </w:rPr>
              <w:t>the dominance of local differentiation (HR practices &amp; policies based on local context) (Edwards &amp; Rees, 2016)</w:t>
            </w:r>
            <w:r w:rsidR="00522F89">
              <w:rPr>
                <w:rFonts w:ascii="Arial" w:hAnsi="Arial" w:cs="Arial"/>
                <w:color w:val="000000" w:themeColor="text1"/>
              </w:rPr>
              <w:t>.</w:t>
            </w:r>
          </w:p>
        </w:tc>
        <w:tc>
          <w:tcPr>
            <w:tcW w:w="3028" w:type="dxa"/>
          </w:tcPr>
          <w:p w:rsidR="00D9640B" w:rsidRPr="00831C06" w:rsidRDefault="00522F89" w:rsidP="00831C06">
            <w:pPr>
              <w:spacing w:line="480" w:lineRule="auto"/>
              <w:rPr>
                <w:rFonts w:ascii="Arial" w:hAnsi="Arial" w:cs="Arial"/>
                <w:color w:val="000000" w:themeColor="text1"/>
              </w:rPr>
            </w:pPr>
            <w:r>
              <w:rPr>
                <w:rFonts w:ascii="Arial" w:hAnsi="Arial" w:cs="Arial"/>
                <w:color w:val="000000" w:themeColor="text1"/>
              </w:rPr>
              <w:t xml:space="preserve">Challenge: </w:t>
            </w:r>
            <w:r w:rsidR="00D9640B" w:rsidRPr="00831C06">
              <w:rPr>
                <w:rFonts w:ascii="Arial" w:hAnsi="Arial" w:cs="Arial"/>
                <w:color w:val="000000" w:themeColor="text1"/>
              </w:rPr>
              <w:t xml:space="preserve">Although there is a movement of HR practices and policies between 2 countries, not too many </w:t>
            </w:r>
            <w:r w:rsidR="00387B88" w:rsidRPr="00831C06">
              <w:rPr>
                <w:rFonts w:ascii="Arial" w:hAnsi="Arial" w:cs="Arial"/>
                <w:color w:val="000000" w:themeColor="text1"/>
              </w:rPr>
              <w:t>things</w:t>
            </w:r>
            <w:r w:rsidR="00D9640B" w:rsidRPr="00831C06">
              <w:rPr>
                <w:rFonts w:ascii="Arial" w:hAnsi="Arial" w:cs="Arial"/>
                <w:color w:val="000000" w:themeColor="text1"/>
              </w:rPr>
              <w:t xml:space="preserve"> else could be spread across borders as decisions are likely to be left for local managers  </w:t>
            </w:r>
          </w:p>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(Edwards &amp; Rees, 2016)</w:t>
            </w:r>
            <w:r w:rsidR="00522F89">
              <w:rPr>
                <w:rFonts w:ascii="Arial" w:hAnsi="Arial" w:cs="Arial"/>
                <w:color w:val="000000" w:themeColor="text1"/>
              </w:rPr>
              <w:t>.</w:t>
            </w:r>
          </w:p>
        </w:tc>
      </w:tr>
      <w:tr w:rsidR="00D9640B" w:rsidRPr="00831C06" w:rsidTr="00D9640B">
        <w:tc>
          <w:tcPr>
            <w:tcW w:w="662"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2</w:t>
            </w:r>
          </w:p>
        </w:tc>
        <w:tc>
          <w:tcPr>
            <w:tcW w:w="1982" w:type="dxa"/>
          </w:tcPr>
          <w:p w:rsidR="00D9640B" w:rsidRPr="00226C12" w:rsidRDefault="00D9640B" w:rsidP="00831C06">
            <w:pPr>
              <w:spacing w:line="480" w:lineRule="auto"/>
              <w:rPr>
                <w:rFonts w:ascii="Arial" w:hAnsi="Arial" w:cs="Arial"/>
                <w:b/>
                <w:bCs/>
                <w:color w:val="000000" w:themeColor="text1"/>
              </w:rPr>
            </w:pPr>
            <w:r w:rsidRPr="00226C12">
              <w:rPr>
                <w:rFonts w:ascii="Arial" w:hAnsi="Arial" w:cs="Arial"/>
                <w:b/>
                <w:bCs/>
                <w:color w:val="000000" w:themeColor="text1"/>
              </w:rPr>
              <w:t>Ethnocentric</w:t>
            </w:r>
          </w:p>
        </w:tc>
        <w:tc>
          <w:tcPr>
            <w:tcW w:w="333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xml:space="preserve">The HR policies in the host country are likely to be based </w:t>
            </w:r>
            <w:r w:rsidRPr="00831C06">
              <w:rPr>
                <w:rFonts w:ascii="Arial" w:hAnsi="Arial" w:cs="Arial"/>
                <w:color w:val="000000" w:themeColor="text1"/>
              </w:rPr>
              <w:lastRenderedPageBreak/>
              <w:t>on the parent company (as a cultural extension) (Edwards &amp; Rees, 2016)</w:t>
            </w:r>
            <w:r w:rsidR="00522F89">
              <w:rPr>
                <w:rFonts w:ascii="Arial" w:hAnsi="Arial" w:cs="Arial"/>
                <w:color w:val="000000" w:themeColor="text1"/>
              </w:rPr>
              <w:t>.</w:t>
            </w:r>
            <w:r w:rsidRPr="00831C06">
              <w:rPr>
                <w:rFonts w:ascii="Arial" w:hAnsi="Arial" w:cs="Arial"/>
                <w:color w:val="000000" w:themeColor="text1"/>
              </w:rPr>
              <w:t xml:space="preserve"> </w:t>
            </w:r>
          </w:p>
        </w:tc>
        <w:tc>
          <w:tcPr>
            <w:tcW w:w="302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lastRenderedPageBreak/>
              <w:t>Challenge: the dominance of home country’s values</w:t>
            </w:r>
          </w:p>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lastRenderedPageBreak/>
              <w:t xml:space="preserve">(Edwards &amp; Rees, 2016) </w:t>
            </w:r>
          </w:p>
        </w:tc>
      </w:tr>
      <w:tr w:rsidR="00D9640B" w:rsidRPr="00831C06" w:rsidTr="00D9640B">
        <w:tc>
          <w:tcPr>
            <w:tcW w:w="662"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lastRenderedPageBreak/>
              <w:t>3</w:t>
            </w:r>
          </w:p>
        </w:tc>
        <w:tc>
          <w:tcPr>
            <w:tcW w:w="1982" w:type="dxa"/>
          </w:tcPr>
          <w:p w:rsidR="00D9640B" w:rsidRPr="00226C12" w:rsidRDefault="00D9640B" w:rsidP="00831C06">
            <w:pPr>
              <w:spacing w:line="480" w:lineRule="auto"/>
              <w:rPr>
                <w:rFonts w:ascii="Arial" w:hAnsi="Arial" w:cs="Arial"/>
                <w:b/>
                <w:bCs/>
                <w:color w:val="000000" w:themeColor="text1"/>
              </w:rPr>
            </w:pPr>
            <w:r w:rsidRPr="00226C12">
              <w:rPr>
                <w:rFonts w:ascii="Arial" w:hAnsi="Arial" w:cs="Arial"/>
                <w:b/>
                <w:bCs/>
                <w:color w:val="000000" w:themeColor="text1"/>
              </w:rPr>
              <w:t xml:space="preserve">Regiocentric </w:t>
            </w:r>
          </w:p>
        </w:tc>
        <w:tc>
          <w:tcPr>
            <w:tcW w:w="333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A combination of polycentric and ethnocentric approach</w:t>
            </w:r>
            <w:r w:rsidR="00522F89">
              <w:rPr>
                <w:rFonts w:ascii="Arial" w:hAnsi="Arial" w:cs="Arial"/>
                <w:color w:val="000000" w:themeColor="text1"/>
              </w:rPr>
              <w:t>.</w:t>
            </w:r>
          </w:p>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Less centralized than ethnocentric approach but much more centralized than polycentric approach</w:t>
            </w:r>
            <w:r w:rsidR="00522F89">
              <w:rPr>
                <w:rFonts w:ascii="Arial" w:hAnsi="Arial" w:cs="Arial"/>
                <w:color w:val="000000" w:themeColor="text1"/>
              </w:rPr>
              <w:t>.</w:t>
            </w:r>
          </w:p>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 The transferable process can be from both countries and the local managers are the primary points of contact in between</w:t>
            </w:r>
            <w:r w:rsidR="00522F89">
              <w:rPr>
                <w:rFonts w:ascii="Arial" w:hAnsi="Arial" w:cs="Arial"/>
                <w:color w:val="000000" w:themeColor="text1"/>
              </w:rPr>
              <w:t>.</w:t>
            </w:r>
          </w:p>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(Edwards &amp; Rees, 2016)</w:t>
            </w:r>
          </w:p>
        </w:tc>
        <w:tc>
          <w:tcPr>
            <w:tcW w:w="302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Challenge: concern over the diffusion of technology, innovation and practices across borders (Edwards &amp; Rees, 2016)</w:t>
            </w:r>
            <w:r w:rsidR="00522F89">
              <w:rPr>
                <w:rFonts w:ascii="Arial" w:hAnsi="Arial" w:cs="Arial"/>
                <w:color w:val="000000" w:themeColor="text1"/>
              </w:rPr>
              <w:t>.</w:t>
            </w:r>
          </w:p>
        </w:tc>
      </w:tr>
      <w:tr w:rsidR="00D9640B" w:rsidRPr="00831C06" w:rsidTr="00D9640B">
        <w:tc>
          <w:tcPr>
            <w:tcW w:w="662" w:type="dxa"/>
          </w:tcPr>
          <w:p w:rsidR="00D9640B" w:rsidRPr="00831C06" w:rsidRDefault="00D9640B" w:rsidP="00831C06">
            <w:pPr>
              <w:spacing w:line="480" w:lineRule="auto"/>
              <w:jc w:val="center"/>
              <w:rPr>
                <w:rFonts w:ascii="Arial" w:hAnsi="Arial" w:cs="Arial"/>
                <w:b/>
                <w:bCs/>
                <w:color w:val="000000" w:themeColor="text1"/>
              </w:rPr>
            </w:pPr>
            <w:r w:rsidRPr="00831C06">
              <w:rPr>
                <w:rFonts w:ascii="Arial" w:hAnsi="Arial" w:cs="Arial"/>
                <w:b/>
                <w:bCs/>
                <w:color w:val="000000" w:themeColor="text1"/>
              </w:rPr>
              <w:t>4</w:t>
            </w:r>
          </w:p>
        </w:tc>
        <w:tc>
          <w:tcPr>
            <w:tcW w:w="1982" w:type="dxa"/>
          </w:tcPr>
          <w:p w:rsidR="00D9640B" w:rsidRPr="00226C12" w:rsidRDefault="00D9640B" w:rsidP="00831C06">
            <w:pPr>
              <w:spacing w:line="480" w:lineRule="auto"/>
              <w:rPr>
                <w:rFonts w:ascii="Arial" w:hAnsi="Arial" w:cs="Arial"/>
                <w:b/>
                <w:bCs/>
                <w:color w:val="000000" w:themeColor="text1"/>
              </w:rPr>
            </w:pPr>
            <w:r w:rsidRPr="00226C12">
              <w:rPr>
                <w:rFonts w:ascii="Arial" w:hAnsi="Arial" w:cs="Arial"/>
                <w:b/>
                <w:bCs/>
                <w:color w:val="000000" w:themeColor="text1"/>
              </w:rPr>
              <w:t>Geocentric (transnational)</w:t>
            </w:r>
          </w:p>
        </w:tc>
        <w:tc>
          <w:tcPr>
            <w:tcW w:w="3338" w:type="dxa"/>
          </w:tcPr>
          <w:p w:rsidR="00D9640B" w:rsidRPr="00831C06" w:rsidRDefault="00D9640B" w:rsidP="00831C06">
            <w:pPr>
              <w:spacing w:line="480" w:lineRule="auto"/>
              <w:rPr>
                <w:rFonts w:ascii="Arial" w:hAnsi="Arial" w:cs="Arial"/>
                <w:color w:val="000000" w:themeColor="text1"/>
              </w:rPr>
            </w:pPr>
            <w:r w:rsidRPr="00831C06">
              <w:rPr>
                <w:rFonts w:ascii="Arial" w:hAnsi="Arial" w:cs="Arial"/>
                <w:color w:val="000000" w:themeColor="text1"/>
              </w:rPr>
              <w:t>Focus on formulating the integrated network with distinctive role specializing in particular parts of production process (Edwards &amp; Rees, 2016) -&gt; finding the best fit for each role</w:t>
            </w:r>
            <w:r w:rsidR="00522F89">
              <w:rPr>
                <w:rFonts w:ascii="Arial" w:hAnsi="Arial" w:cs="Arial"/>
                <w:color w:val="000000" w:themeColor="text1"/>
              </w:rPr>
              <w:t>.</w:t>
            </w:r>
          </w:p>
          <w:p w:rsidR="00D9640B" w:rsidRPr="00831C06" w:rsidRDefault="00D9640B" w:rsidP="00831C06">
            <w:pPr>
              <w:spacing w:line="480" w:lineRule="auto"/>
              <w:rPr>
                <w:rFonts w:ascii="Arial" w:hAnsi="Arial" w:cs="Arial"/>
                <w:color w:val="000000" w:themeColor="text1"/>
              </w:rPr>
            </w:pPr>
          </w:p>
          <w:p w:rsidR="00D9640B" w:rsidRPr="00831C06" w:rsidRDefault="00D9640B" w:rsidP="00831C06">
            <w:pPr>
              <w:spacing w:line="480" w:lineRule="auto"/>
              <w:rPr>
                <w:rFonts w:ascii="Arial" w:hAnsi="Arial" w:cs="Arial"/>
                <w:color w:val="000000" w:themeColor="text1"/>
              </w:rPr>
            </w:pPr>
          </w:p>
        </w:tc>
        <w:tc>
          <w:tcPr>
            <w:tcW w:w="3028" w:type="dxa"/>
          </w:tcPr>
          <w:p w:rsidR="00D9640B" w:rsidRPr="00831C06" w:rsidRDefault="00522F89" w:rsidP="00831C06">
            <w:pPr>
              <w:spacing w:line="480" w:lineRule="auto"/>
              <w:rPr>
                <w:rFonts w:ascii="Arial" w:hAnsi="Arial" w:cs="Arial"/>
                <w:color w:val="000000" w:themeColor="text1"/>
              </w:rPr>
            </w:pPr>
            <w:r>
              <w:rPr>
                <w:rFonts w:ascii="Arial" w:hAnsi="Arial" w:cs="Arial"/>
                <w:color w:val="000000" w:themeColor="text1"/>
              </w:rPr>
              <w:t xml:space="preserve">Advantage: </w:t>
            </w:r>
            <w:r w:rsidR="00D9640B" w:rsidRPr="00831C06">
              <w:rPr>
                <w:rFonts w:ascii="Arial" w:hAnsi="Arial" w:cs="Arial"/>
                <w:color w:val="000000" w:themeColor="text1"/>
              </w:rPr>
              <w:t xml:space="preserve">Allows a firm to be able to respond to all of the challenges that the 3 other approaches cannot (locally responsive, efficient achievement through global scale and the spread of innovation </w:t>
            </w:r>
            <w:r w:rsidR="00D9640B" w:rsidRPr="00831C06">
              <w:rPr>
                <w:rFonts w:ascii="Arial" w:hAnsi="Arial" w:cs="Arial"/>
                <w:color w:val="000000" w:themeColor="text1"/>
              </w:rPr>
              <w:lastRenderedPageBreak/>
              <w:t>across borders) ((Edwards &amp; Rees, 2016</w:t>
            </w:r>
            <w:r>
              <w:rPr>
                <w:rFonts w:ascii="Arial" w:hAnsi="Arial" w:cs="Arial"/>
                <w:color w:val="000000" w:themeColor="text1"/>
              </w:rPr>
              <w:t xml:space="preserve">, </w:t>
            </w:r>
            <w:r w:rsidR="00D9640B" w:rsidRPr="00831C06">
              <w:rPr>
                <w:rFonts w:ascii="Arial" w:hAnsi="Arial" w:cs="Arial"/>
                <w:color w:val="000000" w:themeColor="text1"/>
              </w:rPr>
              <w:t>p92)</w:t>
            </w:r>
            <w:r>
              <w:rPr>
                <w:rFonts w:ascii="Arial" w:hAnsi="Arial" w:cs="Arial"/>
                <w:color w:val="000000" w:themeColor="text1"/>
              </w:rPr>
              <w:t>.</w:t>
            </w:r>
          </w:p>
        </w:tc>
      </w:tr>
    </w:tbl>
    <w:p w:rsidR="006E2220" w:rsidRPr="00831C06" w:rsidRDefault="00D9640B" w:rsidP="00831C06">
      <w:pPr>
        <w:spacing w:line="480" w:lineRule="auto"/>
        <w:jc w:val="center"/>
        <w:rPr>
          <w:rFonts w:ascii="Arial" w:hAnsi="Arial" w:cs="Arial"/>
          <w:i/>
          <w:iCs/>
          <w:color w:val="000000" w:themeColor="text1"/>
        </w:rPr>
      </w:pPr>
      <w:r w:rsidRPr="00831C06">
        <w:rPr>
          <w:rFonts w:ascii="Arial" w:hAnsi="Arial" w:cs="Arial"/>
          <w:i/>
          <w:iCs/>
          <w:color w:val="000000" w:themeColor="text1"/>
        </w:rPr>
        <w:lastRenderedPageBreak/>
        <w:t>(Table 01 –</w:t>
      </w:r>
      <w:r w:rsidR="00522F89">
        <w:rPr>
          <w:rFonts w:ascii="Arial" w:hAnsi="Arial" w:cs="Arial"/>
          <w:i/>
          <w:iCs/>
          <w:color w:val="000000" w:themeColor="text1"/>
        </w:rPr>
        <w:t xml:space="preserve"> 4 significant HR approaches -</w:t>
      </w:r>
      <w:r w:rsidRPr="00831C06">
        <w:rPr>
          <w:rFonts w:ascii="Arial" w:hAnsi="Arial" w:cs="Arial"/>
          <w:i/>
          <w:iCs/>
          <w:color w:val="000000" w:themeColor="text1"/>
        </w:rPr>
        <w:t xml:space="preserve"> Le, 2020)</w:t>
      </w:r>
    </w:p>
    <w:p w:rsidR="00D9640B" w:rsidRPr="00831C06" w:rsidRDefault="00D9640B" w:rsidP="00831C06">
      <w:pPr>
        <w:pStyle w:val="Heading1"/>
        <w:spacing w:after="150" w:line="480" w:lineRule="auto"/>
        <w:rPr>
          <w:rFonts w:ascii="Arial" w:eastAsia="Times New Roman" w:hAnsi="Arial" w:cs="Arial"/>
          <w:color w:val="000000" w:themeColor="text1"/>
          <w:kern w:val="36"/>
          <w:sz w:val="24"/>
          <w:szCs w:val="24"/>
        </w:rPr>
      </w:pPr>
      <w:bookmarkStart w:id="5" w:name="_Toc53986003"/>
      <w:bookmarkStart w:id="6" w:name="_Toc54129789"/>
      <w:bookmarkStart w:id="7" w:name="_Toc54136035"/>
      <w:r w:rsidRPr="00831C06">
        <w:rPr>
          <w:rFonts w:ascii="Arial" w:hAnsi="Arial" w:cs="Arial"/>
          <w:color w:val="000000" w:themeColor="text1"/>
          <w:sz w:val="24"/>
          <w:szCs w:val="24"/>
        </w:rPr>
        <w:t>As being illustrated in table 01 (Le 2020) summarised the primary elements, advantages and challenges of the 4 global HR approaches from the book ‘</w:t>
      </w:r>
      <w:r w:rsidRPr="00831C06">
        <w:rPr>
          <w:rFonts w:ascii="Arial" w:eastAsia="Times New Roman" w:hAnsi="Arial" w:cs="Arial"/>
          <w:color w:val="000000" w:themeColor="text1"/>
          <w:kern w:val="36"/>
          <w:sz w:val="24"/>
          <w:szCs w:val="24"/>
        </w:rPr>
        <w:t>International human resource management: globalization, national systems and multinational companies’ of Edwards &amp; Rees (2016), it could be seen that when considering ethnocentric and polycentric approach, each might lead to the HR policies leaning on either local context (</w:t>
      </w:r>
      <w:r w:rsidR="00522F89">
        <w:rPr>
          <w:rFonts w:ascii="Arial" w:eastAsia="Times New Roman" w:hAnsi="Arial" w:cs="Arial"/>
          <w:color w:val="000000" w:themeColor="text1"/>
          <w:kern w:val="36"/>
          <w:sz w:val="24"/>
          <w:szCs w:val="24"/>
        </w:rPr>
        <w:t xml:space="preserve">in </w:t>
      </w:r>
      <w:r w:rsidRPr="00831C06">
        <w:rPr>
          <w:rFonts w:ascii="Arial" w:eastAsia="Times New Roman" w:hAnsi="Arial" w:cs="Arial"/>
          <w:color w:val="000000" w:themeColor="text1"/>
          <w:kern w:val="36"/>
          <w:sz w:val="24"/>
          <w:szCs w:val="24"/>
        </w:rPr>
        <w:t>host country) or parent company (</w:t>
      </w:r>
      <w:r w:rsidR="00522F89">
        <w:rPr>
          <w:rFonts w:ascii="Arial" w:eastAsia="Times New Roman" w:hAnsi="Arial" w:cs="Arial"/>
          <w:color w:val="000000" w:themeColor="text1"/>
          <w:kern w:val="36"/>
          <w:sz w:val="24"/>
          <w:szCs w:val="24"/>
        </w:rPr>
        <w:t xml:space="preserve">in </w:t>
      </w:r>
      <w:r w:rsidRPr="00831C06">
        <w:rPr>
          <w:rFonts w:ascii="Arial" w:eastAsia="Times New Roman" w:hAnsi="Arial" w:cs="Arial"/>
          <w:color w:val="000000" w:themeColor="text1"/>
          <w:kern w:val="36"/>
          <w:sz w:val="24"/>
          <w:szCs w:val="24"/>
        </w:rPr>
        <w:t xml:space="preserve">home country) – as in this case, they are </w:t>
      </w:r>
      <w:r w:rsidR="00522F89">
        <w:rPr>
          <w:rFonts w:ascii="Arial" w:eastAsia="Times New Roman" w:hAnsi="Arial" w:cs="Arial"/>
          <w:color w:val="000000" w:themeColor="text1"/>
          <w:kern w:val="36"/>
          <w:sz w:val="24"/>
          <w:szCs w:val="24"/>
        </w:rPr>
        <w:t xml:space="preserve">either </w:t>
      </w:r>
      <w:r w:rsidRPr="00831C06">
        <w:rPr>
          <w:rFonts w:ascii="Arial" w:eastAsia="Times New Roman" w:hAnsi="Arial" w:cs="Arial"/>
          <w:color w:val="000000" w:themeColor="text1"/>
          <w:kern w:val="36"/>
          <w:sz w:val="24"/>
          <w:szCs w:val="24"/>
        </w:rPr>
        <w:t>liberal or coordinated economy. As a result, it would not support answering the question of how to tailor Delaware North’s HRM policies from co-ordinated economy to liberal economy.</w:t>
      </w:r>
      <w:bookmarkEnd w:id="5"/>
      <w:bookmarkEnd w:id="6"/>
      <w:bookmarkEnd w:id="7"/>
      <w:r w:rsidRPr="00831C06">
        <w:rPr>
          <w:rFonts w:ascii="Arial" w:eastAsia="Times New Roman" w:hAnsi="Arial" w:cs="Arial"/>
          <w:color w:val="000000" w:themeColor="text1"/>
          <w:kern w:val="36"/>
          <w:sz w:val="24"/>
          <w:szCs w:val="24"/>
        </w:rPr>
        <w:t xml:space="preserve"> </w:t>
      </w:r>
    </w:p>
    <w:p w:rsidR="00D9640B" w:rsidRPr="00831C06" w:rsidRDefault="00D9640B" w:rsidP="00831C06">
      <w:pPr>
        <w:spacing w:line="480" w:lineRule="auto"/>
        <w:rPr>
          <w:rFonts w:ascii="Arial" w:hAnsi="Arial" w:cs="Arial"/>
          <w:color w:val="000000" w:themeColor="text1"/>
          <w:kern w:val="36"/>
        </w:rPr>
      </w:pPr>
      <w:r w:rsidRPr="00831C06">
        <w:rPr>
          <w:rFonts w:ascii="Arial" w:hAnsi="Arial" w:cs="Arial"/>
        </w:rPr>
        <w:t>While it can be argued that the third approach as regiocentric might also sound efficient as it could be seen as the combination of the first 2 approaches (</w:t>
      </w:r>
      <w:r w:rsidRPr="00831C06">
        <w:rPr>
          <w:rFonts w:ascii="Arial" w:hAnsi="Arial" w:cs="Arial"/>
          <w:color w:val="000000" w:themeColor="text1"/>
          <w:kern w:val="36"/>
        </w:rPr>
        <w:t xml:space="preserve">Edwards &amp; Rees, 2016), however, </w:t>
      </w:r>
      <w:r w:rsidR="00522F89">
        <w:rPr>
          <w:rFonts w:ascii="Arial" w:hAnsi="Arial" w:cs="Arial"/>
          <w:color w:val="000000" w:themeColor="text1"/>
          <w:kern w:val="36"/>
        </w:rPr>
        <w:t>to compare</w:t>
      </w:r>
      <w:r w:rsidRPr="00831C06">
        <w:rPr>
          <w:rFonts w:ascii="Arial" w:hAnsi="Arial" w:cs="Arial"/>
          <w:color w:val="000000" w:themeColor="text1"/>
          <w:kern w:val="36"/>
        </w:rPr>
        <w:t xml:space="preserve"> it with the last approach as geocentric, the idea of the integrated network with the best fit in each role in a company would likely to outweighed the three other approaches, as it not only facilitates the transfer process of HRM policies (to be both responsive enough to local factors and ensuring organisation’s goal), but also allows a more dynamic movement human resources, knowledge, technology and innovation between the sites/ the countries in the network (Ibid</w:t>
      </w:r>
      <w:r w:rsidR="00522F89">
        <w:rPr>
          <w:rFonts w:ascii="Arial" w:hAnsi="Arial" w:cs="Arial"/>
          <w:color w:val="000000" w:themeColor="text1"/>
          <w:kern w:val="36"/>
        </w:rPr>
        <w:t>.</w:t>
      </w:r>
      <w:r w:rsidRPr="00831C06">
        <w:rPr>
          <w:rFonts w:ascii="Arial" w:hAnsi="Arial" w:cs="Arial"/>
          <w:color w:val="000000" w:themeColor="text1"/>
          <w:kern w:val="36"/>
        </w:rPr>
        <w:t xml:space="preserve">, p92 &amp; 93) </w:t>
      </w:r>
      <w:r w:rsidRPr="00831C06">
        <w:rPr>
          <w:rFonts w:ascii="Arial" w:hAnsi="Arial" w:cs="Arial"/>
          <w:i/>
          <w:iCs/>
          <w:color w:val="000000" w:themeColor="text1"/>
          <w:kern w:val="36"/>
        </w:rPr>
        <w:t>(see Figure 01; 02 below for</w:t>
      </w:r>
      <w:r w:rsidR="006D78C8">
        <w:rPr>
          <w:rFonts w:ascii="Arial" w:hAnsi="Arial" w:cs="Arial"/>
          <w:i/>
          <w:iCs/>
          <w:color w:val="000000" w:themeColor="text1"/>
          <w:kern w:val="36"/>
        </w:rPr>
        <w:t xml:space="preserve"> further</w:t>
      </w:r>
      <w:r w:rsidRPr="00831C06">
        <w:rPr>
          <w:rFonts w:ascii="Arial" w:hAnsi="Arial" w:cs="Arial"/>
          <w:i/>
          <w:iCs/>
          <w:color w:val="000000" w:themeColor="text1"/>
          <w:kern w:val="36"/>
        </w:rPr>
        <w:t xml:space="preserve"> clarification).</w:t>
      </w:r>
      <w:r w:rsidRPr="00831C06">
        <w:rPr>
          <w:rFonts w:ascii="Arial" w:hAnsi="Arial" w:cs="Arial"/>
          <w:color w:val="000000" w:themeColor="text1"/>
          <w:kern w:val="36"/>
        </w:rPr>
        <w:t xml:space="preserve"> </w:t>
      </w:r>
    </w:p>
    <w:p w:rsidR="00D9640B" w:rsidRPr="00831C06" w:rsidRDefault="00D9640B" w:rsidP="00831C06">
      <w:pPr>
        <w:spacing w:line="480" w:lineRule="auto"/>
        <w:jc w:val="center"/>
        <w:rPr>
          <w:rFonts w:ascii="Arial" w:hAnsi="Arial" w:cs="Arial"/>
        </w:rPr>
      </w:pPr>
      <w:r w:rsidRPr="00831C06">
        <w:rPr>
          <w:rFonts w:ascii="Arial" w:hAnsi="Arial" w:cs="Arial"/>
          <w:noProof/>
        </w:rPr>
        <w:lastRenderedPageBreak/>
        <w:drawing>
          <wp:inline distT="0" distB="0" distL="0" distR="0">
            <wp:extent cx="5727700" cy="2921000"/>
            <wp:effectExtent l="0" t="0" r="0" b="0"/>
            <wp:docPr id="141" name="Picture 1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2921000"/>
                    </a:xfrm>
                    <a:prstGeom prst="rect">
                      <a:avLst/>
                    </a:prstGeom>
                  </pic:spPr>
                </pic:pic>
              </a:graphicData>
            </a:graphic>
          </wp:inline>
        </w:drawing>
      </w:r>
    </w:p>
    <w:p w:rsidR="00D9640B" w:rsidRPr="00831C06" w:rsidRDefault="00D9640B" w:rsidP="00831C06">
      <w:pPr>
        <w:spacing w:line="480" w:lineRule="auto"/>
        <w:jc w:val="center"/>
        <w:rPr>
          <w:rFonts w:ascii="Arial" w:hAnsi="Arial" w:cs="Arial"/>
        </w:rPr>
      </w:pPr>
      <w:r w:rsidRPr="00831C06">
        <w:rPr>
          <w:rFonts w:ascii="Arial" w:hAnsi="Arial" w:cs="Arial"/>
          <w:noProof/>
        </w:rPr>
        <w:drawing>
          <wp:inline distT="0" distB="0" distL="0" distR="0">
            <wp:extent cx="5727700" cy="3275965"/>
            <wp:effectExtent l="0" t="0" r="0" b="635"/>
            <wp:docPr id="142" name="Picture 1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3275965"/>
                    </a:xfrm>
                    <a:prstGeom prst="rect">
                      <a:avLst/>
                    </a:prstGeom>
                  </pic:spPr>
                </pic:pic>
              </a:graphicData>
            </a:graphic>
          </wp:inline>
        </w:drawing>
      </w:r>
    </w:p>
    <w:p w:rsidR="00D9640B" w:rsidRPr="00831C06" w:rsidRDefault="00D9640B" w:rsidP="00831C06">
      <w:pPr>
        <w:spacing w:line="480" w:lineRule="auto"/>
        <w:jc w:val="center"/>
        <w:rPr>
          <w:rFonts w:ascii="Arial" w:hAnsi="Arial" w:cs="Arial"/>
          <w:i/>
          <w:iCs/>
          <w:color w:val="000000" w:themeColor="text1"/>
          <w:kern w:val="36"/>
        </w:rPr>
      </w:pPr>
      <w:r w:rsidRPr="00831C06">
        <w:rPr>
          <w:rFonts w:ascii="Arial" w:hAnsi="Arial" w:cs="Arial"/>
          <w:i/>
          <w:iCs/>
        </w:rPr>
        <w:t xml:space="preserve">(Figure 01 &amp; Figure 02 – An illustration of the network of the international firm (regiocentric HR approach) &amp; the transnational firm (geocentric HR approach) – From: </w:t>
      </w:r>
      <w:r w:rsidR="00522F89">
        <w:rPr>
          <w:rFonts w:ascii="Arial" w:hAnsi="Arial" w:cs="Arial"/>
          <w:i/>
          <w:iCs/>
        </w:rPr>
        <w:t>‘</w:t>
      </w:r>
      <w:r w:rsidRPr="00831C06">
        <w:rPr>
          <w:rFonts w:ascii="Arial" w:hAnsi="Arial" w:cs="Arial"/>
          <w:i/>
          <w:iCs/>
        </w:rPr>
        <w:t xml:space="preserve">Chapter 4: International structure and strategy in </w:t>
      </w:r>
      <w:r w:rsidRPr="00831C06">
        <w:rPr>
          <w:rFonts w:ascii="Arial" w:hAnsi="Arial" w:cs="Arial"/>
          <w:i/>
          <w:iCs/>
          <w:color w:val="000000" w:themeColor="text1"/>
        </w:rPr>
        <w:t>‘</w:t>
      </w:r>
      <w:r w:rsidRPr="00831C06">
        <w:rPr>
          <w:rFonts w:ascii="Arial" w:hAnsi="Arial" w:cs="Arial"/>
          <w:i/>
          <w:iCs/>
          <w:color w:val="000000" w:themeColor="text1"/>
          <w:kern w:val="36"/>
        </w:rPr>
        <w:t>International human resource management: globalization, national systems and multinational companies</w:t>
      </w:r>
      <w:r w:rsidR="00522F89">
        <w:rPr>
          <w:rFonts w:ascii="Arial" w:hAnsi="Arial" w:cs="Arial"/>
          <w:i/>
          <w:iCs/>
          <w:color w:val="000000" w:themeColor="text1"/>
          <w:kern w:val="36"/>
        </w:rPr>
        <w:t>.</w:t>
      </w:r>
      <w:r w:rsidRPr="00831C06">
        <w:rPr>
          <w:rFonts w:ascii="Arial" w:hAnsi="Arial" w:cs="Arial"/>
          <w:i/>
          <w:iCs/>
          <w:color w:val="000000" w:themeColor="text1"/>
          <w:kern w:val="36"/>
        </w:rPr>
        <w:t>’ – Edward &amp; Rees, 2016 –</w:t>
      </w:r>
      <w:r w:rsidR="004D0A32">
        <w:rPr>
          <w:rFonts w:ascii="Arial" w:hAnsi="Arial" w:cs="Arial"/>
          <w:i/>
          <w:iCs/>
          <w:color w:val="000000" w:themeColor="text1"/>
          <w:kern w:val="36"/>
        </w:rPr>
        <w:t xml:space="preserve"> </w:t>
      </w:r>
      <w:r w:rsidR="004D0A32" w:rsidRPr="00831C06">
        <w:rPr>
          <w:rFonts w:ascii="Arial" w:hAnsi="Arial" w:cs="Arial"/>
          <w:i/>
          <w:iCs/>
        </w:rPr>
        <w:t>Figure 4.3</w:t>
      </w:r>
      <w:r w:rsidR="00B34ECA">
        <w:rPr>
          <w:rFonts w:ascii="Arial" w:hAnsi="Arial" w:cs="Arial"/>
          <w:i/>
          <w:iCs/>
        </w:rPr>
        <w:t>,</w:t>
      </w:r>
      <w:r w:rsidR="004D0A32" w:rsidRPr="00831C06">
        <w:rPr>
          <w:rFonts w:ascii="Arial" w:hAnsi="Arial" w:cs="Arial"/>
          <w:i/>
          <w:iCs/>
        </w:rPr>
        <w:t xml:space="preserve"> 4.4</w:t>
      </w:r>
      <w:r w:rsidR="00522F89">
        <w:rPr>
          <w:rFonts w:ascii="Arial" w:hAnsi="Arial" w:cs="Arial"/>
          <w:i/>
          <w:iCs/>
        </w:rPr>
        <w:t xml:space="preserve"> -</w:t>
      </w:r>
      <w:r w:rsidRPr="00831C06">
        <w:rPr>
          <w:rFonts w:ascii="Arial" w:hAnsi="Arial" w:cs="Arial"/>
          <w:i/>
          <w:iCs/>
          <w:color w:val="000000" w:themeColor="text1"/>
          <w:kern w:val="36"/>
        </w:rPr>
        <w:t xml:space="preserve"> p91, 92)</w:t>
      </w:r>
    </w:p>
    <w:p w:rsidR="00D9640B" w:rsidRPr="00831C06" w:rsidRDefault="00D9640B" w:rsidP="00831C06">
      <w:pPr>
        <w:spacing w:line="480" w:lineRule="auto"/>
        <w:jc w:val="center"/>
        <w:rPr>
          <w:rFonts w:ascii="Arial" w:hAnsi="Arial" w:cs="Arial"/>
          <w:i/>
          <w:iCs/>
          <w:color w:val="000000" w:themeColor="text1"/>
          <w:kern w:val="36"/>
        </w:rPr>
      </w:pPr>
    </w:p>
    <w:p w:rsidR="00D9640B" w:rsidRPr="00831C06" w:rsidRDefault="00D9640B" w:rsidP="00831C06">
      <w:pPr>
        <w:spacing w:line="480" w:lineRule="auto"/>
        <w:rPr>
          <w:rFonts w:ascii="Arial" w:hAnsi="Arial" w:cs="Arial"/>
        </w:rPr>
      </w:pPr>
      <w:r w:rsidRPr="00831C06">
        <w:rPr>
          <w:rFonts w:ascii="Arial" w:hAnsi="Arial" w:cs="Arial"/>
          <w:color w:val="000000" w:themeColor="text1"/>
          <w:kern w:val="36"/>
        </w:rPr>
        <w:lastRenderedPageBreak/>
        <w:t xml:space="preserve">In conclusion, </w:t>
      </w:r>
      <w:r w:rsidR="002E3122" w:rsidRPr="00831C06">
        <w:rPr>
          <w:rFonts w:ascii="Arial" w:hAnsi="Arial" w:cs="Arial"/>
          <w:color w:val="000000" w:themeColor="text1"/>
          <w:kern w:val="36"/>
        </w:rPr>
        <w:t xml:space="preserve">despite the tension between co-ordinated economy and liberal economy, it is suggested for Delaware North that the best solution to tailor its HRM policies to operate in liberal economy should be based on geocentric HR approach as it would facilitate the transfer &amp; penetrating process into the new market by focusing on finding the best fit for the special roles in the country that it is situated in, </w:t>
      </w:r>
      <w:r w:rsidR="00522F89">
        <w:rPr>
          <w:rFonts w:ascii="Arial" w:hAnsi="Arial" w:cs="Arial"/>
          <w:color w:val="000000" w:themeColor="text1"/>
          <w:kern w:val="36"/>
        </w:rPr>
        <w:t xml:space="preserve">while </w:t>
      </w:r>
      <w:r w:rsidR="002E3122" w:rsidRPr="00831C06">
        <w:rPr>
          <w:rFonts w:ascii="Arial" w:hAnsi="Arial" w:cs="Arial"/>
          <w:color w:val="000000" w:themeColor="text1"/>
          <w:kern w:val="36"/>
        </w:rPr>
        <w:t>still following the local factors/ differentiation and also solving the issues of global talent war, to attract the best talent at a best price.</w:t>
      </w:r>
    </w:p>
    <w:p w:rsidR="00F2066D" w:rsidRPr="00831C06" w:rsidRDefault="00F2066D" w:rsidP="00831C06">
      <w:pPr>
        <w:spacing w:line="480" w:lineRule="auto"/>
        <w:rPr>
          <w:rFonts w:ascii="Arial" w:hAnsi="Arial" w:cs="Arial"/>
          <w:color w:val="000000" w:themeColor="text1"/>
        </w:rPr>
      </w:pPr>
    </w:p>
    <w:p w:rsidR="004D3949" w:rsidRPr="00831C06" w:rsidRDefault="004D3949" w:rsidP="00831C06">
      <w:pPr>
        <w:spacing w:line="480" w:lineRule="auto"/>
        <w:rPr>
          <w:rFonts w:ascii="Arial" w:hAnsi="Arial" w:cs="Arial"/>
          <w:color w:val="000000" w:themeColor="text1"/>
        </w:rPr>
      </w:pPr>
    </w:p>
    <w:p w:rsidR="00936320" w:rsidRPr="00831C06" w:rsidRDefault="00936320" w:rsidP="00831C06">
      <w:pPr>
        <w:spacing w:line="480" w:lineRule="auto"/>
        <w:rPr>
          <w:rFonts w:ascii="Arial" w:hAnsi="Arial" w:cs="Arial"/>
          <w:color w:val="000000" w:themeColor="text1"/>
        </w:rPr>
      </w:pPr>
    </w:p>
    <w:p w:rsidR="00936320" w:rsidRPr="00831C06" w:rsidRDefault="00936320" w:rsidP="00831C06">
      <w:pPr>
        <w:spacing w:line="480" w:lineRule="auto"/>
        <w:rPr>
          <w:rFonts w:ascii="Arial" w:hAnsi="Arial" w:cs="Arial"/>
          <w:color w:val="000000" w:themeColor="text1"/>
        </w:rPr>
      </w:pPr>
    </w:p>
    <w:p w:rsidR="00936320" w:rsidRPr="00831C06" w:rsidRDefault="009363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936320" w:rsidRPr="00831C06" w:rsidRDefault="009363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6E2220" w:rsidRPr="00831C06" w:rsidRDefault="006E2220" w:rsidP="00831C06">
      <w:pPr>
        <w:spacing w:line="480" w:lineRule="auto"/>
        <w:rPr>
          <w:rFonts w:ascii="Arial" w:hAnsi="Arial" w:cs="Arial"/>
          <w:color w:val="000000" w:themeColor="text1"/>
        </w:rPr>
      </w:pPr>
    </w:p>
    <w:p w:rsidR="002E3122" w:rsidRPr="00831C06" w:rsidRDefault="002E3122" w:rsidP="00831C06">
      <w:pPr>
        <w:spacing w:line="480" w:lineRule="auto"/>
        <w:rPr>
          <w:rFonts w:ascii="Arial" w:hAnsi="Arial" w:cs="Arial"/>
          <w:color w:val="000000" w:themeColor="text1"/>
        </w:rPr>
      </w:pPr>
    </w:p>
    <w:p w:rsidR="00207991" w:rsidRDefault="00207991" w:rsidP="00831C06">
      <w:pPr>
        <w:pStyle w:val="Heading1"/>
        <w:numPr>
          <w:ilvl w:val="0"/>
          <w:numId w:val="2"/>
        </w:numPr>
        <w:spacing w:line="480" w:lineRule="auto"/>
        <w:jc w:val="center"/>
        <w:rPr>
          <w:rFonts w:ascii="Arial" w:hAnsi="Arial" w:cs="Arial"/>
          <w:b/>
          <w:bCs/>
          <w:color w:val="000000" w:themeColor="text1"/>
          <w:sz w:val="24"/>
          <w:szCs w:val="24"/>
        </w:rPr>
      </w:pPr>
      <w:bookmarkStart w:id="8" w:name="_Toc54136036"/>
      <w:r w:rsidRPr="00831C06">
        <w:rPr>
          <w:rFonts w:ascii="Arial" w:hAnsi="Arial" w:cs="Arial"/>
          <w:b/>
          <w:bCs/>
          <w:color w:val="000000" w:themeColor="text1"/>
          <w:sz w:val="24"/>
          <w:szCs w:val="24"/>
        </w:rPr>
        <w:lastRenderedPageBreak/>
        <w:t xml:space="preserve">A </w:t>
      </w:r>
      <w:r w:rsidR="00EC4F12" w:rsidRPr="00831C06">
        <w:rPr>
          <w:rFonts w:ascii="Arial" w:hAnsi="Arial" w:cs="Arial"/>
          <w:b/>
          <w:bCs/>
          <w:color w:val="000000" w:themeColor="text1"/>
          <w:sz w:val="24"/>
          <w:szCs w:val="24"/>
        </w:rPr>
        <w:t>20-minute</w:t>
      </w:r>
      <w:r w:rsidRPr="00831C06">
        <w:rPr>
          <w:rFonts w:ascii="Arial" w:hAnsi="Arial" w:cs="Arial"/>
          <w:b/>
          <w:bCs/>
          <w:color w:val="000000" w:themeColor="text1"/>
          <w:sz w:val="24"/>
          <w:szCs w:val="24"/>
        </w:rPr>
        <w:t xml:space="preserve"> </w:t>
      </w:r>
      <w:r w:rsidR="00F2066D" w:rsidRPr="00831C06">
        <w:rPr>
          <w:rFonts w:ascii="Arial" w:hAnsi="Arial" w:cs="Arial"/>
          <w:b/>
          <w:bCs/>
          <w:color w:val="000000" w:themeColor="text1"/>
          <w:sz w:val="24"/>
          <w:szCs w:val="24"/>
        </w:rPr>
        <w:t>presentation – ‘Gig economy’ and its impact on HR practice of Delaware North</w:t>
      </w:r>
      <w:r w:rsidR="00B34ECA">
        <w:rPr>
          <w:rFonts w:ascii="Arial" w:hAnsi="Arial" w:cs="Arial"/>
          <w:b/>
          <w:bCs/>
          <w:color w:val="000000" w:themeColor="text1"/>
          <w:sz w:val="24"/>
          <w:szCs w:val="24"/>
        </w:rPr>
        <w:t xml:space="preserve"> (Slideshow)</w:t>
      </w:r>
      <w:bookmarkEnd w:id="8"/>
    </w:p>
    <w:p w:rsidR="00B34ECA" w:rsidRPr="00B34ECA" w:rsidRDefault="00B34ECA" w:rsidP="00B34ECA">
      <w:r>
        <w:rPr>
          <w:noProof/>
        </w:rPr>
        <w:drawing>
          <wp:inline distT="0" distB="0" distL="0" distR="0">
            <wp:extent cx="5727700" cy="3221990"/>
            <wp:effectExtent l="0" t="0" r="0" b="3810"/>
            <wp:docPr id="3" name="Picture 3" descr="A picture containing sitting, food, sm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itting, food, small,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18" name="Picture 18"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application,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27" name="Picture 27"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erson holding a 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36" name="Picture 3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chat or text mess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38" name="Picture 3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49" name="Picture 4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Word&#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50" name="Picture 50" descr="A picture containing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application, 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53" name="Picture 5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54" name="Picture 5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 let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55" name="Picture 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email&#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56" name="Picture 5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57" name="Picture 5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graphical user interfac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drawing>
          <wp:inline distT="0" distB="0" distL="0" distR="0">
            <wp:extent cx="5727700" cy="3221990"/>
            <wp:effectExtent l="0" t="0" r="0" b="3810"/>
            <wp:docPr id="59" name="Picture 5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 applicatio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Pr>
          <w:noProof/>
        </w:rPr>
        <w:lastRenderedPageBreak/>
        <w:drawing>
          <wp:inline distT="0" distB="0" distL="0" distR="0">
            <wp:extent cx="5727700" cy="3221990"/>
            <wp:effectExtent l="0" t="0" r="0" b="3810"/>
            <wp:docPr id="60" name="Picture 6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 let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F2066D" w:rsidRPr="00831C06" w:rsidRDefault="00F2066D" w:rsidP="00831C06">
      <w:pPr>
        <w:spacing w:line="480" w:lineRule="auto"/>
        <w:rPr>
          <w:rFonts w:ascii="Arial" w:hAnsi="Arial" w:cs="Arial"/>
          <w:color w:val="000000" w:themeColor="text1"/>
          <w:lang w:eastAsia="en-US"/>
        </w:rPr>
      </w:pPr>
    </w:p>
    <w:p w:rsidR="00A70C1F" w:rsidRDefault="00207991" w:rsidP="00831C06">
      <w:pPr>
        <w:pStyle w:val="Heading1"/>
        <w:numPr>
          <w:ilvl w:val="0"/>
          <w:numId w:val="2"/>
        </w:numPr>
        <w:spacing w:line="480" w:lineRule="auto"/>
        <w:jc w:val="center"/>
        <w:rPr>
          <w:rFonts w:ascii="Arial" w:hAnsi="Arial" w:cs="Arial"/>
          <w:b/>
          <w:bCs/>
          <w:color w:val="000000" w:themeColor="text1"/>
          <w:sz w:val="24"/>
          <w:szCs w:val="24"/>
        </w:rPr>
      </w:pPr>
      <w:bookmarkStart w:id="9" w:name="_Toc54136037"/>
      <w:r w:rsidRPr="00831C06">
        <w:rPr>
          <w:rFonts w:ascii="Arial" w:hAnsi="Arial" w:cs="Arial"/>
          <w:b/>
          <w:bCs/>
          <w:color w:val="000000" w:themeColor="text1"/>
          <w:sz w:val="24"/>
          <w:szCs w:val="24"/>
        </w:rPr>
        <w:lastRenderedPageBreak/>
        <w:t xml:space="preserve">A </w:t>
      </w:r>
      <w:r w:rsidR="00F2066D" w:rsidRPr="00831C06">
        <w:rPr>
          <w:rFonts w:ascii="Arial" w:hAnsi="Arial" w:cs="Arial"/>
          <w:b/>
          <w:bCs/>
          <w:color w:val="000000" w:themeColor="text1"/>
          <w:sz w:val="24"/>
          <w:szCs w:val="24"/>
        </w:rPr>
        <w:t>critical analysis of Atkinson’s Flexible Firm Model</w:t>
      </w:r>
      <w:bookmarkEnd w:id="9"/>
    </w:p>
    <w:p w:rsidR="0006180F" w:rsidRPr="00522F89" w:rsidRDefault="0006180F" w:rsidP="00522F89">
      <w:pPr>
        <w:spacing w:line="480" w:lineRule="auto"/>
        <w:rPr>
          <w:rFonts w:ascii="Arial" w:hAnsi="Arial" w:cs="Arial"/>
          <w:b/>
          <w:bCs/>
        </w:rPr>
      </w:pPr>
      <w:r w:rsidRPr="00522F89">
        <w:rPr>
          <w:rFonts w:ascii="Arial" w:hAnsi="Arial" w:cs="Arial"/>
          <w:b/>
          <w:bCs/>
        </w:rPr>
        <w:t>Open economy</w:t>
      </w:r>
    </w:p>
    <w:p w:rsidR="00336C51" w:rsidRPr="00522F89" w:rsidRDefault="0006180F" w:rsidP="00522F89">
      <w:pPr>
        <w:spacing w:line="480" w:lineRule="auto"/>
        <w:rPr>
          <w:rFonts w:ascii="Arial" w:hAnsi="Arial" w:cs="Arial"/>
        </w:rPr>
      </w:pPr>
      <w:r w:rsidRPr="00522F89">
        <w:rPr>
          <w:rFonts w:ascii="Arial" w:hAnsi="Arial" w:cs="Arial"/>
        </w:rPr>
        <w:t xml:space="preserve">To begin with, open economy could be defined as the increasing opened movement of trade, market, and all kind of exchange between the countries in the world </w:t>
      </w:r>
      <w:r w:rsidR="00522F89" w:rsidRPr="00522F89">
        <w:rPr>
          <w:rFonts w:ascii="Arial" w:hAnsi="Arial" w:cs="Arial"/>
        </w:rPr>
        <w:t xml:space="preserve">- </w:t>
      </w:r>
      <w:r w:rsidRPr="00522F89">
        <w:rPr>
          <w:rFonts w:ascii="Arial" w:hAnsi="Arial" w:cs="Arial"/>
        </w:rPr>
        <w:t>creating promising benefits and opportunities to workers, consumers and firms globally (OECD, 2020) and paves the way to the open talent economy with the open and global workforce (Deloitte, 2013;</w:t>
      </w:r>
      <w:r w:rsidR="00110AE8" w:rsidRPr="00522F89">
        <w:rPr>
          <w:rFonts w:ascii="Arial" w:hAnsi="Arial" w:cs="Arial"/>
        </w:rPr>
        <w:t xml:space="preserve"> Samy</w:t>
      </w:r>
      <w:r w:rsidRPr="00522F89">
        <w:rPr>
          <w:rFonts w:ascii="Arial" w:hAnsi="Arial" w:cs="Arial"/>
        </w:rPr>
        <w:t xml:space="preserve">, 2015). Nevertheless, globalisation is one of the main drivers leading the world to the era of open economy alongside with the causes of development of technology and mobility (Deloitte, 2013). </w:t>
      </w:r>
    </w:p>
    <w:p w:rsidR="00336C51" w:rsidRPr="00522F89" w:rsidRDefault="00336C51" w:rsidP="00522F89">
      <w:pPr>
        <w:spacing w:line="480" w:lineRule="auto"/>
        <w:rPr>
          <w:rFonts w:ascii="Arial" w:hAnsi="Arial" w:cs="Arial"/>
        </w:rPr>
      </w:pPr>
    </w:p>
    <w:p w:rsidR="00D928F8" w:rsidRPr="00522F89" w:rsidRDefault="0006180F" w:rsidP="00522F89">
      <w:pPr>
        <w:spacing w:line="480" w:lineRule="auto"/>
        <w:rPr>
          <w:rFonts w:ascii="Arial" w:hAnsi="Arial" w:cs="Arial"/>
        </w:rPr>
      </w:pPr>
      <w:r w:rsidRPr="00522F89">
        <w:rPr>
          <w:rFonts w:ascii="Arial" w:hAnsi="Arial" w:cs="Arial"/>
        </w:rPr>
        <w:t xml:space="preserve">However, besides all sorts of advantages, Dicken (2011) addressed the concern that the increasing and broad trends of global shifts with the complicated interconnectedness between all the units in the global network map (while each of the unit – each country has different capacity for trade and current account surpluses) would therefore result in the dramatic instability, volatility, and structural imbalances in the global economy (p18-24). </w:t>
      </w:r>
      <w:r w:rsidR="00336C51" w:rsidRPr="00522F89">
        <w:rPr>
          <w:rFonts w:ascii="Arial" w:hAnsi="Arial" w:cs="Arial"/>
        </w:rPr>
        <w:t>Therefore, Atkinson’s flexible firm model formulated in 1984 might be one of the ideal solutions for any organisation to establish the ideal human resources strategic plan aiming at flexibility</w:t>
      </w:r>
      <w:r w:rsidR="00522F89" w:rsidRPr="00522F89">
        <w:rPr>
          <w:rFonts w:ascii="Arial" w:hAnsi="Arial" w:cs="Arial"/>
        </w:rPr>
        <w:t>.</w:t>
      </w:r>
      <w:r w:rsidR="00336C51" w:rsidRPr="00522F89">
        <w:rPr>
          <w:rFonts w:ascii="Arial" w:hAnsi="Arial" w:cs="Arial"/>
        </w:rPr>
        <w:t xml:space="preserve"> </w:t>
      </w:r>
    </w:p>
    <w:p w:rsidR="00D928F8" w:rsidRPr="00522F89" w:rsidRDefault="00D928F8" w:rsidP="00522F89">
      <w:pPr>
        <w:spacing w:line="480" w:lineRule="auto"/>
        <w:rPr>
          <w:rFonts w:ascii="Arial" w:hAnsi="Arial" w:cs="Arial"/>
        </w:rPr>
      </w:pPr>
    </w:p>
    <w:p w:rsidR="00226C12" w:rsidRDefault="00226C12" w:rsidP="00D4040A">
      <w:pPr>
        <w:spacing w:line="480" w:lineRule="auto"/>
      </w:pPr>
    </w:p>
    <w:p w:rsidR="00226C12" w:rsidRDefault="00226C12" w:rsidP="00D4040A">
      <w:pPr>
        <w:spacing w:line="480" w:lineRule="auto"/>
      </w:pPr>
    </w:p>
    <w:p w:rsidR="00226C12" w:rsidRDefault="00226C12" w:rsidP="00D4040A">
      <w:pPr>
        <w:spacing w:line="480" w:lineRule="auto"/>
      </w:pPr>
    </w:p>
    <w:p w:rsidR="00226C12" w:rsidRDefault="00226C12" w:rsidP="00D4040A">
      <w:pPr>
        <w:spacing w:line="480" w:lineRule="auto"/>
      </w:pPr>
    </w:p>
    <w:p w:rsidR="00226C12" w:rsidRDefault="00226C12" w:rsidP="00D4040A">
      <w:pPr>
        <w:spacing w:line="480" w:lineRule="auto"/>
      </w:pPr>
    </w:p>
    <w:p w:rsidR="00226C12" w:rsidRDefault="00226C12" w:rsidP="00D4040A">
      <w:pPr>
        <w:spacing w:line="480" w:lineRule="auto"/>
      </w:pPr>
    </w:p>
    <w:p w:rsidR="0006180F" w:rsidRPr="00522F89" w:rsidRDefault="0006180F" w:rsidP="00D4040A">
      <w:pPr>
        <w:spacing w:line="480" w:lineRule="auto"/>
        <w:rPr>
          <w:rFonts w:ascii="Arial" w:hAnsi="Arial" w:cs="Arial"/>
          <w:b/>
          <w:bCs/>
        </w:rPr>
      </w:pPr>
      <w:r w:rsidRPr="00522F89">
        <w:rPr>
          <w:rFonts w:ascii="Arial" w:hAnsi="Arial" w:cs="Arial"/>
          <w:b/>
          <w:bCs/>
        </w:rPr>
        <w:lastRenderedPageBreak/>
        <w:t>Critical analysis of Atkinson’s flexible firm model and the link between open economy and Atkinson’s flexible firm model</w:t>
      </w:r>
    </w:p>
    <w:p w:rsidR="0006180F" w:rsidRDefault="0006180F" w:rsidP="00D4040A">
      <w:pPr>
        <w:spacing w:line="480" w:lineRule="auto"/>
        <w:rPr>
          <w:b/>
          <w:bCs/>
        </w:rPr>
      </w:pPr>
    </w:p>
    <w:p w:rsidR="0006180F" w:rsidRDefault="0006180F" w:rsidP="00D928F8">
      <w:pPr>
        <w:jc w:val="center"/>
        <w:rPr>
          <w:b/>
          <w:bCs/>
        </w:rPr>
      </w:pPr>
      <w:r>
        <w:rPr>
          <w:b/>
          <w:bCs/>
          <w:noProof/>
        </w:rPr>
        <w:drawing>
          <wp:inline distT="0" distB="0" distL="0" distR="0">
            <wp:extent cx="4888865" cy="4242329"/>
            <wp:effectExtent l="0" t="0" r="635" b="0"/>
            <wp:docPr id="2" name="Picture 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895468" cy="4248059"/>
                    </a:xfrm>
                    <a:prstGeom prst="rect">
                      <a:avLst/>
                    </a:prstGeom>
                  </pic:spPr>
                </pic:pic>
              </a:graphicData>
            </a:graphic>
          </wp:inline>
        </w:drawing>
      </w:r>
    </w:p>
    <w:p w:rsidR="00510714" w:rsidRDefault="00510714" w:rsidP="00510714">
      <w:pPr>
        <w:jc w:val="center"/>
        <w:rPr>
          <w:i/>
          <w:iCs/>
        </w:rPr>
      </w:pPr>
      <w:r w:rsidRPr="00510714">
        <w:rPr>
          <w:i/>
          <w:iCs/>
        </w:rPr>
        <w:t>(Figure 01 – Atkinson, 1984)</w:t>
      </w:r>
    </w:p>
    <w:p w:rsidR="00C04479" w:rsidRPr="00510714" w:rsidRDefault="00C04479" w:rsidP="00510714">
      <w:pPr>
        <w:jc w:val="center"/>
        <w:rPr>
          <w:i/>
          <w:iCs/>
        </w:rPr>
      </w:pPr>
    </w:p>
    <w:p w:rsidR="0006180F" w:rsidRDefault="0006180F" w:rsidP="0006180F"/>
    <w:p w:rsidR="0063601E" w:rsidRPr="00522F89" w:rsidRDefault="00510714" w:rsidP="00D4040A">
      <w:pPr>
        <w:spacing w:line="480" w:lineRule="auto"/>
        <w:rPr>
          <w:rFonts w:ascii="Arial" w:hAnsi="Arial" w:cs="Arial"/>
        </w:rPr>
      </w:pPr>
      <w:r w:rsidRPr="00522F89">
        <w:rPr>
          <w:rFonts w:ascii="Arial" w:hAnsi="Arial" w:cs="Arial"/>
        </w:rPr>
        <w:t xml:space="preserve">In an attempt to cope with all the problems stemming from the era of open economy mentioned above, Atkinson’s flexible firm model aims to a vital implementation of flexible workforce based on the classification of the workers working for organisation in 2 primary groups as presented in Figure 01as: Core group and peripheral group and the identification of the 3 different types of flexibility as: functional flexibility, numerical flexibility and financial flexibility (Atkinson, 1984). </w:t>
      </w:r>
    </w:p>
    <w:p w:rsidR="00510714" w:rsidRPr="00522F89" w:rsidRDefault="00510714" w:rsidP="00D4040A">
      <w:pPr>
        <w:spacing w:line="480" w:lineRule="auto"/>
        <w:rPr>
          <w:rFonts w:ascii="Arial" w:hAnsi="Arial" w:cs="Arial"/>
        </w:rPr>
      </w:pPr>
    </w:p>
    <w:p w:rsidR="00D4040A" w:rsidRPr="00522F89" w:rsidRDefault="00510714" w:rsidP="00D4040A">
      <w:pPr>
        <w:spacing w:line="480" w:lineRule="auto"/>
        <w:rPr>
          <w:rFonts w:ascii="Arial" w:hAnsi="Arial" w:cs="Arial"/>
        </w:rPr>
      </w:pPr>
      <w:r w:rsidRPr="00522F89">
        <w:rPr>
          <w:rFonts w:ascii="Arial" w:hAnsi="Arial" w:cs="Arial"/>
        </w:rPr>
        <w:t>To what extent, kind</w:t>
      </w:r>
      <w:r w:rsidR="00522F89" w:rsidRPr="00522F89">
        <w:rPr>
          <w:rFonts w:ascii="Arial" w:hAnsi="Arial" w:cs="Arial"/>
        </w:rPr>
        <w:t xml:space="preserve">s </w:t>
      </w:r>
      <w:r w:rsidRPr="00522F89">
        <w:rPr>
          <w:rFonts w:ascii="Arial" w:hAnsi="Arial" w:cs="Arial"/>
        </w:rPr>
        <w:t>of workers classified in each group would be illustrated in Table 01 below with detailed clarification</w:t>
      </w:r>
      <w:r w:rsidR="00522F89">
        <w:rPr>
          <w:rFonts w:ascii="Arial" w:hAnsi="Arial" w:cs="Arial"/>
        </w:rPr>
        <w:t>.</w:t>
      </w:r>
    </w:p>
    <w:p w:rsidR="00510714" w:rsidRDefault="00510714" w:rsidP="00510714"/>
    <w:tbl>
      <w:tblPr>
        <w:tblStyle w:val="TableGrid"/>
        <w:tblW w:w="0" w:type="auto"/>
        <w:tblLook w:val="04A0" w:firstRow="1" w:lastRow="0" w:firstColumn="1" w:lastColumn="0" w:noHBand="0" w:noVBand="1"/>
      </w:tblPr>
      <w:tblGrid>
        <w:gridCol w:w="603"/>
        <w:gridCol w:w="1812"/>
        <w:gridCol w:w="3394"/>
        <w:gridCol w:w="3201"/>
      </w:tblGrid>
      <w:tr w:rsidR="00510714" w:rsidRPr="00367A82" w:rsidTr="00510714">
        <w:tc>
          <w:tcPr>
            <w:tcW w:w="570" w:type="dxa"/>
          </w:tcPr>
          <w:p w:rsidR="00510714" w:rsidRPr="00367A82" w:rsidRDefault="00510714" w:rsidP="00367A82">
            <w:pPr>
              <w:spacing w:line="480" w:lineRule="auto"/>
              <w:rPr>
                <w:rFonts w:ascii="Arial" w:hAnsi="Arial" w:cs="Arial"/>
                <w:b/>
                <w:bCs/>
              </w:rPr>
            </w:pPr>
            <w:r w:rsidRPr="00367A82">
              <w:rPr>
                <w:rFonts w:ascii="Arial" w:hAnsi="Arial" w:cs="Arial"/>
                <w:b/>
                <w:bCs/>
              </w:rPr>
              <w:t xml:space="preserve">No. </w:t>
            </w:r>
          </w:p>
        </w:tc>
        <w:tc>
          <w:tcPr>
            <w:tcW w:w="1816" w:type="dxa"/>
          </w:tcPr>
          <w:p w:rsidR="00510714" w:rsidRPr="00367A82" w:rsidRDefault="00510714" w:rsidP="00367A82">
            <w:pPr>
              <w:spacing w:line="480" w:lineRule="auto"/>
              <w:rPr>
                <w:rFonts w:ascii="Arial" w:hAnsi="Arial" w:cs="Arial"/>
                <w:b/>
                <w:bCs/>
              </w:rPr>
            </w:pPr>
            <w:r w:rsidRPr="00367A82">
              <w:rPr>
                <w:rFonts w:ascii="Arial" w:hAnsi="Arial" w:cs="Arial"/>
                <w:b/>
                <w:bCs/>
              </w:rPr>
              <w:t>Types of group</w:t>
            </w:r>
          </w:p>
        </w:tc>
        <w:tc>
          <w:tcPr>
            <w:tcW w:w="3408" w:type="dxa"/>
          </w:tcPr>
          <w:p w:rsidR="00510714" w:rsidRPr="00367A82" w:rsidRDefault="00510714" w:rsidP="00367A82">
            <w:pPr>
              <w:spacing w:line="480" w:lineRule="auto"/>
              <w:rPr>
                <w:rFonts w:ascii="Arial" w:hAnsi="Arial" w:cs="Arial"/>
                <w:b/>
                <w:bCs/>
              </w:rPr>
            </w:pPr>
            <w:r w:rsidRPr="00367A82">
              <w:rPr>
                <w:rFonts w:ascii="Arial" w:hAnsi="Arial" w:cs="Arial"/>
                <w:b/>
                <w:bCs/>
              </w:rPr>
              <w:t>Types of worker involved in each group</w:t>
            </w:r>
          </w:p>
        </w:tc>
        <w:tc>
          <w:tcPr>
            <w:tcW w:w="3216" w:type="dxa"/>
          </w:tcPr>
          <w:p w:rsidR="00510714" w:rsidRPr="00367A82" w:rsidRDefault="00510714" w:rsidP="00367A82">
            <w:pPr>
              <w:spacing w:line="480" w:lineRule="auto"/>
              <w:rPr>
                <w:rFonts w:ascii="Arial" w:hAnsi="Arial" w:cs="Arial"/>
                <w:b/>
                <w:bCs/>
              </w:rPr>
            </w:pPr>
            <w:r w:rsidRPr="00367A82">
              <w:rPr>
                <w:rFonts w:ascii="Arial" w:hAnsi="Arial" w:cs="Arial"/>
                <w:b/>
                <w:bCs/>
              </w:rPr>
              <w:t>Specific features of the types of worker</w:t>
            </w:r>
          </w:p>
        </w:tc>
      </w:tr>
      <w:tr w:rsidR="00510714" w:rsidRPr="00367A82" w:rsidTr="00510714">
        <w:tc>
          <w:tcPr>
            <w:tcW w:w="570" w:type="dxa"/>
          </w:tcPr>
          <w:p w:rsidR="00510714" w:rsidRPr="00367A82" w:rsidRDefault="00510714" w:rsidP="00367A82">
            <w:pPr>
              <w:spacing w:line="480" w:lineRule="auto"/>
              <w:rPr>
                <w:rFonts w:ascii="Arial" w:hAnsi="Arial" w:cs="Arial"/>
                <w:b/>
                <w:bCs/>
              </w:rPr>
            </w:pPr>
            <w:r w:rsidRPr="00367A82">
              <w:rPr>
                <w:rFonts w:ascii="Arial" w:hAnsi="Arial" w:cs="Arial"/>
                <w:b/>
                <w:bCs/>
              </w:rPr>
              <w:t>1</w:t>
            </w:r>
          </w:p>
        </w:tc>
        <w:tc>
          <w:tcPr>
            <w:tcW w:w="1816" w:type="dxa"/>
          </w:tcPr>
          <w:p w:rsidR="00510714" w:rsidRPr="00367A82" w:rsidRDefault="00510714" w:rsidP="00367A82">
            <w:pPr>
              <w:spacing w:line="480" w:lineRule="auto"/>
              <w:rPr>
                <w:rFonts w:ascii="Arial" w:hAnsi="Arial" w:cs="Arial"/>
                <w:b/>
                <w:bCs/>
              </w:rPr>
            </w:pPr>
            <w:r w:rsidRPr="00367A82">
              <w:rPr>
                <w:rFonts w:ascii="Arial" w:hAnsi="Arial" w:cs="Arial"/>
                <w:b/>
                <w:bCs/>
              </w:rPr>
              <w:t>Core group</w:t>
            </w:r>
          </w:p>
        </w:tc>
        <w:tc>
          <w:tcPr>
            <w:tcW w:w="3408" w:type="dxa"/>
          </w:tcPr>
          <w:p w:rsidR="00510714" w:rsidRPr="00367A82" w:rsidRDefault="00510714" w:rsidP="00367A82">
            <w:pPr>
              <w:spacing w:line="480" w:lineRule="auto"/>
              <w:rPr>
                <w:rFonts w:ascii="Arial" w:hAnsi="Arial" w:cs="Arial"/>
              </w:rPr>
            </w:pPr>
            <w:r w:rsidRPr="00367A82">
              <w:rPr>
                <w:rFonts w:ascii="Arial" w:hAnsi="Arial" w:cs="Arial"/>
              </w:rPr>
              <w:t>Workers classified in the core group are those who work at the firm full time and permanent with high level of knowledge, skills &amp; experience (Atkinson, 1984).</w:t>
            </w:r>
          </w:p>
        </w:tc>
        <w:tc>
          <w:tcPr>
            <w:tcW w:w="3216" w:type="dxa"/>
          </w:tcPr>
          <w:p w:rsidR="00510714" w:rsidRPr="00367A82" w:rsidRDefault="00510714" w:rsidP="00367A82">
            <w:pPr>
              <w:spacing w:line="480" w:lineRule="auto"/>
              <w:rPr>
                <w:rFonts w:ascii="Arial" w:hAnsi="Arial" w:cs="Arial"/>
              </w:rPr>
            </w:pPr>
            <w:r w:rsidRPr="00367A82">
              <w:rPr>
                <w:rFonts w:ascii="Arial" w:hAnsi="Arial" w:cs="Arial"/>
              </w:rPr>
              <w:t>+ These workers tend to hold the significant roles in organisation with high functional flexibility expectation and purpose in responsibility &amp; ability.</w:t>
            </w:r>
          </w:p>
          <w:p w:rsidR="00510714" w:rsidRPr="00367A82" w:rsidRDefault="00510714" w:rsidP="00367A82">
            <w:pPr>
              <w:spacing w:line="480" w:lineRule="auto"/>
              <w:rPr>
                <w:rFonts w:ascii="Arial" w:hAnsi="Arial" w:cs="Arial"/>
              </w:rPr>
            </w:pPr>
          </w:p>
          <w:p w:rsidR="00510714" w:rsidRPr="00367A82" w:rsidRDefault="00510714" w:rsidP="00367A82">
            <w:pPr>
              <w:spacing w:line="480" w:lineRule="auto"/>
              <w:rPr>
                <w:rFonts w:ascii="Arial" w:hAnsi="Arial" w:cs="Arial"/>
              </w:rPr>
            </w:pPr>
            <w:r w:rsidRPr="00367A82">
              <w:rPr>
                <w:rFonts w:ascii="Arial" w:hAnsi="Arial" w:cs="Arial"/>
              </w:rPr>
              <w:t>+ Their employment security can also be considered as at none or minimum of risk.</w:t>
            </w:r>
          </w:p>
          <w:p w:rsidR="00510714" w:rsidRPr="00367A82" w:rsidRDefault="00510714" w:rsidP="00367A82">
            <w:pPr>
              <w:spacing w:line="480" w:lineRule="auto"/>
              <w:rPr>
                <w:rFonts w:ascii="Arial" w:hAnsi="Arial" w:cs="Arial"/>
              </w:rPr>
            </w:pPr>
            <w:r w:rsidRPr="00367A82">
              <w:rPr>
                <w:rFonts w:ascii="Arial" w:hAnsi="Arial" w:cs="Arial"/>
              </w:rPr>
              <w:t xml:space="preserve"> </w:t>
            </w:r>
          </w:p>
          <w:p w:rsidR="00510714" w:rsidRPr="00367A82" w:rsidRDefault="00510714" w:rsidP="00367A82">
            <w:pPr>
              <w:spacing w:line="480" w:lineRule="auto"/>
              <w:rPr>
                <w:rFonts w:ascii="Arial" w:hAnsi="Arial" w:cs="Arial"/>
              </w:rPr>
            </w:pPr>
            <w:r w:rsidRPr="00367A82">
              <w:rPr>
                <w:rFonts w:ascii="Arial" w:hAnsi="Arial" w:cs="Arial"/>
              </w:rPr>
              <w:t>(Atkinson, 1984)</w:t>
            </w:r>
          </w:p>
        </w:tc>
      </w:tr>
      <w:tr w:rsidR="00510714" w:rsidRPr="00367A82" w:rsidTr="00510714">
        <w:tc>
          <w:tcPr>
            <w:tcW w:w="570" w:type="dxa"/>
            <w:vMerge w:val="restart"/>
          </w:tcPr>
          <w:p w:rsidR="00510714" w:rsidRPr="00367A82" w:rsidRDefault="00510714" w:rsidP="00367A82">
            <w:pPr>
              <w:spacing w:line="480" w:lineRule="auto"/>
              <w:rPr>
                <w:rFonts w:ascii="Arial" w:hAnsi="Arial" w:cs="Arial"/>
                <w:b/>
                <w:bCs/>
              </w:rPr>
            </w:pPr>
            <w:r w:rsidRPr="00367A82">
              <w:rPr>
                <w:rFonts w:ascii="Arial" w:hAnsi="Arial" w:cs="Arial"/>
                <w:b/>
                <w:bCs/>
              </w:rPr>
              <w:t>2</w:t>
            </w:r>
          </w:p>
        </w:tc>
        <w:tc>
          <w:tcPr>
            <w:tcW w:w="1816" w:type="dxa"/>
            <w:vMerge w:val="restart"/>
          </w:tcPr>
          <w:p w:rsidR="00510714" w:rsidRPr="00367A82" w:rsidRDefault="00510714" w:rsidP="00367A82">
            <w:pPr>
              <w:spacing w:line="480" w:lineRule="auto"/>
              <w:rPr>
                <w:rFonts w:ascii="Arial" w:hAnsi="Arial" w:cs="Arial"/>
                <w:b/>
                <w:bCs/>
              </w:rPr>
            </w:pPr>
            <w:r w:rsidRPr="00367A82">
              <w:rPr>
                <w:rFonts w:ascii="Arial" w:hAnsi="Arial" w:cs="Arial"/>
                <w:b/>
                <w:bCs/>
              </w:rPr>
              <w:t>Peripheral group</w:t>
            </w:r>
          </w:p>
        </w:tc>
        <w:tc>
          <w:tcPr>
            <w:tcW w:w="3408" w:type="dxa"/>
          </w:tcPr>
          <w:p w:rsidR="00510714" w:rsidRPr="00367A82" w:rsidRDefault="00510714" w:rsidP="00367A82">
            <w:pPr>
              <w:spacing w:line="480" w:lineRule="auto"/>
              <w:rPr>
                <w:rFonts w:ascii="Arial" w:hAnsi="Arial" w:cs="Arial"/>
              </w:rPr>
            </w:pPr>
            <w:r w:rsidRPr="00367A82">
              <w:rPr>
                <w:rFonts w:ascii="Arial" w:hAnsi="Arial" w:cs="Arial"/>
              </w:rPr>
              <w:t>First peripheral group: the workers can also be full-time employees, but frequently they are part-time workers with less important roles which do not require too high sets of cognitive skills such as: Supervisor or clerk (Atkinson, 1984).</w:t>
            </w:r>
          </w:p>
        </w:tc>
        <w:tc>
          <w:tcPr>
            <w:tcW w:w="3216" w:type="dxa"/>
            <w:vMerge w:val="restart"/>
          </w:tcPr>
          <w:p w:rsidR="00510714" w:rsidRPr="00367A82" w:rsidRDefault="00510714" w:rsidP="00367A82">
            <w:pPr>
              <w:spacing w:line="480" w:lineRule="auto"/>
              <w:rPr>
                <w:rFonts w:ascii="Arial" w:hAnsi="Arial" w:cs="Arial"/>
              </w:rPr>
            </w:pPr>
            <w:r w:rsidRPr="00367A82">
              <w:rPr>
                <w:rFonts w:ascii="Arial" w:hAnsi="Arial" w:cs="Arial"/>
              </w:rPr>
              <w:t>+ Workers in this second group normally hold less level of skills, experience</w:t>
            </w:r>
          </w:p>
          <w:p w:rsidR="00510714" w:rsidRPr="00367A82" w:rsidRDefault="00510714" w:rsidP="00367A82">
            <w:pPr>
              <w:spacing w:line="480" w:lineRule="auto"/>
              <w:rPr>
                <w:rFonts w:ascii="Arial" w:hAnsi="Arial" w:cs="Arial"/>
              </w:rPr>
            </w:pPr>
          </w:p>
          <w:p w:rsidR="00510714" w:rsidRPr="00367A82" w:rsidRDefault="00510714" w:rsidP="00367A82">
            <w:pPr>
              <w:spacing w:line="480" w:lineRule="auto"/>
              <w:rPr>
                <w:rFonts w:ascii="Arial" w:hAnsi="Arial" w:cs="Arial"/>
              </w:rPr>
            </w:pPr>
            <w:r w:rsidRPr="00367A82">
              <w:rPr>
                <w:rFonts w:ascii="Arial" w:hAnsi="Arial" w:cs="Arial"/>
              </w:rPr>
              <w:t xml:space="preserve">+ </w:t>
            </w:r>
            <w:r w:rsidR="00387B88" w:rsidRPr="00367A82">
              <w:rPr>
                <w:rFonts w:ascii="Arial" w:hAnsi="Arial" w:cs="Arial"/>
              </w:rPr>
              <w:t>Generally,</w:t>
            </w:r>
            <w:r w:rsidRPr="00367A82">
              <w:rPr>
                <w:rFonts w:ascii="Arial" w:hAnsi="Arial" w:cs="Arial"/>
              </w:rPr>
              <w:t xml:space="preserve"> they also have less level of job security in return</w:t>
            </w:r>
          </w:p>
          <w:p w:rsidR="00510714" w:rsidRPr="00367A82" w:rsidRDefault="00510714" w:rsidP="00367A82">
            <w:pPr>
              <w:spacing w:line="480" w:lineRule="auto"/>
              <w:rPr>
                <w:rFonts w:ascii="Arial" w:hAnsi="Arial" w:cs="Arial"/>
              </w:rPr>
            </w:pPr>
          </w:p>
          <w:p w:rsidR="00510714" w:rsidRPr="00367A82" w:rsidRDefault="00510714" w:rsidP="00367A82">
            <w:pPr>
              <w:spacing w:line="480" w:lineRule="auto"/>
              <w:rPr>
                <w:rFonts w:ascii="Arial" w:hAnsi="Arial" w:cs="Arial"/>
              </w:rPr>
            </w:pPr>
            <w:r w:rsidRPr="00367A82">
              <w:rPr>
                <w:rFonts w:ascii="Arial" w:hAnsi="Arial" w:cs="Arial"/>
              </w:rPr>
              <w:t>(Atkinson, 1984)</w:t>
            </w:r>
          </w:p>
        </w:tc>
      </w:tr>
      <w:tr w:rsidR="00510714" w:rsidRPr="00367A82" w:rsidTr="00510714">
        <w:trPr>
          <w:trHeight w:val="1275"/>
        </w:trPr>
        <w:tc>
          <w:tcPr>
            <w:tcW w:w="570" w:type="dxa"/>
            <w:vMerge/>
          </w:tcPr>
          <w:p w:rsidR="00510714" w:rsidRPr="00367A82" w:rsidRDefault="00510714" w:rsidP="00367A82">
            <w:pPr>
              <w:spacing w:line="480" w:lineRule="auto"/>
              <w:rPr>
                <w:rFonts w:ascii="Arial" w:hAnsi="Arial" w:cs="Arial"/>
              </w:rPr>
            </w:pPr>
          </w:p>
        </w:tc>
        <w:tc>
          <w:tcPr>
            <w:tcW w:w="1816" w:type="dxa"/>
            <w:vMerge/>
          </w:tcPr>
          <w:p w:rsidR="00510714" w:rsidRPr="00367A82" w:rsidRDefault="00510714" w:rsidP="00367A82">
            <w:pPr>
              <w:spacing w:line="480" w:lineRule="auto"/>
              <w:rPr>
                <w:rFonts w:ascii="Arial" w:hAnsi="Arial" w:cs="Arial"/>
              </w:rPr>
            </w:pPr>
          </w:p>
        </w:tc>
        <w:tc>
          <w:tcPr>
            <w:tcW w:w="3408" w:type="dxa"/>
          </w:tcPr>
          <w:p w:rsidR="00510714" w:rsidRPr="00367A82" w:rsidRDefault="00510714" w:rsidP="00367A82">
            <w:pPr>
              <w:spacing w:line="480" w:lineRule="auto"/>
              <w:rPr>
                <w:rFonts w:ascii="Arial" w:hAnsi="Arial" w:cs="Arial"/>
              </w:rPr>
            </w:pPr>
            <w:r w:rsidRPr="00367A82">
              <w:rPr>
                <w:rFonts w:ascii="Arial" w:hAnsi="Arial" w:cs="Arial"/>
              </w:rPr>
              <w:t>Second peripheral group: they are part-time workers, can be contract/agency</w:t>
            </w:r>
            <w:r w:rsidR="00367A82" w:rsidRPr="00367A82">
              <w:rPr>
                <w:rFonts w:ascii="Arial" w:hAnsi="Arial" w:cs="Arial"/>
              </w:rPr>
              <w:t>,</w:t>
            </w:r>
            <w:r w:rsidRPr="00367A82">
              <w:rPr>
                <w:rFonts w:ascii="Arial" w:hAnsi="Arial" w:cs="Arial"/>
              </w:rPr>
              <w:t xml:space="preserve"> workers of workers on job sharing term (sub-contractors) </w:t>
            </w:r>
            <w:r w:rsidR="00367A82" w:rsidRPr="00367A82">
              <w:rPr>
                <w:rFonts w:ascii="Arial" w:hAnsi="Arial" w:cs="Arial"/>
              </w:rPr>
              <w:t xml:space="preserve">or freelancers </w:t>
            </w:r>
            <w:r w:rsidRPr="00367A82">
              <w:rPr>
                <w:rFonts w:ascii="Arial" w:hAnsi="Arial" w:cs="Arial"/>
              </w:rPr>
              <w:t>(Atkinson, 1984).</w:t>
            </w:r>
          </w:p>
        </w:tc>
        <w:tc>
          <w:tcPr>
            <w:tcW w:w="3216" w:type="dxa"/>
            <w:vMerge/>
          </w:tcPr>
          <w:p w:rsidR="00510714" w:rsidRPr="00367A82" w:rsidRDefault="00510714" w:rsidP="00367A82">
            <w:pPr>
              <w:spacing w:line="480" w:lineRule="auto"/>
              <w:rPr>
                <w:rFonts w:ascii="Arial" w:hAnsi="Arial" w:cs="Arial"/>
              </w:rPr>
            </w:pPr>
          </w:p>
        </w:tc>
      </w:tr>
    </w:tbl>
    <w:p w:rsidR="00510714" w:rsidRPr="00367A82" w:rsidRDefault="00510714" w:rsidP="00367A82">
      <w:pPr>
        <w:spacing w:line="480" w:lineRule="auto"/>
        <w:jc w:val="center"/>
        <w:rPr>
          <w:rFonts w:ascii="Arial" w:hAnsi="Arial" w:cs="Arial"/>
          <w:i/>
          <w:iCs/>
        </w:rPr>
      </w:pPr>
      <w:r w:rsidRPr="00367A82">
        <w:rPr>
          <w:rFonts w:ascii="Arial" w:hAnsi="Arial" w:cs="Arial"/>
          <w:i/>
          <w:iCs/>
        </w:rPr>
        <w:t xml:space="preserve">(Table 01 </w:t>
      </w:r>
      <w:r w:rsidR="00C562D1">
        <w:rPr>
          <w:rFonts w:ascii="Arial" w:hAnsi="Arial" w:cs="Arial"/>
          <w:i/>
          <w:iCs/>
        </w:rPr>
        <w:t xml:space="preserve">– 2 groups of workers indicated in Atkinson’s flexible firm model </w:t>
      </w:r>
      <w:r w:rsidRPr="00367A82">
        <w:rPr>
          <w:rFonts w:ascii="Arial" w:hAnsi="Arial" w:cs="Arial"/>
          <w:i/>
          <w:iCs/>
        </w:rPr>
        <w:t>– Le, 2020 – Source: Atkinson, 1984)</w:t>
      </w:r>
    </w:p>
    <w:p w:rsidR="00D4040A" w:rsidRDefault="00D4040A" w:rsidP="00831C06">
      <w:pPr>
        <w:spacing w:line="480" w:lineRule="auto"/>
        <w:rPr>
          <w:rFonts w:ascii="Arial" w:hAnsi="Arial" w:cs="Arial"/>
          <w:color w:val="000000" w:themeColor="text1"/>
        </w:rPr>
      </w:pPr>
    </w:p>
    <w:p w:rsidR="00D4040A" w:rsidRDefault="00D4040A" w:rsidP="00831C06">
      <w:pPr>
        <w:spacing w:line="480" w:lineRule="auto"/>
        <w:rPr>
          <w:rFonts w:ascii="Arial" w:hAnsi="Arial" w:cs="Arial"/>
          <w:color w:val="000000" w:themeColor="text1"/>
        </w:rPr>
      </w:pPr>
      <w:r>
        <w:rPr>
          <w:rFonts w:ascii="Arial" w:hAnsi="Arial" w:cs="Arial"/>
          <w:color w:val="000000" w:themeColor="text1"/>
        </w:rPr>
        <w:t>Considering the types of workers in each group above, the link to the 3 types of flexibility could then be revealed as the core group with the key workers for important roles can ensure the functional flexibility of a firm</w:t>
      </w:r>
      <w:r w:rsidR="00520407">
        <w:rPr>
          <w:rFonts w:ascii="Arial" w:hAnsi="Arial" w:cs="Arial"/>
          <w:color w:val="000000" w:themeColor="text1"/>
        </w:rPr>
        <w:t xml:space="preserve"> because since they possess a great deal of </w:t>
      </w:r>
      <w:r w:rsidR="00522F89">
        <w:rPr>
          <w:rFonts w:ascii="Arial" w:hAnsi="Arial" w:cs="Arial"/>
          <w:color w:val="000000" w:themeColor="text1"/>
        </w:rPr>
        <w:t xml:space="preserve">valuable </w:t>
      </w:r>
      <w:r w:rsidR="00520407">
        <w:rPr>
          <w:rFonts w:ascii="Arial" w:hAnsi="Arial" w:cs="Arial"/>
          <w:color w:val="000000" w:themeColor="text1"/>
        </w:rPr>
        <w:t xml:space="preserve">skills and experiences, the employers and the firm could be favoured the displacement </w:t>
      </w:r>
      <w:r w:rsidR="00522F89">
        <w:rPr>
          <w:rFonts w:ascii="Arial" w:hAnsi="Arial" w:cs="Arial"/>
          <w:color w:val="000000" w:themeColor="text1"/>
        </w:rPr>
        <w:t xml:space="preserve">of role </w:t>
      </w:r>
      <w:r w:rsidR="00520407">
        <w:rPr>
          <w:rFonts w:ascii="Arial" w:hAnsi="Arial" w:cs="Arial"/>
          <w:color w:val="000000" w:themeColor="text1"/>
        </w:rPr>
        <w:t>when there is a need for specific business’s goal</w:t>
      </w:r>
      <w:r w:rsidR="00367A82">
        <w:rPr>
          <w:rFonts w:ascii="Arial" w:hAnsi="Arial" w:cs="Arial"/>
          <w:color w:val="000000" w:themeColor="text1"/>
        </w:rPr>
        <w:t xml:space="preserve"> (Atkinson, 1984). To an extent, as from this model indicating 2 dimensions of flexibility as in employment and in work, the displacement in labour could be considered as it is part of the flexibility in work</w:t>
      </w:r>
      <w:r w:rsidR="00522F89">
        <w:rPr>
          <w:rFonts w:ascii="Arial" w:hAnsi="Arial" w:cs="Arial"/>
          <w:color w:val="000000" w:themeColor="text1"/>
        </w:rPr>
        <w:t xml:space="preserve"> because it</w:t>
      </w:r>
      <w:r w:rsidR="00367A82">
        <w:rPr>
          <w:rFonts w:ascii="Arial" w:hAnsi="Arial" w:cs="Arial"/>
          <w:color w:val="000000" w:themeColor="text1"/>
        </w:rPr>
        <w:t xml:space="preserve"> promotes the acquisition and deployment of new skills and innovation which can contribute the learning and development progress of a firm (Ibid., 1984). </w:t>
      </w:r>
    </w:p>
    <w:p w:rsidR="00367A82" w:rsidRDefault="00367A82" w:rsidP="00831C06">
      <w:pPr>
        <w:spacing w:line="480" w:lineRule="auto"/>
        <w:rPr>
          <w:rFonts w:ascii="Arial" w:hAnsi="Arial" w:cs="Arial"/>
          <w:color w:val="000000" w:themeColor="text1"/>
        </w:rPr>
      </w:pPr>
    </w:p>
    <w:p w:rsidR="00367A82" w:rsidRDefault="00367A82" w:rsidP="00831C06">
      <w:pPr>
        <w:spacing w:line="480" w:lineRule="auto"/>
        <w:rPr>
          <w:rFonts w:ascii="Arial" w:hAnsi="Arial" w:cs="Arial"/>
          <w:color w:val="000000" w:themeColor="text1"/>
        </w:rPr>
      </w:pPr>
      <w:r>
        <w:rPr>
          <w:rFonts w:ascii="Arial" w:hAnsi="Arial" w:cs="Arial"/>
          <w:color w:val="000000" w:themeColor="text1"/>
        </w:rPr>
        <w:t xml:space="preserve">Meanwhile, the peripheral group of worker - for instance, ‘gig-economy’ workers or zero-hour contract workers does not require lots of skills combined with the simple job description itself  means that specialized training is not necessary (CIPD, 2017; CIPD; 2019), it leads to the fact that the recruitment for these types of workers is </w:t>
      </w:r>
      <w:r>
        <w:rPr>
          <w:rFonts w:ascii="Arial" w:hAnsi="Arial" w:cs="Arial"/>
          <w:color w:val="000000" w:themeColor="text1"/>
        </w:rPr>
        <w:lastRenderedPageBreak/>
        <w:t>rather easy through both direct or intermediate channels</w:t>
      </w:r>
      <w:r w:rsidR="00522F89">
        <w:rPr>
          <w:rFonts w:ascii="Arial" w:hAnsi="Arial" w:cs="Arial"/>
          <w:color w:val="000000" w:themeColor="text1"/>
        </w:rPr>
        <w:t xml:space="preserve"> </w:t>
      </w:r>
      <w:r>
        <w:rPr>
          <w:rFonts w:ascii="Arial" w:hAnsi="Arial" w:cs="Arial"/>
          <w:color w:val="000000" w:themeColor="text1"/>
        </w:rPr>
        <w:t xml:space="preserve">(Burke &amp; Cowling, 2020). Therefore, since the level of labour turnover can be considered high, and considering the fact </w:t>
      </w:r>
      <w:r w:rsidR="00522F89">
        <w:rPr>
          <w:rFonts w:ascii="Arial" w:hAnsi="Arial" w:cs="Arial"/>
          <w:color w:val="000000" w:themeColor="text1"/>
        </w:rPr>
        <w:t xml:space="preserve">that </w:t>
      </w:r>
      <w:r>
        <w:rPr>
          <w:rFonts w:ascii="Arial" w:hAnsi="Arial" w:cs="Arial"/>
          <w:color w:val="000000" w:themeColor="text1"/>
        </w:rPr>
        <w:t>the development of technology nowadays facilitate</w:t>
      </w:r>
      <w:r w:rsidR="00522F89">
        <w:rPr>
          <w:rFonts w:ascii="Arial" w:hAnsi="Arial" w:cs="Arial"/>
          <w:color w:val="000000" w:themeColor="text1"/>
        </w:rPr>
        <w:t>s</w:t>
      </w:r>
      <w:r>
        <w:rPr>
          <w:rFonts w:ascii="Arial" w:hAnsi="Arial" w:cs="Arial"/>
          <w:color w:val="000000" w:themeColor="text1"/>
        </w:rPr>
        <w:t xml:space="preserve"> the recruitment process (Deloitte, 2011) with less investment in training &amp; development than for the core group of workers, it is safe to say that this group of workers could allow any firms to</w:t>
      </w:r>
      <w:r w:rsidR="00522F89">
        <w:rPr>
          <w:rFonts w:ascii="Arial" w:hAnsi="Arial" w:cs="Arial"/>
          <w:color w:val="000000" w:themeColor="text1"/>
        </w:rPr>
        <w:t xml:space="preserve"> be</w:t>
      </w:r>
      <w:r>
        <w:rPr>
          <w:rFonts w:ascii="Arial" w:hAnsi="Arial" w:cs="Arial"/>
          <w:color w:val="000000" w:themeColor="text1"/>
        </w:rPr>
        <w:t xml:space="preserve"> favour</w:t>
      </w:r>
      <w:r w:rsidR="00522F89">
        <w:rPr>
          <w:rFonts w:ascii="Arial" w:hAnsi="Arial" w:cs="Arial"/>
          <w:color w:val="000000" w:themeColor="text1"/>
        </w:rPr>
        <w:t>ed</w:t>
      </w:r>
      <w:r>
        <w:rPr>
          <w:rFonts w:ascii="Arial" w:hAnsi="Arial" w:cs="Arial"/>
          <w:color w:val="000000" w:themeColor="text1"/>
        </w:rPr>
        <w:t xml:space="preserve"> from numerical and financial flexibility (Atkinson, 1984) (for instance: to slash or strengthen the workforce due to the impacts of Covid-19 – Figure</w:t>
      </w:r>
      <w:r w:rsidR="00522F89">
        <w:rPr>
          <w:rFonts w:ascii="Arial" w:hAnsi="Arial" w:cs="Arial"/>
          <w:color w:val="000000" w:themeColor="text1"/>
        </w:rPr>
        <w:t xml:space="preserve"> 02</w:t>
      </w:r>
      <w:r>
        <w:rPr>
          <w:rFonts w:ascii="Arial" w:hAnsi="Arial" w:cs="Arial"/>
          <w:color w:val="000000" w:themeColor="text1"/>
        </w:rPr>
        <w:t xml:space="preserve"> ).</w:t>
      </w:r>
    </w:p>
    <w:p w:rsidR="00367A82" w:rsidRDefault="00522F89" w:rsidP="00831C06">
      <w:pPr>
        <w:spacing w:line="48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782144" behindDoc="0" locked="0" layoutInCell="1" allowOverlap="1">
                <wp:simplePos x="0" y="0"/>
                <wp:positionH relativeFrom="column">
                  <wp:posOffset>3515360</wp:posOffset>
                </wp:positionH>
                <wp:positionV relativeFrom="paragraph">
                  <wp:posOffset>292227</wp:posOffset>
                </wp:positionV>
                <wp:extent cx="2450465" cy="1866265"/>
                <wp:effectExtent l="0" t="0" r="13335" b="13335"/>
                <wp:wrapNone/>
                <wp:docPr id="6" name="Text Box 6"/>
                <wp:cNvGraphicFramePr/>
                <a:graphic xmlns:a="http://schemas.openxmlformats.org/drawingml/2006/main">
                  <a:graphicData uri="http://schemas.microsoft.com/office/word/2010/wordprocessingShape">
                    <wps:wsp>
                      <wps:cNvSpPr txBox="1"/>
                      <wps:spPr>
                        <a:xfrm>
                          <a:off x="0" y="0"/>
                          <a:ext cx="2450465" cy="1866265"/>
                        </a:xfrm>
                        <a:prstGeom prst="rect">
                          <a:avLst/>
                        </a:prstGeom>
                        <a:solidFill>
                          <a:schemeClr val="lt1"/>
                        </a:solidFill>
                        <a:ln w="6350">
                          <a:solidFill>
                            <a:prstClr val="black"/>
                          </a:solidFill>
                        </a:ln>
                      </wps:spPr>
                      <wps:txbx>
                        <w:txbxContent>
                          <w:p w:rsidR="00367A82" w:rsidRPr="00367A82" w:rsidRDefault="00367A82">
                            <w:pPr>
                              <w:rPr>
                                <w:rFonts w:ascii="Arial" w:hAnsi="Arial" w:cs="Arial"/>
                              </w:rPr>
                            </w:pPr>
                            <w:r w:rsidRPr="00367A82">
                              <w:rPr>
                                <w:rFonts w:ascii="Arial" w:hAnsi="Arial" w:cs="Arial"/>
                                <w:b/>
                                <w:bCs/>
                              </w:rPr>
                              <w:t>Mark &amp; Spencer (British retailer):</w:t>
                            </w:r>
                            <w:r w:rsidRPr="00367A82">
                              <w:rPr>
                                <w:rFonts w:ascii="Arial" w:hAnsi="Arial" w:cs="Arial"/>
                              </w:rPr>
                              <w:t xml:space="preserve"> announced in August 2020 about the plan to axe approximately 7,000 workers in store management, property and some office</w:t>
                            </w:r>
                            <w:r w:rsidR="00522F89">
                              <w:rPr>
                                <w:rFonts w:ascii="Arial" w:hAnsi="Arial" w:cs="Arial"/>
                              </w:rPr>
                              <w:t xml:space="preserve"> </w:t>
                            </w:r>
                            <w:r w:rsidRPr="00367A82">
                              <w:rPr>
                                <w:rFonts w:ascii="Arial" w:hAnsi="Arial" w:cs="Arial"/>
                              </w:rPr>
                              <w:t>workers because of the dramatic plummet in sales due to the horrendous impacts of Covid-19 (Partridge &amp; Butler,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276.8pt;margin-top:23pt;width:192.95pt;height:146.9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" fillcolor="white [3201]" strokeweight=".5pt">
                <v:textbox>
                  <w:txbxContent>
                    <w:p w:rsidR="00367A82" w:rsidRPr="00367A82" w:rsidRDefault="00367A82">
                      <w:pPr>
                        <w:rPr>
                          <w:rFonts w:ascii="Arial" w:hAnsi="Arial" w:cs="Arial"/>
                        </w:rPr>
                      </w:pPr>
                      <w:r w:rsidRPr="00367A82">
                        <w:rPr>
                          <w:rFonts w:ascii="Arial" w:hAnsi="Arial" w:cs="Arial"/>
                          <w:b/>
                          <w:bCs/>
                        </w:rPr>
                        <w:t>Mark &amp; Spencer (British retailer):</w:t>
                      </w:r>
                      <w:r w:rsidRPr="00367A82">
                        <w:rPr>
                          <w:rFonts w:ascii="Arial" w:hAnsi="Arial" w:cs="Arial"/>
                        </w:rPr>
                        <w:t xml:space="preserve"> announced in August 2020 about the plan to axe approximately 7,000 workers in store management, property and some office</w:t>
                      </w:r>
                      <w:r w:rsidR="00522F89">
                        <w:rPr>
                          <w:rFonts w:ascii="Arial" w:hAnsi="Arial" w:cs="Arial"/>
                        </w:rPr>
                        <w:t xml:space="preserve"> </w:t>
                      </w:r>
                      <w:r w:rsidRPr="00367A82">
                        <w:rPr>
                          <w:rFonts w:ascii="Arial" w:hAnsi="Arial" w:cs="Arial"/>
                        </w:rPr>
                        <w:t>workers because of the dramatic plummet in sales due to the horrendous impacts of Covid-19 (Partridge &amp; Butler, 2020)</w:t>
                      </w:r>
                    </w:p>
                  </w:txbxContent>
                </v:textbox>
              </v:shape>
            </w:pict>
          </mc:Fallback>
        </mc:AlternateContent>
      </w:r>
      <w:r w:rsidR="00367A82">
        <w:rPr>
          <w:rFonts w:ascii="Arial" w:hAnsi="Arial" w:cs="Arial"/>
          <w:noProof/>
          <w:color w:val="000000" w:themeColor="text1"/>
        </w:rPr>
        <mc:AlternateContent>
          <mc:Choice Requires="wps">
            <w:drawing>
              <wp:anchor distT="0" distB="0" distL="114300" distR="114300" simplePos="0" relativeHeight="251781120" behindDoc="0" locked="0" layoutInCell="1" allowOverlap="1">
                <wp:simplePos x="0" y="0"/>
                <wp:positionH relativeFrom="column">
                  <wp:posOffset>-311085</wp:posOffset>
                </wp:positionH>
                <wp:positionV relativeFrom="paragraph">
                  <wp:posOffset>168740</wp:posOffset>
                </wp:positionV>
                <wp:extent cx="2403475" cy="2224726"/>
                <wp:effectExtent l="0" t="0" r="9525" b="10795"/>
                <wp:wrapNone/>
                <wp:docPr id="5" name="Text Box 5"/>
                <wp:cNvGraphicFramePr/>
                <a:graphic xmlns:a="http://schemas.openxmlformats.org/drawingml/2006/main">
                  <a:graphicData uri="http://schemas.microsoft.com/office/word/2010/wordprocessingShape">
                    <wps:wsp>
                      <wps:cNvSpPr txBox="1"/>
                      <wps:spPr>
                        <a:xfrm>
                          <a:off x="0" y="0"/>
                          <a:ext cx="2403475" cy="2224726"/>
                        </a:xfrm>
                        <a:prstGeom prst="rect">
                          <a:avLst/>
                        </a:prstGeom>
                        <a:solidFill>
                          <a:schemeClr val="lt1"/>
                        </a:solidFill>
                        <a:ln w="6350">
                          <a:solidFill>
                            <a:prstClr val="black"/>
                          </a:solidFill>
                        </a:ln>
                      </wps:spPr>
                      <wps:txbx>
                        <w:txbxContent>
                          <w:p w:rsidR="00367A82" w:rsidRPr="00367A82" w:rsidRDefault="00367A82">
                            <w:pPr>
                              <w:rPr>
                                <w:rFonts w:ascii="Arial" w:hAnsi="Arial" w:cs="Arial"/>
                              </w:rPr>
                            </w:pPr>
                            <w:r w:rsidRPr="00367A82">
                              <w:rPr>
                                <w:rFonts w:ascii="Arial" w:hAnsi="Arial" w:cs="Arial"/>
                                <w:b/>
                                <w:bCs/>
                                <w:u w:val="single"/>
                              </w:rPr>
                              <w:t>Amazon:</w:t>
                            </w:r>
                            <w:r w:rsidRPr="00367A82">
                              <w:rPr>
                                <w:rFonts w:ascii="Arial" w:hAnsi="Arial" w:cs="Arial"/>
                              </w:rPr>
                              <w:t xml:space="preserve"> In </w:t>
                            </w:r>
                            <w:r w:rsidR="00C562D1">
                              <w:rPr>
                                <w:rFonts w:ascii="Arial" w:hAnsi="Arial" w:cs="Arial"/>
                              </w:rPr>
                              <w:t xml:space="preserve">March </w:t>
                            </w:r>
                            <w:r w:rsidRPr="00367A82">
                              <w:rPr>
                                <w:rFonts w:ascii="Arial" w:hAnsi="Arial" w:cs="Arial"/>
                              </w:rPr>
                              <w:t xml:space="preserve">(2020) as reported by Lee &amp; Gray from Financial Times, Amazon hired 100,000 of workers </w:t>
                            </w:r>
                            <w:r w:rsidRPr="00367A82">
                              <w:rPr>
                                <w:rFonts w:ascii="Arial" w:hAnsi="Arial" w:cs="Arial"/>
                                <w:b/>
                                <w:bCs/>
                                <w:u w:val="single"/>
                              </w:rPr>
                              <w:t>in the times of less than a month</w:t>
                            </w:r>
                            <w:r w:rsidRPr="00367A82">
                              <w:rPr>
                                <w:rFonts w:ascii="Arial" w:hAnsi="Arial" w:cs="Arial"/>
                              </w:rPr>
                              <w:t xml:space="preserve"> to </w:t>
                            </w:r>
                            <w:r w:rsidR="00C562D1">
                              <w:rPr>
                                <w:rFonts w:ascii="Arial" w:hAnsi="Arial" w:cs="Arial"/>
                              </w:rPr>
                              <w:t xml:space="preserve">satisfy </w:t>
                            </w:r>
                            <w:r w:rsidRPr="00367A82">
                              <w:rPr>
                                <w:rFonts w:ascii="Arial" w:hAnsi="Arial" w:cs="Arial"/>
                              </w:rPr>
                              <w:t>the demand from the customers because Covid-19 with lockdown has forced people to stay at home</w:t>
                            </w:r>
                            <w:r>
                              <w:rPr>
                                <w:rFonts w:ascii="Arial" w:hAnsi="Arial" w:cs="Arial"/>
                              </w:rPr>
                              <w:t xml:space="preserve"> </w:t>
                            </w:r>
                            <w:r w:rsidRPr="00367A82">
                              <w:rPr>
                                <w:rFonts w:ascii="Arial" w:hAnsi="Arial" w:cs="Arial"/>
                              </w:rPr>
                              <w:t>more</w:t>
                            </w:r>
                            <w:r>
                              <w:rPr>
                                <w:rFonts w:ascii="Arial" w:hAnsi="Arial" w:cs="Arial"/>
                              </w:rPr>
                              <w:t xml:space="preserve"> and resulted in the increase in online shopping trips.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24.5pt;margin-top:13.3pt;width:189.25pt;height:175.2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" fillcolor="white [3201]" strokeweight=".5pt">
                <v:textbox>
                  <w:txbxContent>
                    <w:p w:rsidR="00367A82" w:rsidRPr="00367A82" w:rsidRDefault="00367A82">
                      <w:pPr>
                        <w:rPr>
                          <w:rFonts w:ascii="Arial" w:hAnsi="Arial" w:cs="Arial"/>
                        </w:rPr>
                      </w:pPr>
                      <w:r w:rsidRPr="00367A82">
                        <w:rPr>
                          <w:rFonts w:ascii="Arial" w:hAnsi="Arial" w:cs="Arial"/>
                          <w:b/>
                          <w:bCs/>
                          <w:u w:val="single"/>
                        </w:rPr>
                        <w:t>Amazon:</w:t>
                      </w:r>
                      <w:r w:rsidRPr="00367A82">
                        <w:rPr>
                          <w:rFonts w:ascii="Arial" w:hAnsi="Arial" w:cs="Arial"/>
                        </w:rPr>
                        <w:t xml:space="preserve"> In </w:t>
                      </w:r>
                      <w:r w:rsidR="00C562D1">
                        <w:rPr>
                          <w:rFonts w:ascii="Arial" w:hAnsi="Arial" w:cs="Arial"/>
                        </w:rPr>
                        <w:t xml:space="preserve">March </w:t>
                      </w:r>
                      <w:r w:rsidRPr="00367A82">
                        <w:rPr>
                          <w:rFonts w:ascii="Arial" w:hAnsi="Arial" w:cs="Arial"/>
                        </w:rPr>
                        <w:t xml:space="preserve">(2020) as reported by Lee &amp; Gray from Financial Times, Amazon hired 100,000 of workers </w:t>
                      </w:r>
                      <w:r w:rsidRPr="00367A82">
                        <w:rPr>
                          <w:rFonts w:ascii="Arial" w:hAnsi="Arial" w:cs="Arial"/>
                          <w:b/>
                          <w:bCs/>
                          <w:u w:val="single"/>
                        </w:rPr>
                        <w:t>in the times of less than a month</w:t>
                      </w:r>
                      <w:r w:rsidRPr="00367A82">
                        <w:rPr>
                          <w:rFonts w:ascii="Arial" w:hAnsi="Arial" w:cs="Arial"/>
                        </w:rPr>
                        <w:t xml:space="preserve"> to </w:t>
                      </w:r>
                      <w:r w:rsidR="00C562D1">
                        <w:rPr>
                          <w:rFonts w:ascii="Arial" w:hAnsi="Arial" w:cs="Arial"/>
                        </w:rPr>
                        <w:t xml:space="preserve">satisfy </w:t>
                      </w:r>
                      <w:r w:rsidRPr="00367A82">
                        <w:rPr>
                          <w:rFonts w:ascii="Arial" w:hAnsi="Arial" w:cs="Arial"/>
                        </w:rPr>
                        <w:t>the demand from the customers because Covid-19 with lockdown has forced people to stay at home</w:t>
                      </w:r>
                      <w:r>
                        <w:rPr>
                          <w:rFonts w:ascii="Arial" w:hAnsi="Arial" w:cs="Arial"/>
                        </w:rPr>
                        <w:t xml:space="preserve"> </w:t>
                      </w:r>
                      <w:r w:rsidRPr="00367A82">
                        <w:rPr>
                          <w:rFonts w:ascii="Arial" w:hAnsi="Arial" w:cs="Arial"/>
                        </w:rPr>
                        <w:t>more</w:t>
                      </w:r>
                      <w:r>
                        <w:rPr>
                          <w:rFonts w:ascii="Arial" w:hAnsi="Arial" w:cs="Arial"/>
                        </w:rPr>
                        <w:t xml:space="preserve"> and resulted in the increase in online shopping trips.</w:t>
                      </w:r>
                    </w:p>
                  </w:txbxContent>
                </v:textbox>
              </v:shape>
            </w:pict>
          </mc:Fallback>
        </mc:AlternateContent>
      </w:r>
    </w:p>
    <w:p w:rsidR="00367A82" w:rsidRDefault="00367A82" w:rsidP="00831C06">
      <w:pPr>
        <w:spacing w:line="480" w:lineRule="auto"/>
        <w:rPr>
          <w:rFonts w:ascii="Arial" w:hAnsi="Arial" w:cs="Arial"/>
          <w:color w:val="000000" w:themeColor="text1"/>
        </w:rPr>
      </w:pPr>
    </w:p>
    <w:p w:rsidR="00367A82" w:rsidRDefault="00367A82" w:rsidP="00831C06">
      <w:pPr>
        <w:spacing w:line="480" w:lineRule="auto"/>
        <w:rPr>
          <w:rFonts w:ascii="Arial" w:hAnsi="Arial" w:cs="Arial"/>
          <w:color w:val="000000" w:themeColor="text1"/>
        </w:rPr>
      </w:pPr>
    </w:p>
    <w:p w:rsidR="00367A82" w:rsidRDefault="00367A82" w:rsidP="00831C06">
      <w:pPr>
        <w:spacing w:line="480" w:lineRule="auto"/>
        <w:rPr>
          <w:rFonts w:ascii="Arial" w:hAnsi="Arial" w:cs="Arial"/>
          <w:color w:val="000000" w:themeColor="text1"/>
        </w:rPr>
      </w:pPr>
    </w:p>
    <w:p w:rsidR="00367A82" w:rsidRDefault="00522F89" w:rsidP="00831C06">
      <w:pPr>
        <w:spacing w:line="480" w:lineRule="auto"/>
        <w:rPr>
          <w:rFonts w:ascii="Arial" w:hAnsi="Arial" w:cs="Arial"/>
          <w:color w:val="000000" w:themeColor="text1"/>
        </w:rPr>
      </w:pPr>
      <w:r>
        <w:rPr>
          <w:rFonts w:ascii="Arial" w:hAnsi="Arial" w:cs="Arial"/>
          <w:color w:val="000000" w:themeColor="text1"/>
        </w:rPr>
        <w:sym w:font="Symbol" w:char="F03E"/>
      </w:r>
      <w:r>
        <w:rPr>
          <w:rFonts w:ascii="Arial" w:hAnsi="Arial" w:cs="Arial"/>
          <w:color w:val="000000" w:themeColor="text1"/>
        </w:rPr>
        <w:sym w:font="Symbol" w:char="F03E"/>
      </w:r>
      <w:r>
        <w:rPr>
          <w:rFonts w:ascii="Arial" w:hAnsi="Arial" w:cs="Arial"/>
          <w:color w:val="000000" w:themeColor="text1"/>
        </w:rPr>
        <w:sym w:font="Symbol" w:char="F03E"/>
      </w:r>
      <w:r>
        <w:rPr>
          <w:rFonts w:ascii="Arial" w:hAnsi="Arial" w:cs="Arial"/>
          <w:color w:val="000000" w:themeColor="text1"/>
        </w:rPr>
        <w:sym w:font="Symbol" w:char="F03E"/>
      </w:r>
      <w:r>
        <w:rPr>
          <w:rFonts w:ascii="Arial" w:hAnsi="Arial" w:cs="Arial"/>
          <w:color w:val="000000" w:themeColor="text1"/>
        </w:rPr>
        <w:sym w:font="Symbol" w:char="F03E"/>
      </w:r>
      <w:r>
        <w:rPr>
          <w:rFonts w:ascii="Arial" w:hAnsi="Arial" w:cs="Arial"/>
          <w:color w:val="000000" w:themeColor="text1"/>
        </w:rPr>
        <w:sym w:font="Symbol" w:char="F03E"/>
      </w:r>
    </w:p>
    <w:p w:rsidR="00367A82" w:rsidRDefault="00367A82" w:rsidP="00831C06">
      <w:pPr>
        <w:spacing w:line="480" w:lineRule="auto"/>
        <w:rPr>
          <w:rFonts w:ascii="Arial" w:hAnsi="Arial" w:cs="Arial"/>
          <w:color w:val="000000" w:themeColor="text1"/>
        </w:rPr>
      </w:pPr>
    </w:p>
    <w:p w:rsidR="00367A82" w:rsidRDefault="00367A82" w:rsidP="00367A82">
      <w:pPr>
        <w:spacing w:line="480" w:lineRule="auto"/>
        <w:jc w:val="center"/>
        <w:rPr>
          <w:rFonts w:ascii="Arial" w:hAnsi="Arial" w:cs="Arial"/>
          <w:i/>
          <w:iCs/>
          <w:color w:val="000000" w:themeColor="text1"/>
        </w:rPr>
      </w:pPr>
    </w:p>
    <w:p w:rsidR="00367A82" w:rsidRDefault="00367A82" w:rsidP="00367A82">
      <w:pPr>
        <w:spacing w:line="480" w:lineRule="auto"/>
        <w:jc w:val="center"/>
        <w:rPr>
          <w:rFonts w:ascii="Arial" w:hAnsi="Arial" w:cs="Arial"/>
          <w:i/>
          <w:iCs/>
        </w:rPr>
      </w:pPr>
      <w:r w:rsidRPr="00367A82">
        <w:rPr>
          <w:rFonts w:ascii="Arial" w:hAnsi="Arial" w:cs="Arial"/>
          <w:i/>
          <w:iCs/>
          <w:color w:val="000000" w:themeColor="text1"/>
        </w:rPr>
        <w:t xml:space="preserve">(Figure 02 – </w:t>
      </w:r>
      <w:r w:rsidR="00C562D1">
        <w:rPr>
          <w:rFonts w:ascii="Arial" w:hAnsi="Arial" w:cs="Arial"/>
          <w:i/>
          <w:iCs/>
          <w:color w:val="000000" w:themeColor="text1"/>
        </w:rPr>
        <w:t xml:space="preserve">Example of the link between the movement of workforce (peripheral group) and numerical &amp; financial flexibility - </w:t>
      </w:r>
      <w:r w:rsidRPr="00367A82">
        <w:rPr>
          <w:rFonts w:ascii="Arial" w:hAnsi="Arial" w:cs="Arial"/>
          <w:i/>
          <w:iCs/>
          <w:color w:val="000000" w:themeColor="text1"/>
        </w:rPr>
        <w:t>Le, 2020</w:t>
      </w:r>
      <w:r w:rsidRPr="00367A82">
        <w:rPr>
          <w:rFonts w:ascii="Arial" w:hAnsi="Arial" w:cs="Arial"/>
          <w:i/>
          <w:iCs/>
        </w:rPr>
        <w:t>)</w:t>
      </w:r>
    </w:p>
    <w:p w:rsidR="00C562D1" w:rsidRPr="00367A82" w:rsidRDefault="00C562D1" w:rsidP="00367A82">
      <w:pPr>
        <w:spacing w:line="480" w:lineRule="auto"/>
        <w:jc w:val="center"/>
        <w:rPr>
          <w:rFonts w:ascii="Arial" w:hAnsi="Arial" w:cs="Arial"/>
          <w:i/>
          <w:iCs/>
          <w:color w:val="000000" w:themeColor="text1"/>
        </w:rPr>
      </w:pPr>
    </w:p>
    <w:p w:rsidR="00367A82" w:rsidRDefault="00367A82" w:rsidP="00831C06">
      <w:pPr>
        <w:spacing w:line="480" w:lineRule="auto"/>
        <w:rPr>
          <w:rFonts w:ascii="Arial" w:hAnsi="Arial" w:cs="Arial"/>
          <w:color w:val="000000" w:themeColor="text1"/>
        </w:rPr>
      </w:pPr>
      <w:r>
        <w:rPr>
          <w:rFonts w:ascii="Arial" w:hAnsi="Arial" w:cs="Arial"/>
          <w:color w:val="000000" w:themeColor="text1"/>
        </w:rPr>
        <w:t>To summary, this model could help the leaders/managers to reach the flexibility of workforce in both planning and implementing</w:t>
      </w:r>
      <w:r w:rsidR="00522F89">
        <w:rPr>
          <w:rFonts w:ascii="Arial" w:hAnsi="Arial" w:cs="Arial"/>
          <w:color w:val="000000" w:themeColor="text1"/>
        </w:rPr>
        <w:t xml:space="preserve"> stage</w:t>
      </w:r>
      <w:r>
        <w:rPr>
          <w:rFonts w:ascii="Arial" w:hAnsi="Arial" w:cs="Arial"/>
          <w:color w:val="000000" w:themeColor="text1"/>
        </w:rPr>
        <w:t xml:space="preserve"> in specialized cases based on the knowledge of the workforce itself and </w:t>
      </w:r>
      <w:r w:rsidR="00522F89">
        <w:rPr>
          <w:rFonts w:ascii="Arial" w:hAnsi="Arial" w:cs="Arial"/>
          <w:color w:val="000000" w:themeColor="text1"/>
        </w:rPr>
        <w:t xml:space="preserve">understanding about </w:t>
      </w:r>
      <w:r>
        <w:rPr>
          <w:rFonts w:ascii="Arial" w:hAnsi="Arial" w:cs="Arial"/>
          <w:color w:val="000000" w:themeColor="text1"/>
        </w:rPr>
        <w:t>how the movement of workforce links with different types of flexibility at workplace. However, this model was also questioned regarding the concern whether a flexible firm and workforce are completely healthy approach or not</w:t>
      </w:r>
      <w:r w:rsidR="00522F89">
        <w:rPr>
          <w:rFonts w:ascii="Arial" w:hAnsi="Arial" w:cs="Arial"/>
          <w:color w:val="000000" w:themeColor="text1"/>
        </w:rPr>
        <w:t xml:space="preserve"> </w:t>
      </w:r>
      <w:r>
        <w:rPr>
          <w:rFonts w:ascii="Arial" w:hAnsi="Arial" w:cs="Arial"/>
          <w:color w:val="000000" w:themeColor="text1"/>
        </w:rPr>
        <w:t>(</w:t>
      </w:r>
      <w:r w:rsidR="00522F89">
        <w:rPr>
          <w:rFonts w:ascii="Arial" w:hAnsi="Arial" w:cs="Arial"/>
          <w:color w:val="000000" w:themeColor="text1"/>
        </w:rPr>
        <w:t xml:space="preserve">see </w:t>
      </w:r>
      <w:r>
        <w:rPr>
          <w:rFonts w:ascii="Arial" w:hAnsi="Arial" w:cs="Arial"/>
          <w:color w:val="000000" w:themeColor="text1"/>
        </w:rPr>
        <w:t xml:space="preserve">Figure </w:t>
      </w:r>
      <w:r w:rsidR="00387B88">
        <w:rPr>
          <w:rFonts w:ascii="Arial" w:hAnsi="Arial" w:cs="Arial"/>
          <w:color w:val="000000" w:themeColor="text1"/>
        </w:rPr>
        <w:t>03)</w:t>
      </w:r>
      <w:r w:rsidR="00522F89">
        <w:rPr>
          <w:rFonts w:ascii="Arial" w:hAnsi="Arial" w:cs="Arial"/>
          <w:color w:val="000000" w:themeColor="text1"/>
        </w:rPr>
        <w:t>.</w:t>
      </w:r>
      <w:r>
        <w:rPr>
          <w:rFonts w:ascii="Arial" w:hAnsi="Arial" w:cs="Arial"/>
          <w:color w:val="000000" w:themeColor="text1"/>
        </w:rPr>
        <w:t xml:space="preserve">  </w:t>
      </w:r>
    </w:p>
    <w:p w:rsidR="00367A82" w:rsidRDefault="00367A82" w:rsidP="00831C06">
      <w:pPr>
        <w:spacing w:line="480" w:lineRule="auto"/>
        <w:rPr>
          <w:rFonts w:ascii="Arial" w:hAnsi="Arial" w:cs="Arial"/>
          <w:color w:val="000000" w:themeColor="text1"/>
        </w:rPr>
      </w:pPr>
      <w:r>
        <w:rPr>
          <w:rFonts w:ascii="Arial" w:hAnsi="Arial" w:cs="Arial"/>
          <w:noProof/>
          <w:color w:val="000000" w:themeColor="text1"/>
        </w:rPr>
        <w:lastRenderedPageBreak/>
        <w:drawing>
          <wp:inline distT="0" distB="0" distL="0" distR="0">
            <wp:extent cx="6117590" cy="4864231"/>
            <wp:effectExtent l="0" t="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r>
        <w:rPr>
          <w:rFonts w:ascii="Arial" w:hAnsi="Arial" w:cs="Arial"/>
          <w:color w:val="000000" w:themeColor="text1"/>
        </w:rPr>
        <w:t xml:space="preserve">  </w:t>
      </w:r>
    </w:p>
    <w:p w:rsidR="00367A82" w:rsidRPr="00367A82" w:rsidRDefault="00367A82" w:rsidP="00367A82">
      <w:pPr>
        <w:spacing w:line="480" w:lineRule="auto"/>
        <w:jc w:val="center"/>
        <w:rPr>
          <w:rFonts w:ascii="Arial" w:hAnsi="Arial" w:cs="Arial"/>
          <w:i/>
          <w:iCs/>
          <w:color w:val="000000" w:themeColor="text1"/>
        </w:rPr>
      </w:pPr>
      <w:r w:rsidRPr="00367A82">
        <w:rPr>
          <w:rFonts w:ascii="Arial" w:hAnsi="Arial" w:cs="Arial"/>
          <w:i/>
          <w:iCs/>
          <w:color w:val="000000" w:themeColor="text1"/>
        </w:rPr>
        <w:t>(Figure 0</w:t>
      </w:r>
      <w:r>
        <w:rPr>
          <w:rFonts w:ascii="Arial" w:hAnsi="Arial" w:cs="Arial"/>
          <w:i/>
          <w:iCs/>
          <w:color w:val="000000" w:themeColor="text1"/>
        </w:rPr>
        <w:t>3</w:t>
      </w:r>
      <w:r w:rsidRPr="00367A82">
        <w:rPr>
          <w:rFonts w:ascii="Arial" w:hAnsi="Arial" w:cs="Arial"/>
          <w:i/>
          <w:iCs/>
          <w:color w:val="000000" w:themeColor="text1"/>
        </w:rPr>
        <w:t xml:space="preserve"> – </w:t>
      </w:r>
      <w:r>
        <w:rPr>
          <w:rFonts w:ascii="Arial" w:hAnsi="Arial" w:cs="Arial"/>
          <w:i/>
          <w:iCs/>
          <w:color w:val="000000" w:themeColor="text1"/>
        </w:rPr>
        <w:t xml:space="preserve">Criticism of Atkinson’s flexible firm model - </w:t>
      </w:r>
      <w:r w:rsidRPr="00367A82">
        <w:rPr>
          <w:rFonts w:ascii="Arial" w:hAnsi="Arial" w:cs="Arial"/>
          <w:i/>
          <w:iCs/>
          <w:color w:val="000000" w:themeColor="text1"/>
        </w:rPr>
        <w:t>Le, 2020</w:t>
      </w:r>
      <w:r>
        <w:rPr>
          <w:rFonts w:ascii="Arial" w:hAnsi="Arial" w:cs="Arial"/>
          <w:i/>
          <w:iCs/>
          <w:color w:val="000000" w:themeColor="text1"/>
        </w:rPr>
        <w:t>)</w:t>
      </w:r>
    </w:p>
    <w:p w:rsidR="00367A82" w:rsidRPr="00831C06" w:rsidRDefault="00367A82" w:rsidP="00831C06">
      <w:pPr>
        <w:spacing w:line="480" w:lineRule="auto"/>
        <w:rPr>
          <w:rFonts w:ascii="Arial" w:hAnsi="Arial" w:cs="Arial"/>
          <w:color w:val="000000" w:themeColor="text1"/>
        </w:rPr>
      </w:pPr>
    </w:p>
    <w:p w:rsidR="00560D98" w:rsidRPr="00831C06" w:rsidRDefault="00560D98" w:rsidP="00831C06">
      <w:pPr>
        <w:spacing w:line="480" w:lineRule="auto"/>
        <w:rPr>
          <w:rFonts w:ascii="Arial" w:hAnsi="Arial" w:cs="Arial"/>
          <w:color w:val="000000" w:themeColor="text1"/>
        </w:rPr>
      </w:pPr>
    </w:p>
    <w:p w:rsidR="00560D98" w:rsidRPr="00831C06" w:rsidRDefault="00560D98" w:rsidP="00831C06">
      <w:pPr>
        <w:spacing w:line="480" w:lineRule="auto"/>
        <w:rPr>
          <w:rFonts w:ascii="Arial" w:hAnsi="Arial" w:cs="Arial"/>
          <w:color w:val="000000" w:themeColor="text1"/>
        </w:rPr>
      </w:pPr>
    </w:p>
    <w:p w:rsidR="00D4040A" w:rsidRDefault="00D4040A" w:rsidP="00831C06">
      <w:pPr>
        <w:spacing w:line="480" w:lineRule="auto"/>
        <w:rPr>
          <w:rFonts w:ascii="Arial" w:hAnsi="Arial" w:cs="Arial"/>
          <w:color w:val="000000" w:themeColor="text1"/>
        </w:rPr>
      </w:pPr>
    </w:p>
    <w:p w:rsidR="00522F89" w:rsidRDefault="00522F89" w:rsidP="00831C06">
      <w:pPr>
        <w:spacing w:line="480" w:lineRule="auto"/>
        <w:rPr>
          <w:rFonts w:ascii="Arial" w:hAnsi="Arial" w:cs="Arial"/>
          <w:color w:val="000000" w:themeColor="text1"/>
        </w:rPr>
      </w:pPr>
    </w:p>
    <w:p w:rsidR="00C04479" w:rsidRDefault="00C04479" w:rsidP="00831C06">
      <w:pPr>
        <w:spacing w:line="480" w:lineRule="auto"/>
        <w:rPr>
          <w:rFonts w:ascii="Arial" w:hAnsi="Arial" w:cs="Arial"/>
          <w:color w:val="000000" w:themeColor="text1"/>
        </w:rPr>
      </w:pPr>
    </w:p>
    <w:p w:rsidR="00C04479" w:rsidRPr="00831C06" w:rsidRDefault="00C04479" w:rsidP="00831C06">
      <w:pPr>
        <w:spacing w:line="480" w:lineRule="auto"/>
        <w:rPr>
          <w:rFonts w:ascii="Arial" w:hAnsi="Arial" w:cs="Arial"/>
          <w:color w:val="000000" w:themeColor="text1"/>
        </w:rPr>
      </w:pPr>
    </w:p>
    <w:p w:rsidR="00F82EC4" w:rsidRDefault="00207991" w:rsidP="00F22074">
      <w:pPr>
        <w:pStyle w:val="Heading1"/>
        <w:numPr>
          <w:ilvl w:val="0"/>
          <w:numId w:val="2"/>
        </w:numPr>
        <w:spacing w:line="480" w:lineRule="auto"/>
        <w:rPr>
          <w:rFonts w:ascii="Arial" w:hAnsi="Arial" w:cs="Arial"/>
          <w:b/>
          <w:bCs/>
          <w:color w:val="000000" w:themeColor="text1"/>
          <w:sz w:val="24"/>
          <w:szCs w:val="24"/>
        </w:rPr>
      </w:pPr>
      <w:bookmarkStart w:id="10" w:name="_Toc54136038"/>
      <w:r w:rsidRPr="00831C06">
        <w:rPr>
          <w:rFonts w:ascii="Arial" w:hAnsi="Arial" w:cs="Arial"/>
          <w:b/>
          <w:bCs/>
          <w:color w:val="000000" w:themeColor="text1"/>
          <w:sz w:val="24"/>
          <w:szCs w:val="24"/>
        </w:rPr>
        <w:lastRenderedPageBreak/>
        <w:t>A</w:t>
      </w:r>
      <w:r w:rsidR="00F2066D" w:rsidRPr="00831C06">
        <w:rPr>
          <w:rFonts w:ascii="Arial" w:hAnsi="Arial" w:cs="Arial"/>
          <w:b/>
          <w:bCs/>
          <w:color w:val="000000" w:themeColor="text1"/>
          <w:sz w:val="24"/>
          <w:szCs w:val="24"/>
        </w:rPr>
        <w:t xml:space="preserve"> model identifies HR factors influencing organisational resilience (and the links </w:t>
      </w:r>
      <w:r w:rsidR="00387B88" w:rsidRPr="00831C06">
        <w:rPr>
          <w:rFonts w:ascii="Arial" w:hAnsi="Arial" w:cs="Arial"/>
          <w:b/>
          <w:bCs/>
          <w:color w:val="000000" w:themeColor="text1"/>
          <w:sz w:val="24"/>
          <w:szCs w:val="24"/>
        </w:rPr>
        <w:t>between</w:t>
      </w:r>
      <w:r w:rsidR="00F2066D" w:rsidRPr="00831C06">
        <w:rPr>
          <w:rFonts w:ascii="Arial" w:hAnsi="Arial" w:cs="Arial"/>
          <w:b/>
          <w:bCs/>
          <w:color w:val="000000" w:themeColor="text1"/>
          <w:sz w:val="24"/>
          <w:szCs w:val="24"/>
        </w:rPr>
        <w:t xml:space="preserve"> engagement, commitment and performance)</w:t>
      </w:r>
      <w:bookmarkEnd w:id="10"/>
    </w:p>
    <w:p w:rsidR="00F22074" w:rsidRPr="00F22074" w:rsidRDefault="00F22074" w:rsidP="00F22074"/>
    <w:p w:rsidR="00F2066D" w:rsidRPr="00F22074" w:rsidRDefault="00F2066D" w:rsidP="00F22074">
      <w:pPr>
        <w:spacing w:line="480" w:lineRule="auto"/>
        <w:rPr>
          <w:rFonts w:ascii="Arial" w:hAnsi="Arial" w:cs="Arial"/>
          <w:b/>
          <w:bCs/>
          <w:color w:val="000000" w:themeColor="text1"/>
        </w:rPr>
      </w:pPr>
      <w:r w:rsidRPr="00F22074">
        <w:rPr>
          <w:rFonts w:ascii="Arial" w:hAnsi="Arial" w:cs="Arial"/>
          <w:b/>
          <w:bCs/>
          <w:color w:val="000000" w:themeColor="text1"/>
        </w:rPr>
        <w:t>Organisational resilience: how is it like as resiliently agile?</w:t>
      </w:r>
    </w:p>
    <w:p w:rsidR="00F2066D" w:rsidRPr="00F22074" w:rsidRDefault="00F2066D" w:rsidP="00F22074">
      <w:pPr>
        <w:spacing w:line="480" w:lineRule="auto"/>
        <w:rPr>
          <w:rFonts w:ascii="Arial" w:hAnsi="Arial" w:cs="Arial"/>
          <w:color w:val="000000" w:themeColor="text1"/>
        </w:rPr>
      </w:pPr>
      <w:r w:rsidRPr="00F22074">
        <w:rPr>
          <w:rFonts w:ascii="Arial" w:hAnsi="Arial" w:cs="Arial"/>
          <w:color w:val="000000" w:themeColor="text1"/>
        </w:rPr>
        <w:t>According to Snowden &amp; Boone (2007), to deal with complexity is to tackle with complex adaptive system where there are non-linear interacting elements, the dynamic network with the complex nodes themselves (for instance: human) and the emerging patterns toward an unpredictable future.</w:t>
      </w:r>
      <w:r w:rsidR="00F22074">
        <w:rPr>
          <w:rFonts w:ascii="Arial" w:hAnsi="Arial" w:cs="Arial"/>
          <w:color w:val="000000" w:themeColor="text1"/>
        </w:rPr>
        <w:t xml:space="preserve"> </w:t>
      </w:r>
      <w:r w:rsidRPr="00F22074">
        <w:rPr>
          <w:rFonts w:ascii="Arial" w:hAnsi="Arial" w:cs="Arial"/>
          <w:color w:val="000000" w:themeColor="text1"/>
        </w:rPr>
        <w:t>Holbeche (2018, p9-12)</w:t>
      </w:r>
      <w:r w:rsidR="00F22074">
        <w:rPr>
          <w:rFonts w:ascii="Arial" w:hAnsi="Arial" w:cs="Arial"/>
          <w:color w:val="000000" w:themeColor="text1"/>
        </w:rPr>
        <w:t xml:space="preserve"> defined</w:t>
      </w:r>
      <w:r w:rsidRPr="00F22074">
        <w:rPr>
          <w:rFonts w:ascii="Arial" w:hAnsi="Arial" w:cs="Arial"/>
          <w:color w:val="000000" w:themeColor="text1"/>
        </w:rPr>
        <w:t xml:space="preserve"> organisational agility </w:t>
      </w:r>
      <w:r w:rsidR="00F22074">
        <w:rPr>
          <w:rFonts w:ascii="Arial" w:hAnsi="Arial" w:cs="Arial"/>
          <w:color w:val="000000" w:themeColor="text1"/>
        </w:rPr>
        <w:t>as</w:t>
      </w:r>
      <w:r w:rsidRPr="00F22074">
        <w:rPr>
          <w:rFonts w:ascii="Arial" w:hAnsi="Arial" w:cs="Arial"/>
          <w:color w:val="000000" w:themeColor="text1"/>
        </w:rPr>
        <w:t xml:space="preserve"> the ability to develop its capabilities towards adaptability and changes management in the ‘quickly, decisively and effectively’ moves to not only mitigate the threats but also seize/ leverage the opportunities stemming from the sudden shifts/ emergence in the market such as: new competitors, technological development or the needs for new range of product. Nevertheless, if the company is not fast enough and fails to response to the call of the market and customers or stakeholders’ needs, it would be out of business and the race. </w:t>
      </w:r>
    </w:p>
    <w:p w:rsidR="00F2066D" w:rsidRPr="00831C06" w:rsidRDefault="00F2066D" w:rsidP="00831C06">
      <w:pPr>
        <w:pStyle w:val="ListParagraph"/>
        <w:spacing w:line="480" w:lineRule="auto"/>
        <w:rPr>
          <w:rFonts w:ascii="Arial" w:hAnsi="Arial" w:cs="Arial"/>
          <w:color w:val="000000" w:themeColor="text1"/>
        </w:rPr>
      </w:pPr>
    </w:p>
    <w:p w:rsidR="00F22074" w:rsidRDefault="00F2066D" w:rsidP="00831C06">
      <w:pPr>
        <w:spacing w:line="480" w:lineRule="auto"/>
        <w:rPr>
          <w:rFonts w:ascii="Arial" w:hAnsi="Arial" w:cs="Arial"/>
          <w:color w:val="000000" w:themeColor="text1"/>
        </w:rPr>
        <w:sectPr w:rsidR="00F22074" w:rsidSect="006E2220">
          <w:footerReference w:type="even" r:id="rId49"/>
          <w:footerReference w:type="default" r:id="rId50"/>
          <w:pgSz w:w="11900" w:h="16840"/>
          <w:pgMar w:top="1440" w:right="1440" w:bottom="1440" w:left="1440" w:header="709" w:footer="709" w:gutter="0"/>
          <w:pgNumType w:start="0"/>
          <w:cols w:space="708"/>
          <w:titlePg/>
          <w:docGrid w:linePitch="360"/>
        </w:sectPr>
      </w:pPr>
      <w:r w:rsidRPr="00F22074">
        <w:rPr>
          <w:rFonts w:ascii="Arial" w:hAnsi="Arial" w:cs="Arial"/>
          <w:color w:val="000000" w:themeColor="text1"/>
        </w:rPr>
        <w:t xml:space="preserve">To an extent, Holbeche (2018, p22) stated that, organisational resilience is the leveraged characteristic or partnership of agility as it masters the way the company could respond to the rapid and ambiguous changes in the unpredictable complex through the two fundamental components as: </w:t>
      </w:r>
      <w:r w:rsidRPr="00F22074">
        <w:rPr>
          <w:rFonts w:ascii="Arial" w:hAnsi="Arial" w:cs="Arial"/>
          <w:color w:val="000000" w:themeColor="text1"/>
          <w:highlight w:val="yellow"/>
        </w:rPr>
        <w:t>anticipation and ability to bounce back</w:t>
      </w:r>
      <w:r w:rsidRPr="00F22074">
        <w:rPr>
          <w:rFonts w:ascii="Arial" w:hAnsi="Arial" w:cs="Arial"/>
          <w:color w:val="000000" w:themeColor="text1"/>
        </w:rPr>
        <w:t>. Why is it so? Because resilience allows company to create diverse types of strategic agility through the transformative actions driven from the specific situation itself (Ibid., p22) so that it would be prompt, creative and flexible responsive toward the rapid changes in complex environment</w:t>
      </w:r>
    </w:p>
    <w:p w:rsidR="00F2066D" w:rsidRDefault="00F22074" w:rsidP="00F22074">
      <w:pPr>
        <w:spacing w:line="480" w:lineRule="auto"/>
        <w:rPr>
          <w:rFonts w:ascii="Arial" w:hAnsi="Arial" w:cs="Arial"/>
          <w:b/>
          <w:bCs/>
          <w:color w:val="000000" w:themeColor="text1"/>
        </w:rPr>
      </w:pPr>
      <w:r>
        <w:rPr>
          <w:rFonts w:ascii="Arial" w:hAnsi="Arial" w:cs="Arial"/>
          <w:b/>
          <w:bCs/>
          <w:color w:val="000000" w:themeColor="text1"/>
        </w:rPr>
        <w:lastRenderedPageBreak/>
        <w:t xml:space="preserve">The link between </w:t>
      </w:r>
      <w:r w:rsidR="00F2066D" w:rsidRPr="00F22074">
        <w:rPr>
          <w:rFonts w:ascii="Arial" w:hAnsi="Arial" w:cs="Arial"/>
          <w:b/>
          <w:bCs/>
          <w:color w:val="000000" w:themeColor="text1"/>
        </w:rPr>
        <w:t>Organisational resilience &amp; performance outcome</w:t>
      </w:r>
      <w:r>
        <w:rPr>
          <w:rFonts w:ascii="Arial" w:hAnsi="Arial" w:cs="Arial"/>
          <w:b/>
          <w:bCs/>
          <w:color w:val="000000" w:themeColor="text1"/>
        </w:rPr>
        <w:t>, employee engagement and commitment.</w:t>
      </w:r>
    </w:p>
    <w:p w:rsidR="00F22074" w:rsidRDefault="00F22074" w:rsidP="00F22074">
      <w:pPr>
        <w:spacing w:line="480" w:lineRule="auto"/>
        <w:rPr>
          <w:rFonts w:ascii="Arial" w:hAnsi="Arial" w:cs="Arial"/>
          <w:b/>
          <w:bCs/>
          <w:color w:val="000000" w:themeColor="text1"/>
        </w:rPr>
      </w:pPr>
    </w:p>
    <w:tbl>
      <w:tblPr>
        <w:tblStyle w:val="TableGrid"/>
        <w:tblW w:w="10915" w:type="dxa"/>
        <w:tblInd w:w="-951" w:type="dxa"/>
        <w:tblLayout w:type="fixed"/>
        <w:tblLook w:val="04A0" w:firstRow="1" w:lastRow="0" w:firstColumn="1" w:lastColumn="0" w:noHBand="0" w:noVBand="1"/>
      </w:tblPr>
      <w:tblGrid>
        <w:gridCol w:w="485"/>
        <w:gridCol w:w="1642"/>
        <w:gridCol w:w="8788"/>
      </w:tblGrid>
      <w:tr w:rsidR="00F22074" w:rsidTr="00F22074">
        <w:trPr>
          <w:trHeight w:val="453"/>
        </w:trPr>
        <w:tc>
          <w:tcPr>
            <w:tcW w:w="485" w:type="dxa"/>
          </w:tcPr>
          <w:p w:rsidR="00F22074" w:rsidRPr="00F22074" w:rsidRDefault="00F22074" w:rsidP="00F22074">
            <w:pPr>
              <w:spacing w:line="480" w:lineRule="auto"/>
              <w:jc w:val="center"/>
              <w:rPr>
                <w:rFonts w:ascii="Arial" w:hAnsi="Arial" w:cs="Arial"/>
                <w:b/>
                <w:bCs/>
                <w:color w:val="000000" w:themeColor="text1"/>
                <w:sz w:val="20"/>
                <w:szCs w:val="20"/>
              </w:rPr>
            </w:pPr>
            <w:r w:rsidRPr="00F22074">
              <w:rPr>
                <w:rFonts w:ascii="Arial" w:hAnsi="Arial" w:cs="Arial"/>
                <w:b/>
                <w:bCs/>
                <w:color w:val="000000" w:themeColor="text1"/>
                <w:sz w:val="20"/>
                <w:szCs w:val="20"/>
              </w:rPr>
              <w:t>No</w:t>
            </w:r>
          </w:p>
        </w:tc>
        <w:tc>
          <w:tcPr>
            <w:tcW w:w="1642" w:type="dxa"/>
          </w:tcPr>
          <w:p w:rsidR="00F22074" w:rsidRPr="00F22074" w:rsidRDefault="00F22074" w:rsidP="00F22074">
            <w:pPr>
              <w:spacing w:line="480" w:lineRule="auto"/>
              <w:jc w:val="center"/>
              <w:rPr>
                <w:rFonts w:ascii="Arial" w:hAnsi="Arial" w:cs="Arial"/>
                <w:b/>
                <w:bCs/>
                <w:color w:val="000000" w:themeColor="text1"/>
                <w:sz w:val="20"/>
                <w:szCs w:val="20"/>
              </w:rPr>
            </w:pPr>
            <w:r w:rsidRPr="00F22074">
              <w:rPr>
                <w:rFonts w:ascii="Arial" w:hAnsi="Arial" w:cs="Arial"/>
                <w:b/>
                <w:bCs/>
                <w:color w:val="000000" w:themeColor="text1"/>
                <w:sz w:val="20"/>
                <w:szCs w:val="20"/>
              </w:rPr>
              <w:t>The link</w:t>
            </w:r>
          </w:p>
        </w:tc>
        <w:tc>
          <w:tcPr>
            <w:tcW w:w="8788" w:type="dxa"/>
          </w:tcPr>
          <w:p w:rsidR="00F22074" w:rsidRPr="00F22074" w:rsidRDefault="00F22074" w:rsidP="00F22074">
            <w:pPr>
              <w:spacing w:line="480" w:lineRule="auto"/>
              <w:jc w:val="center"/>
              <w:rPr>
                <w:rFonts w:ascii="Arial" w:hAnsi="Arial" w:cs="Arial"/>
                <w:b/>
                <w:bCs/>
                <w:color w:val="000000" w:themeColor="text1"/>
                <w:sz w:val="20"/>
                <w:szCs w:val="20"/>
              </w:rPr>
            </w:pPr>
            <w:r w:rsidRPr="00F22074">
              <w:rPr>
                <w:rFonts w:ascii="Arial" w:hAnsi="Arial" w:cs="Arial"/>
                <w:b/>
                <w:bCs/>
                <w:color w:val="000000" w:themeColor="text1"/>
                <w:sz w:val="20"/>
                <w:szCs w:val="20"/>
              </w:rPr>
              <w:t>Clarification &amp; Related issues</w:t>
            </w:r>
          </w:p>
        </w:tc>
      </w:tr>
      <w:tr w:rsidR="00F22074" w:rsidTr="00F22074">
        <w:trPr>
          <w:trHeight w:val="9747"/>
        </w:trPr>
        <w:tc>
          <w:tcPr>
            <w:tcW w:w="485" w:type="dxa"/>
          </w:tcPr>
          <w:p w:rsidR="00F22074" w:rsidRPr="00F22074" w:rsidRDefault="00F22074" w:rsidP="00F22074">
            <w:pPr>
              <w:spacing w:line="480" w:lineRule="auto"/>
              <w:rPr>
                <w:rFonts w:ascii="Arial" w:hAnsi="Arial" w:cs="Arial"/>
                <w:b/>
                <w:bCs/>
                <w:color w:val="000000" w:themeColor="text1"/>
                <w:sz w:val="20"/>
                <w:szCs w:val="20"/>
              </w:rPr>
            </w:pPr>
            <w:r w:rsidRPr="00F22074">
              <w:rPr>
                <w:rFonts w:ascii="Arial" w:hAnsi="Arial" w:cs="Arial"/>
                <w:b/>
                <w:bCs/>
                <w:color w:val="000000" w:themeColor="text1"/>
                <w:sz w:val="20"/>
                <w:szCs w:val="20"/>
              </w:rPr>
              <w:t>1</w:t>
            </w:r>
          </w:p>
        </w:tc>
        <w:tc>
          <w:tcPr>
            <w:tcW w:w="1642" w:type="dxa"/>
          </w:tcPr>
          <w:p w:rsidR="00F22074" w:rsidRDefault="00F22074" w:rsidP="00F22074">
            <w:pPr>
              <w:spacing w:line="480" w:lineRule="auto"/>
              <w:rPr>
                <w:rFonts w:ascii="Arial" w:hAnsi="Arial" w:cs="Arial"/>
                <w:b/>
                <w:bCs/>
                <w:color w:val="000000" w:themeColor="text1"/>
                <w:sz w:val="20"/>
                <w:szCs w:val="20"/>
              </w:rPr>
            </w:pPr>
            <w:r w:rsidRPr="00F22074">
              <w:rPr>
                <w:rFonts w:ascii="Arial" w:hAnsi="Arial" w:cs="Arial"/>
                <w:b/>
                <w:bCs/>
                <w:color w:val="000000" w:themeColor="text1"/>
                <w:sz w:val="20"/>
                <w:szCs w:val="20"/>
              </w:rPr>
              <w:t>Organisational resilience &amp; performance outcome</w:t>
            </w: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Default="00F22074" w:rsidP="00F22074">
            <w:pPr>
              <w:spacing w:line="480" w:lineRule="auto"/>
              <w:rPr>
                <w:rFonts w:ascii="Arial" w:hAnsi="Arial" w:cs="Arial"/>
                <w:b/>
                <w:bCs/>
                <w:color w:val="000000" w:themeColor="text1"/>
                <w:sz w:val="20"/>
                <w:szCs w:val="20"/>
              </w:rPr>
            </w:pPr>
          </w:p>
          <w:p w:rsidR="00F22074" w:rsidRPr="00F22074" w:rsidRDefault="00F22074" w:rsidP="00F22074">
            <w:pPr>
              <w:spacing w:line="480" w:lineRule="auto"/>
              <w:rPr>
                <w:rFonts w:ascii="Arial" w:hAnsi="Arial" w:cs="Arial"/>
                <w:b/>
                <w:bCs/>
                <w:color w:val="000000" w:themeColor="text1"/>
                <w:sz w:val="20"/>
                <w:szCs w:val="20"/>
              </w:rPr>
            </w:pPr>
          </w:p>
        </w:tc>
        <w:tc>
          <w:tcPr>
            <w:tcW w:w="8788" w:type="dxa"/>
          </w:tcPr>
          <w:p w:rsidR="00F22074" w:rsidRP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 xml:space="preserve">According to Aghina et al. (2016) being fast and flexible is not enough, there is also a need that organization should make sure that their quick, adaptive, and responsive act would </w:t>
            </w:r>
            <w:r w:rsidR="00387B88" w:rsidRPr="00F22074">
              <w:rPr>
                <w:rFonts w:ascii="Arial" w:hAnsi="Arial" w:cs="Arial"/>
                <w:color w:val="000000" w:themeColor="text1"/>
                <w:sz w:val="20"/>
                <w:szCs w:val="20"/>
              </w:rPr>
              <w:t>align</w:t>
            </w:r>
            <w:r w:rsidRPr="00F22074">
              <w:rPr>
                <w:rFonts w:ascii="Arial" w:hAnsi="Arial" w:cs="Arial"/>
                <w:color w:val="000000" w:themeColor="text1"/>
                <w:sz w:val="20"/>
                <w:szCs w:val="20"/>
              </w:rPr>
              <w:t xml:space="preserve"> with the stable state which means that it is resilient, reliable and efficient as well. By enhancing that capability, as can be see</w:t>
            </w:r>
            <w:r>
              <w:rPr>
                <w:rFonts w:ascii="Arial" w:hAnsi="Arial" w:cs="Arial"/>
                <w:color w:val="000000" w:themeColor="text1"/>
                <w:sz w:val="20"/>
                <w:szCs w:val="20"/>
              </w:rPr>
              <w:t>n</w:t>
            </w:r>
            <w:r w:rsidRPr="00F22074">
              <w:rPr>
                <w:rFonts w:ascii="Arial" w:hAnsi="Arial" w:cs="Arial"/>
                <w:color w:val="000000" w:themeColor="text1"/>
                <w:sz w:val="20"/>
                <w:szCs w:val="20"/>
              </w:rPr>
              <w:t xml:space="preserve"> in Figure 01 (Exhibit 2 – p22 – in this same research) that 70% of companies included in the survey with both strong speed and stability index ranked in the top for organisational health which means that they would likely to have strong financial performance.</w:t>
            </w:r>
            <w:r w:rsidRPr="00F22074">
              <w:rPr>
                <w:rFonts w:ascii="Arial" w:hAnsi="Arial" w:cs="Arial"/>
                <w:b/>
                <w:bCs/>
                <w:noProof/>
                <w:color w:val="000000" w:themeColor="text1"/>
                <w:sz w:val="20"/>
                <w:szCs w:val="20"/>
              </w:rPr>
              <w:t xml:space="preserve"> </w:t>
            </w:r>
            <w:r w:rsidRPr="00F22074">
              <w:rPr>
                <w:rFonts w:ascii="Arial" w:hAnsi="Arial" w:cs="Arial"/>
                <w:b/>
                <w:bCs/>
                <w:noProof/>
                <w:color w:val="000000" w:themeColor="text1"/>
                <w:sz w:val="20"/>
                <w:szCs w:val="20"/>
              </w:rPr>
              <w:drawing>
                <wp:inline distT="0" distB="0" distL="0" distR="0" wp14:anchorId="5FBC098F" wp14:editId="4BC7A0B8">
                  <wp:extent cx="5727700" cy="3703320"/>
                  <wp:effectExtent l="0" t="0" r="0" b="5080"/>
                  <wp:docPr id="146" name="Picture 1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Graphical user interface, applicatio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27700" cy="3703320"/>
                          </a:xfrm>
                          <a:prstGeom prst="rect">
                            <a:avLst/>
                          </a:prstGeom>
                        </pic:spPr>
                      </pic:pic>
                    </a:graphicData>
                  </a:graphic>
                </wp:inline>
              </w:drawing>
            </w:r>
          </w:p>
          <w:p w:rsidR="00F22074" w:rsidRPr="00F22074" w:rsidRDefault="00F22074" w:rsidP="00F22074">
            <w:pPr>
              <w:spacing w:line="480" w:lineRule="auto"/>
              <w:jc w:val="center"/>
              <w:rPr>
                <w:rFonts w:ascii="Arial" w:hAnsi="Arial" w:cs="Arial"/>
                <w:i/>
                <w:iCs/>
                <w:color w:val="000000" w:themeColor="text1"/>
                <w:sz w:val="20"/>
                <w:szCs w:val="20"/>
              </w:rPr>
            </w:pPr>
            <w:r w:rsidRPr="00F22074">
              <w:rPr>
                <w:rFonts w:ascii="Arial" w:hAnsi="Arial" w:cs="Arial"/>
                <w:i/>
                <w:iCs/>
                <w:color w:val="000000" w:themeColor="text1"/>
                <w:sz w:val="20"/>
                <w:szCs w:val="20"/>
              </w:rPr>
              <w:t>(Figure 01 – How agility links with organisational health - From: “McKinsey on organisation. Agility and organisation design” – Aghina et al., 2016, Exhibit 2 – p22).</w:t>
            </w:r>
          </w:p>
          <w:p w:rsidR="00F22074" w:rsidRPr="00F22074" w:rsidRDefault="00F22074" w:rsidP="00F22074">
            <w:pPr>
              <w:spacing w:line="480" w:lineRule="auto"/>
              <w:rPr>
                <w:rFonts w:ascii="Arial" w:hAnsi="Arial" w:cs="Arial"/>
                <w:color w:val="000000" w:themeColor="text1"/>
                <w:sz w:val="20"/>
                <w:szCs w:val="20"/>
              </w:rPr>
            </w:pPr>
          </w:p>
          <w:p w:rsid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 xml:space="preserve">Furthermore, </w:t>
            </w:r>
            <w:r>
              <w:rPr>
                <w:rFonts w:ascii="Arial" w:hAnsi="Arial" w:cs="Arial"/>
                <w:color w:val="000000" w:themeColor="text1"/>
                <w:sz w:val="20"/>
                <w:szCs w:val="20"/>
              </w:rPr>
              <w:t>as being illustrated in</w:t>
            </w:r>
            <w:r w:rsidRPr="00F22074">
              <w:rPr>
                <w:rFonts w:ascii="Arial" w:hAnsi="Arial" w:cs="Arial"/>
                <w:color w:val="000000" w:themeColor="text1"/>
                <w:sz w:val="20"/>
                <w:szCs w:val="20"/>
              </w:rPr>
              <w:t xml:space="preserve"> </w:t>
            </w:r>
            <w:r>
              <w:rPr>
                <w:rFonts w:ascii="Arial" w:hAnsi="Arial" w:cs="Arial"/>
                <w:color w:val="000000" w:themeColor="text1"/>
                <w:sz w:val="20"/>
                <w:szCs w:val="20"/>
              </w:rPr>
              <w:t>Figure 2</w:t>
            </w:r>
            <w:r w:rsidRPr="00F22074">
              <w:rPr>
                <w:rFonts w:ascii="Arial" w:hAnsi="Arial" w:cs="Arial"/>
                <w:color w:val="000000" w:themeColor="text1"/>
                <w:sz w:val="20"/>
                <w:szCs w:val="20"/>
              </w:rPr>
              <w:t xml:space="preserve"> (Exhibit 3 – </w:t>
            </w:r>
            <w:r>
              <w:rPr>
                <w:rFonts w:ascii="Arial" w:hAnsi="Arial" w:cs="Arial"/>
                <w:color w:val="000000" w:themeColor="text1"/>
                <w:sz w:val="20"/>
                <w:szCs w:val="20"/>
              </w:rPr>
              <w:t>p</w:t>
            </w:r>
            <w:r w:rsidRPr="00F22074">
              <w:rPr>
                <w:rFonts w:ascii="Arial" w:hAnsi="Arial" w:cs="Arial"/>
                <w:color w:val="000000" w:themeColor="text1"/>
                <w:sz w:val="20"/>
                <w:szCs w:val="20"/>
              </w:rPr>
              <w:t xml:space="preserve">23 – also in this same research of McKinsey and company about agility and organization design) which identified the primary differences between the most agile and least agile companies from the pool of sample, you could </w:t>
            </w:r>
            <w:r w:rsidRPr="00F22074">
              <w:rPr>
                <w:rFonts w:ascii="Arial" w:hAnsi="Arial" w:cs="Arial"/>
                <w:color w:val="000000" w:themeColor="text1"/>
                <w:sz w:val="20"/>
                <w:szCs w:val="20"/>
              </w:rPr>
              <w:lastRenderedPageBreak/>
              <w:t xml:space="preserve">see what differentiated those companies lied behind the significant factors such as: Motivation, Innovation and learning, and accountability &amp; coordination and control. </w:t>
            </w:r>
            <w:r>
              <w:rPr>
                <w:rFonts w:ascii="Arial" w:hAnsi="Arial" w:cs="Arial"/>
                <w:noProof/>
                <w:color w:val="000000" w:themeColor="text1"/>
              </w:rPr>
              <w:drawing>
                <wp:inline distT="0" distB="0" distL="0" distR="0" wp14:anchorId="5E8B4106" wp14:editId="1F4A5D65">
                  <wp:extent cx="5443220" cy="3735070"/>
                  <wp:effectExtent l="0" t="0" r="5080" b="0"/>
                  <wp:docPr id="147" name="Picture 1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Tabl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443220" cy="3735070"/>
                          </a:xfrm>
                          <a:prstGeom prst="rect">
                            <a:avLst/>
                          </a:prstGeom>
                        </pic:spPr>
                      </pic:pic>
                    </a:graphicData>
                  </a:graphic>
                </wp:inline>
              </w:drawing>
            </w:r>
          </w:p>
          <w:p w:rsidR="00F22074" w:rsidRPr="00F22074" w:rsidRDefault="00F22074" w:rsidP="00F22074">
            <w:pPr>
              <w:spacing w:line="480" w:lineRule="auto"/>
              <w:jc w:val="center"/>
              <w:rPr>
                <w:rFonts w:ascii="Arial" w:hAnsi="Arial" w:cs="Arial"/>
                <w:i/>
                <w:iCs/>
                <w:color w:val="000000" w:themeColor="text1"/>
                <w:sz w:val="20"/>
                <w:szCs w:val="20"/>
              </w:rPr>
            </w:pPr>
            <w:r w:rsidRPr="00F22074">
              <w:rPr>
                <w:rFonts w:ascii="Arial" w:hAnsi="Arial" w:cs="Arial"/>
                <w:i/>
                <w:iCs/>
                <w:color w:val="000000" w:themeColor="text1"/>
                <w:sz w:val="20"/>
                <w:szCs w:val="20"/>
              </w:rPr>
              <w:t>(Figure 02 – Ten ma</w:t>
            </w:r>
            <w:r w:rsidR="00387B88">
              <w:rPr>
                <w:rFonts w:ascii="Arial" w:hAnsi="Arial" w:cs="Arial"/>
                <w:i/>
                <w:iCs/>
                <w:color w:val="000000" w:themeColor="text1"/>
                <w:sz w:val="20"/>
                <w:szCs w:val="20"/>
              </w:rPr>
              <w:t>nagement</w:t>
            </w:r>
            <w:r w:rsidRPr="00F22074">
              <w:rPr>
                <w:rFonts w:ascii="Arial" w:hAnsi="Arial" w:cs="Arial"/>
                <w:i/>
                <w:iCs/>
                <w:color w:val="000000" w:themeColor="text1"/>
                <w:sz w:val="20"/>
                <w:szCs w:val="20"/>
              </w:rPr>
              <w:t xml:space="preserve"> practices differentiated the most from the least agile company - From: “McKinsey on organisation. Agility and organisation design” – Aghina et al., 2016, Exhibit 3 – p22).</w:t>
            </w:r>
          </w:p>
          <w:p w:rsidR="00F22074" w:rsidRDefault="00F22074" w:rsidP="00F22074">
            <w:pPr>
              <w:spacing w:line="480" w:lineRule="auto"/>
              <w:rPr>
                <w:rFonts w:ascii="Arial" w:hAnsi="Arial" w:cs="Arial"/>
                <w:color w:val="000000" w:themeColor="text1"/>
                <w:sz w:val="20"/>
                <w:szCs w:val="20"/>
              </w:rPr>
            </w:pPr>
          </w:p>
          <w:p w:rsidR="00F22074" w:rsidRP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 xml:space="preserve">Nevertheless, the practices on the </w:t>
            </w:r>
            <w:r w:rsidR="00387B88" w:rsidRPr="00F22074">
              <w:rPr>
                <w:rFonts w:ascii="Arial" w:hAnsi="Arial" w:cs="Arial"/>
                <w:color w:val="000000" w:themeColor="text1"/>
                <w:sz w:val="20"/>
                <w:szCs w:val="20"/>
              </w:rPr>
              <w:t>left-hand</w:t>
            </w:r>
            <w:r w:rsidRPr="00F22074">
              <w:rPr>
                <w:rFonts w:ascii="Arial" w:hAnsi="Arial" w:cs="Arial"/>
                <w:color w:val="000000" w:themeColor="text1"/>
                <w:sz w:val="20"/>
                <w:szCs w:val="20"/>
              </w:rPr>
              <w:t xml:space="preserve"> side columns speak themselves as it means that   organisational resilience and agility would affect performance outcomes and the work with </w:t>
            </w:r>
            <w:r>
              <w:rPr>
                <w:rFonts w:ascii="Arial" w:hAnsi="Arial" w:cs="Arial"/>
                <w:color w:val="000000" w:themeColor="text1"/>
                <w:sz w:val="20"/>
                <w:szCs w:val="20"/>
              </w:rPr>
              <w:t>h</w:t>
            </w:r>
            <w:r w:rsidRPr="00F22074">
              <w:rPr>
                <w:rFonts w:ascii="Arial" w:hAnsi="Arial" w:cs="Arial"/>
                <w:color w:val="000000" w:themeColor="text1"/>
                <w:sz w:val="20"/>
                <w:szCs w:val="20"/>
              </w:rPr>
              <w:t>uman resources would be the core mission here to achieve these two goals at the highest level.</w:t>
            </w:r>
          </w:p>
        </w:tc>
      </w:tr>
      <w:tr w:rsidR="00F22074" w:rsidTr="00F22074">
        <w:trPr>
          <w:trHeight w:val="6511"/>
        </w:trPr>
        <w:tc>
          <w:tcPr>
            <w:tcW w:w="485" w:type="dxa"/>
          </w:tcPr>
          <w:p w:rsidR="00F22074" w:rsidRPr="00F22074" w:rsidRDefault="00F22074" w:rsidP="00F22074">
            <w:pPr>
              <w:spacing w:line="480" w:lineRule="auto"/>
              <w:rPr>
                <w:rFonts w:ascii="Arial" w:hAnsi="Arial" w:cs="Arial"/>
                <w:b/>
                <w:bCs/>
                <w:color w:val="000000" w:themeColor="text1"/>
                <w:sz w:val="20"/>
                <w:szCs w:val="20"/>
              </w:rPr>
            </w:pPr>
            <w:r>
              <w:rPr>
                <w:rFonts w:ascii="Arial" w:hAnsi="Arial" w:cs="Arial"/>
                <w:b/>
                <w:bCs/>
                <w:color w:val="000000" w:themeColor="text1"/>
                <w:sz w:val="20"/>
                <w:szCs w:val="20"/>
              </w:rPr>
              <w:lastRenderedPageBreak/>
              <w:t>2</w:t>
            </w:r>
          </w:p>
        </w:tc>
        <w:tc>
          <w:tcPr>
            <w:tcW w:w="1642" w:type="dxa"/>
          </w:tcPr>
          <w:p w:rsidR="00F22074" w:rsidRPr="00F22074" w:rsidRDefault="00F22074" w:rsidP="00F22074">
            <w:pPr>
              <w:spacing w:line="480" w:lineRule="auto"/>
              <w:rPr>
                <w:rFonts w:ascii="Arial" w:hAnsi="Arial" w:cs="Arial"/>
                <w:b/>
                <w:bCs/>
                <w:color w:val="000000" w:themeColor="text1"/>
                <w:sz w:val="20"/>
                <w:szCs w:val="20"/>
              </w:rPr>
            </w:pPr>
            <w:r w:rsidRPr="00F22074">
              <w:rPr>
                <w:rFonts w:ascii="Arial" w:hAnsi="Arial" w:cs="Arial"/>
                <w:b/>
                <w:bCs/>
                <w:color w:val="000000" w:themeColor="text1"/>
                <w:sz w:val="20"/>
                <w:szCs w:val="20"/>
              </w:rPr>
              <w:t>HRM and resilience</w:t>
            </w:r>
          </w:p>
          <w:p w:rsidR="00F22074" w:rsidRPr="00F22074" w:rsidRDefault="00F22074" w:rsidP="00F22074">
            <w:pPr>
              <w:spacing w:line="480" w:lineRule="auto"/>
              <w:rPr>
                <w:rFonts w:ascii="Arial" w:hAnsi="Arial" w:cs="Arial"/>
                <w:b/>
                <w:bCs/>
                <w:color w:val="000000" w:themeColor="text1"/>
                <w:sz w:val="20"/>
                <w:szCs w:val="20"/>
              </w:rPr>
            </w:pPr>
          </w:p>
        </w:tc>
        <w:tc>
          <w:tcPr>
            <w:tcW w:w="8788" w:type="dxa"/>
          </w:tcPr>
          <w:p w:rsidR="00F22074" w:rsidRP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It is likely that workforce planning strategy towards resilience would not follow the ‘hard way’ which cares only about the number but leans more on the ‘soft way’ which emphasizes on a number of issues that might have impacts on the supply of and demand for employee towards the constant changes and the issues such as: talent management, smart and flexible working (Armstrong &amp; Taylor</w:t>
            </w:r>
            <w:r>
              <w:rPr>
                <w:rFonts w:ascii="Arial" w:hAnsi="Arial" w:cs="Arial"/>
                <w:color w:val="000000" w:themeColor="text1"/>
                <w:sz w:val="20"/>
                <w:szCs w:val="20"/>
              </w:rPr>
              <w:t xml:space="preserve">, </w:t>
            </w:r>
            <w:r w:rsidRPr="00F22074">
              <w:rPr>
                <w:rFonts w:ascii="Arial" w:hAnsi="Arial" w:cs="Arial"/>
                <w:color w:val="000000" w:themeColor="text1"/>
                <w:sz w:val="20"/>
                <w:szCs w:val="20"/>
              </w:rPr>
              <w:t>2014</w:t>
            </w:r>
            <w:r>
              <w:rPr>
                <w:rFonts w:ascii="Arial" w:hAnsi="Arial" w:cs="Arial"/>
                <w:color w:val="000000" w:themeColor="text1"/>
                <w:sz w:val="20"/>
                <w:szCs w:val="20"/>
              </w:rPr>
              <w:t xml:space="preserve"> - </w:t>
            </w:r>
            <w:r w:rsidRPr="00F22074">
              <w:rPr>
                <w:rFonts w:ascii="Arial" w:hAnsi="Arial" w:cs="Arial"/>
                <w:color w:val="000000" w:themeColor="text1"/>
                <w:sz w:val="20"/>
                <w:szCs w:val="20"/>
              </w:rPr>
              <w:t>p216).</w:t>
            </w:r>
          </w:p>
          <w:p w:rsidR="00F22074" w:rsidRPr="00F22074" w:rsidRDefault="00F22074" w:rsidP="00F22074">
            <w:pPr>
              <w:pStyle w:val="ListParagraph"/>
              <w:spacing w:line="480" w:lineRule="auto"/>
              <w:rPr>
                <w:rFonts w:ascii="Arial" w:hAnsi="Arial" w:cs="Arial"/>
                <w:color w:val="000000" w:themeColor="text1"/>
                <w:sz w:val="20"/>
                <w:szCs w:val="20"/>
              </w:rPr>
            </w:pPr>
          </w:p>
          <w:p w:rsidR="00F22074" w:rsidRP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As a result, it requires the HR experts or people professionals to challenge their thinking to go beyond the bottom line, when considering organization health and performance and the links to HR &amp; HRM, they should think about how to create the very workplace where people are treated fair, transparent and inclusive (CIPD</w:t>
            </w:r>
            <w:r>
              <w:rPr>
                <w:rFonts w:ascii="Arial" w:hAnsi="Arial" w:cs="Arial"/>
                <w:color w:val="000000" w:themeColor="text1"/>
                <w:sz w:val="20"/>
                <w:szCs w:val="20"/>
              </w:rPr>
              <w:t>,</w:t>
            </w:r>
            <w:r w:rsidRPr="00F22074">
              <w:rPr>
                <w:rFonts w:ascii="Arial" w:hAnsi="Arial" w:cs="Arial"/>
                <w:color w:val="000000" w:themeColor="text1"/>
                <w:sz w:val="20"/>
                <w:szCs w:val="20"/>
              </w:rPr>
              <w:t xml:space="preserve"> 2019). If you look at the HR wheels formulated by McLagan (Weeks</w:t>
            </w:r>
            <w:r>
              <w:rPr>
                <w:rFonts w:ascii="Arial" w:hAnsi="Arial" w:cs="Arial"/>
                <w:color w:val="000000" w:themeColor="text1"/>
                <w:sz w:val="20"/>
                <w:szCs w:val="20"/>
              </w:rPr>
              <w:t>,</w:t>
            </w:r>
            <w:r w:rsidRPr="00F22074">
              <w:rPr>
                <w:rFonts w:ascii="Arial" w:hAnsi="Arial" w:cs="Arial"/>
                <w:color w:val="000000" w:themeColor="text1"/>
                <w:sz w:val="20"/>
                <w:szCs w:val="20"/>
              </w:rPr>
              <w:t xml:space="preserve"> 2020) you could see all the areas that needed to work on once you know that HRM has the influences on organisational resilience and that</w:t>
            </w:r>
            <w:r w:rsidR="00387B88">
              <w:rPr>
                <w:rFonts w:ascii="Arial" w:hAnsi="Arial" w:cs="Arial"/>
                <w:color w:val="000000" w:themeColor="text1"/>
                <w:sz w:val="20"/>
                <w:szCs w:val="20"/>
              </w:rPr>
              <w:t xml:space="preserve"> is</w:t>
            </w:r>
            <w:r w:rsidRPr="00F22074">
              <w:rPr>
                <w:rFonts w:ascii="Arial" w:hAnsi="Arial" w:cs="Arial"/>
                <w:color w:val="000000" w:themeColor="text1"/>
                <w:sz w:val="20"/>
                <w:szCs w:val="20"/>
              </w:rPr>
              <w:t xml:space="preserve"> the goal that HR experts needs to aim for. Then that’s why, it’s the time that we need to consider a deal with human behaviour &amp; employee behaviour in HRM practices and policie</w:t>
            </w:r>
            <w:r>
              <w:rPr>
                <w:rFonts w:ascii="Arial" w:hAnsi="Arial" w:cs="Arial"/>
                <w:color w:val="000000" w:themeColor="text1"/>
                <w:sz w:val="20"/>
                <w:szCs w:val="20"/>
              </w:rPr>
              <w:t>s.</w:t>
            </w:r>
          </w:p>
        </w:tc>
      </w:tr>
      <w:tr w:rsidR="00F22074" w:rsidTr="00F22074">
        <w:trPr>
          <w:trHeight w:val="841"/>
        </w:trPr>
        <w:tc>
          <w:tcPr>
            <w:tcW w:w="485" w:type="dxa"/>
          </w:tcPr>
          <w:p w:rsidR="00F22074" w:rsidRDefault="00F22074" w:rsidP="00F22074">
            <w:pPr>
              <w:spacing w:line="480" w:lineRule="auto"/>
              <w:rPr>
                <w:rFonts w:ascii="Arial" w:hAnsi="Arial" w:cs="Arial"/>
                <w:b/>
                <w:bCs/>
                <w:color w:val="000000" w:themeColor="text1"/>
                <w:sz w:val="20"/>
                <w:szCs w:val="20"/>
              </w:rPr>
            </w:pPr>
            <w:r>
              <w:rPr>
                <w:rFonts w:ascii="Arial" w:hAnsi="Arial" w:cs="Arial"/>
                <w:b/>
                <w:bCs/>
                <w:color w:val="000000" w:themeColor="text1"/>
                <w:sz w:val="20"/>
                <w:szCs w:val="20"/>
              </w:rPr>
              <w:t>3</w:t>
            </w:r>
          </w:p>
        </w:tc>
        <w:tc>
          <w:tcPr>
            <w:tcW w:w="1642" w:type="dxa"/>
          </w:tcPr>
          <w:p w:rsidR="00F22074" w:rsidRPr="00F22074" w:rsidRDefault="00F22074" w:rsidP="00F22074">
            <w:pPr>
              <w:spacing w:line="480" w:lineRule="auto"/>
              <w:rPr>
                <w:rFonts w:ascii="Arial" w:hAnsi="Arial" w:cs="Arial"/>
                <w:b/>
                <w:bCs/>
                <w:color w:val="000000" w:themeColor="text1"/>
                <w:sz w:val="20"/>
                <w:szCs w:val="20"/>
              </w:rPr>
            </w:pPr>
            <w:r w:rsidRPr="00F22074">
              <w:rPr>
                <w:rFonts w:ascii="Arial" w:hAnsi="Arial" w:cs="Arial"/>
                <w:b/>
                <w:bCs/>
                <w:color w:val="000000" w:themeColor="text1"/>
                <w:sz w:val="20"/>
                <w:szCs w:val="20"/>
              </w:rPr>
              <w:t>The deal with human behaviour &amp; employee behaviour</w:t>
            </w:r>
            <w:r>
              <w:rPr>
                <w:rFonts w:ascii="Arial" w:hAnsi="Arial" w:cs="Arial"/>
                <w:b/>
                <w:bCs/>
                <w:color w:val="000000" w:themeColor="text1"/>
                <w:sz w:val="20"/>
                <w:szCs w:val="20"/>
              </w:rPr>
              <w:t xml:space="preserve"> (employee engagement and commitment)</w:t>
            </w:r>
          </w:p>
          <w:p w:rsidR="00F22074" w:rsidRPr="00F22074" w:rsidRDefault="00F22074" w:rsidP="00F22074">
            <w:pPr>
              <w:spacing w:line="480" w:lineRule="auto"/>
              <w:rPr>
                <w:rFonts w:ascii="Arial" w:hAnsi="Arial" w:cs="Arial"/>
                <w:b/>
                <w:bCs/>
                <w:color w:val="000000" w:themeColor="text1"/>
                <w:sz w:val="20"/>
                <w:szCs w:val="20"/>
              </w:rPr>
            </w:pPr>
          </w:p>
        </w:tc>
        <w:tc>
          <w:tcPr>
            <w:tcW w:w="8788" w:type="dxa"/>
          </w:tcPr>
          <w:p w:rsidR="00F22074" w:rsidRDefault="00F22074" w:rsidP="00F22074">
            <w:pPr>
              <w:spacing w:line="480" w:lineRule="auto"/>
              <w:rPr>
                <w:rFonts w:ascii="Arial" w:hAnsi="Arial" w:cs="Arial"/>
                <w:color w:val="000000" w:themeColor="text1"/>
                <w:sz w:val="20"/>
                <w:szCs w:val="20"/>
              </w:rPr>
            </w:pPr>
            <w:r w:rsidRPr="00F22074">
              <w:rPr>
                <w:rFonts w:ascii="Arial" w:hAnsi="Arial" w:cs="Arial"/>
                <w:color w:val="000000" w:themeColor="text1"/>
                <w:sz w:val="20"/>
                <w:szCs w:val="20"/>
              </w:rPr>
              <w:t>As a matter of fact, because HR is all about the tasks relating to the special type of capital of organisation as human (Armstrong &amp; Taylor</w:t>
            </w:r>
            <w:r>
              <w:rPr>
                <w:rFonts w:ascii="Arial" w:hAnsi="Arial" w:cs="Arial"/>
                <w:color w:val="000000" w:themeColor="text1"/>
                <w:sz w:val="20"/>
                <w:szCs w:val="20"/>
              </w:rPr>
              <w:t xml:space="preserve">, </w:t>
            </w:r>
            <w:r w:rsidRPr="00F22074">
              <w:rPr>
                <w:rFonts w:ascii="Arial" w:hAnsi="Arial" w:cs="Arial"/>
                <w:color w:val="000000" w:themeColor="text1"/>
                <w:sz w:val="20"/>
                <w:szCs w:val="20"/>
              </w:rPr>
              <w:t>2014), it requires the leaders and HR experts to pay a significant attention to the 3 primary factors that places unarguable impacts on human and employee behaviours as: motivation, commitment and employee engagement (Ibid., p167). To what extent, Purcell et al. (2003) explored the ‘black box’ issue regarding HRM and performance link and demonstrated the impacts of AMO (Ability, Motivation and Opportunities) components and why the practices of AMO policies should be adopted and applied by the organisation to encourage their employee behaviours toward enhancing and improving job performance as illustrate</w:t>
            </w:r>
            <w:r>
              <w:rPr>
                <w:rFonts w:ascii="Arial" w:hAnsi="Arial" w:cs="Arial"/>
                <w:color w:val="000000" w:themeColor="text1"/>
                <w:sz w:val="20"/>
                <w:szCs w:val="20"/>
              </w:rPr>
              <w:t>d</w:t>
            </w:r>
            <w:r w:rsidRPr="00F22074">
              <w:rPr>
                <w:rFonts w:ascii="Arial" w:hAnsi="Arial" w:cs="Arial"/>
                <w:color w:val="000000" w:themeColor="text1"/>
                <w:sz w:val="20"/>
                <w:szCs w:val="20"/>
              </w:rPr>
              <w:t xml:space="preserve"> in this figure </w:t>
            </w:r>
            <w:r>
              <w:rPr>
                <w:rFonts w:ascii="Arial" w:hAnsi="Arial" w:cs="Arial"/>
                <w:color w:val="000000" w:themeColor="text1"/>
                <w:sz w:val="20"/>
                <w:szCs w:val="20"/>
              </w:rPr>
              <w:t xml:space="preserve">below </w:t>
            </w:r>
          </w:p>
          <w:p w:rsidR="00F22074" w:rsidRDefault="00F22074" w:rsidP="00F22074">
            <w:pPr>
              <w:spacing w:line="480" w:lineRule="auto"/>
              <w:jc w:val="center"/>
              <w:rPr>
                <w:rFonts w:ascii="Arial" w:hAnsi="Arial" w:cs="Arial"/>
                <w:color w:val="000000" w:themeColor="text1"/>
                <w:sz w:val="20"/>
                <w:szCs w:val="20"/>
              </w:rPr>
            </w:pPr>
            <w:r>
              <w:rPr>
                <w:rFonts w:ascii="Arial" w:hAnsi="Arial" w:cs="Arial"/>
                <w:noProof/>
                <w:color w:val="000000" w:themeColor="text1"/>
                <w:sz w:val="20"/>
                <w:szCs w:val="20"/>
              </w:rPr>
              <w:lastRenderedPageBreak/>
              <w:drawing>
                <wp:inline distT="0" distB="0" distL="0" distR="0">
                  <wp:extent cx="5443220" cy="5126355"/>
                  <wp:effectExtent l="0" t="0" r="5080" b="4445"/>
                  <wp:docPr id="148" name="Picture 14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Diagram&#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443220" cy="5126355"/>
                          </a:xfrm>
                          <a:prstGeom prst="rect">
                            <a:avLst/>
                          </a:prstGeom>
                        </pic:spPr>
                      </pic:pic>
                    </a:graphicData>
                  </a:graphic>
                </wp:inline>
              </w:drawing>
            </w:r>
            <w:r w:rsidRPr="00F22074">
              <w:rPr>
                <w:rFonts w:ascii="Arial" w:hAnsi="Arial" w:cs="Arial"/>
                <w:i/>
                <w:iCs/>
                <w:color w:val="000000" w:themeColor="text1"/>
                <w:sz w:val="20"/>
                <w:szCs w:val="20"/>
              </w:rPr>
              <w:t>(Figure 03 – The people and performance model - From: “Understanding the people and performance link: Unblocking the black box.” – Purcell et al., 2003, Figure 1 - p7).</w:t>
            </w:r>
          </w:p>
          <w:p w:rsidR="00F22074" w:rsidRDefault="00F22074" w:rsidP="00F22074">
            <w:pPr>
              <w:spacing w:line="480" w:lineRule="auto"/>
              <w:rPr>
                <w:rFonts w:ascii="Arial" w:hAnsi="Arial" w:cs="Arial"/>
                <w:color w:val="000000" w:themeColor="text1"/>
                <w:sz w:val="20"/>
                <w:szCs w:val="20"/>
              </w:rPr>
            </w:pPr>
          </w:p>
          <w:p w:rsidR="00F22074" w:rsidRDefault="00F22074" w:rsidP="00F22074">
            <w:pPr>
              <w:spacing w:line="480" w:lineRule="auto"/>
              <w:rPr>
                <w:rFonts w:ascii="Arial" w:hAnsi="Arial" w:cs="Arial"/>
                <w:color w:val="000000" w:themeColor="text1"/>
              </w:rPr>
            </w:pPr>
            <w:r w:rsidRPr="00F22074">
              <w:rPr>
                <w:rFonts w:ascii="Arial" w:hAnsi="Arial" w:cs="Arial"/>
                <w:color w:val="000000" w:themeColor="text1"/>
                <w:sz w:val="20"/>
                <w:szCs w:val="20"/>
              </w:rPr>
              <w:t>And when it comes to the considering job of the basic needs of human-being as employees that HR experts should be familiar with to create motivation, commitment and engagement, self-determination theory with CAR components of Deci &amp; Ryan (2000) should not be overlooked as to fulfil these needs provide each individual their own authenticity – to both enhance the diversity in workplace but allow each person to be valued and thrive based on their different perspectives, beliefs and norms (CIPD 2019) (see figure</w:t>
            </w:r>
            <w:r>
              <w:rPr>
                <w:rFonts w:ascii="Arial" w:hAnsi="Arial" w:cs="Arial"/>
                <w:color w:val="000000" w:themeColor="text1"/>
                <w:sz w:val="20"/>
                <w:szCs w:val="20"/>
              </w:rPr>
              <w:t xml:space="preserve"> 04)</w:t>
            </w:r>
            <w:r w:rsidRPr="00F22074">
              <w:rPr>
                <w:rFonts w:ascii="Arial" w:hAnsi="Arial" w:cs="Arial"/>
                <w:color w:val="000000" w:themeColor="text1"/>
                <w:sz w:val="20"/>
                <w:szCs w:val="20"/>
              </w:rPr>
              <w:t>: Key aspects of individual inclusion – Table 1 – page 9 – CIPD 2019)</w:t>
            </w:r>
            <w:r w:rsidRPr="00F22074">
              <w:rPr>
                <w:rFonts w:ascii="Arial" w:hAnsi="Arial" w:cs="Arial"/>
                <w:color w:val="000000" w:themeColor="text1"/>
              </w:rPr>
              <w:t xml:space="preserve"> </w:t>
            </w:r>
          </w:p>
          <w:p w:rsidR="00F22074" w:rsidRPr="00F22074" w:rsidRDefault="00F22074" w:rsidP="00F22074">
            <w:pPr>
              <w:spacing w:line="48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extent cx="5443220" cy="2907030"/>
                  <wp:effectExtent l="0" t="0" r="5080" b="1270"/>
                  <wp:docPr id="149" name="Picture 1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Tabl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443220" cy="2907030"/>
                          </a:xfrm>
                          <a:prstGeom prst="rect">
                            <a:avLst/>
                          </a:prstGeom>
                        </pic:spPr>
                      </pic:pic>
                    </a:graphicData>
                  </a:graphic>
                </wp:inline>
              </w:drawing>
            </w:r>
            <w:r w:rsidRPr="00F22074">
              <w:rPr>
                <w:rFonts w:ascii="Arial" w:hAnsi="Arial" w:cs="Arial"/>
                <w:i/>
                <w:iCs/>
                <w:color w:val="000000" w:themeColor="text1"/>
                <w:sz w:val="20"/>
                <w:szCs w:val="20"/>
              </w:rPr>
              <w:t>(Figure 04 – Key aspects of individual inclusion - From: “Building inclusive workplace. Assessing the evidence</w:t>
            </w:r>
            <w:r>
              <w:rPr>
                <w:rFonts w:ascii="Arial" w:hAnsi="Arial" w:cs="Arial"/>
                <w:i/>
                <w:iCs/>
                <w:color w:val="000000" w:themeColor="text1"/>
                <w:sz w:val="20"/>
                <w:szCs w:val="20"/>
              </w:rPr>
              <w:t>.”</w:t>
            </w:r>
            <w:r w:rsidRPr="00F22074">
              <w:rPr>
                <w:rFonts w:ascii="Arial" w:hAnsi="Arial" w:cs="Arial"/>
                <w:i/>
                <w:iCs/>
                <w:color w:val="000000" w:themeColor="text1"/>
                <w:sz w:val="20"/>
                <w:szCs w:val="20"/>
              </w:rPr>
              <w:t xml:space="preserve"> – CIPD, 2019, Table 1 – p9)</w:t>
            </w:r>
          </w:p>
        </w:tc>
      </w:tr>
    </w:tbl>
    <w:p w:rsidR="00F2066D" w:rsidRPr="00F22074" w:rsidRDefault="00F2066D" w:rsidP="00F22074">
      <w:pPr>
        <w:spacing w:line="480" w:lineRule="auto"/>
        <w:rPr>
          <w:rFonts w:ascii="Arial" w:hAnsi="Arial" w:cs="Arial"/>
          <w:color w:val="000000" w:themeColor="text1"/>
        </w:rPr>
      </w:pPr>
    </w:p>
    <w:p w:rsidR="00F2066D" w:rsidRPr="00F22074" w:rsidRDefault="00F2066D" w:rsidP="00F22074">
      <w:pPr>
        <w:spacing w:line="480" w:lineRule="auto"/>
        <w:rPr>
          <w:rFonts w:ascii="Arial" w:hAnsi="Arial" w:cs="Arial"/>
          <w:b/>
          <w:bCs/>
          <w:color w:val="000000" w:themeColor="text1"/>
        </w:rPr>
      </w:pPr>
      <w:r w:rsidRPr="00F22074">
        <w:rPr>
          <w:rFonts w:ascii="Arial" w:hAnsi="Arial" w:cs="Arial"/>
          <w:b/>
          <w:bCs/>
          <w:color w:val="000000" w:themeColor="text1"/>
        </w:rPr>
        <w:t>To build a resilient portfolio</w:t>
      </w:r>
    </w:p>
    <w:p w:rsidR="00F2066D" w:rsidRPr="00F22074" w:rsidRDefault="00F2066D" w:rsidP="00F22074">
      <w:pPr>
        <w:spacing w:line="480" w:lineRule="auto"/>
        <w:rPr>
          <w:rFonts w:ascii="Arial" w:hAnsi="Arial" w:cs="Arial"/>
          <w:color w:val="000000" w:themeColor="text1"/>
        </w:rPr>
      </w:pPr>
      <w:r w:rsidRPr="00F22074">
        <w:rPr>
          <w:rFonts w:ascii="Arial" w:hAnsi="Arial" w:cs="Arial"/>
          <w:color w:val="000000" w:themeColor="text1"/>
        </w:rPr>
        <w:t xml:space="preserve">Based on the findings above, to build a resilient advanced portfolio, the organisation should follow these steps (Deloitte 2019, p6) </w:t>
      </w:r>
    </w:p>
    <w:p w:rsidR="00F2066D" w:rsidRPr="00831C06" w:rsidRDefault="00F2066D" w:rsidP="00831C06">
      <w:pPr>
        <w:pStyle w:val="ListParagraph"/>
        <w:spacing w:line="480" w:lineRule="auto"/>
        <w:rPr>
          <w:rFonts w:ascii="Arial" w:hAnsi="Arial" w:cs="Arial"/>
          <w:color w:val="000000" w:themeColor="text1"/>
        </w:rPr>
      </w:pPr>
    </w:p>
    <w:p w:rsidR="00F2066D" w:rsidRDefault="00F2066D" w:rsidP="00831C06">
      <w:pPr>
        <w:pStyle w:val="ListParagraph"/>
        <w:spacing w:line="480" w:lineRule="auto"/>
        <w:rPr>
          <w:rFonts w:ascii="Arial" w:hAnsi="Arial" w:cs="Arial"/>
          <w:color w:val="000000" w:themeColor="text1"/>
        </w:rPr>
      </w:pPr>
      <w:r w:rsidRPr="00831C06">
        <w:rPr>
          <w:rFonts w:ascii="Arial" w:hAnsi="Arial" w:cs="Arial"/>
          <w:noProof/>
          <w:color w:val="000000" w:themeColor="text1"/>
        </w:rPr>
        <w:drawing>
          <wp:inline distT="0" distB="0" distL="0" distR="0" wp14:anchorId="2186572E" wp14:editId="39CB561B">
            <wp:extent cx="5727700" cy="2258695"/>
            <wp:effectExtent l="0" t="0" r="0" b="190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vantaged portfolio - Deloitte p6.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27700" cy="2258695"/>
                    </a:xfrm>
                    <a:prstGeom prst="rect">
                      <a:avLst/>
                    </a:prstGeom>
                  </pic:spPr>
                </pic:pic>
              </a:graphicData>
            </a:graphic>
          </wp:inline>
        </w:drawing>
      </w:r>
    </w:p>
    <w:p w:rsidR="00F2066D" w:rsidRPr="00F22074" w:rsidRDefault="00F22074" w:rsidP="00831C06">
      <w:pPr>
        <w:pStyle w:val="ListParagraph"/>
        <w:spacing w:line="480" w:lineRule="auto"/>
        <w:rPr>
          <w:rFonts w:ascii="Arial" w:hAnsi="Arial" w:cs="Arial"/>
          <w:color w:val="000000" w:themeColor="text1"/>
        </w:rPr>
      </w:pPr>
      <w:r w:rsidRPr="00F22074">
        <w:rPr>
          <w:rFonts w:ascii="Arial" w:hAnsi="Arial" w:cs="Arial"/>
          <w:i/>
          <w:iCs/>
          <w:color w:val="000000" w:themeColor="text1"/>
        </w:rPr>
        <w:t>(Figure 0</w:t>
      </w:r>
      <w:r>
        <w:rPr>
          <w:rFonts w:ascii="Arial" w:hAnsi="Arial" w:cs="Arial"/>
          <w:i/>
          <w:iCs/>
          <w:color w:val="000000" w:themeColor="text1"/>
        </w:rPr>
        <w:t>5</w:t>
      </w:r>
      <w:r w:rsidRPr="00F22074">
        <w:rPr>
          <w:rFonts w:ascii="Arial" w:hAnsi="Arial" w:cs="Arial"/>
          <w:i/>
          <w:iCs/>
          <w:color w:val="000000" w:themeColor="text1"/>
        </w:rPr>
        <w:t xml:space="preserve"> – </w:t>
      </w:r>
      <w:r>
        <w:rPr>
          <w:rFonts w:ascii="Arial" w:hAnsi="Arial" w:cs="Arial"/>
          <w:i/>
          <w:iCs/>
          <w:color w:val="000000" w:themeColor="text1"/>
        </w:rPr>
        <w:t>Three characteristic of an Advantaged organisational portfolio</w:t>
      </w:r>
      <w:r w:rsidRPr="00F22074">
        <w:rPr>
          <w:rFonts w:ascii="Arial" w:hAnsi="Arial" w:cs="Arial"/>
          <w:i/>
          <w:iCs/>
          <w:color w:val="000000" w:themeColor="text1"/>
        </w:rPr>
        <w:t xml:space="preserve"> - From: “</w:t>
      </w:r>
      <w:r>
        <w:rPr>
          <w:rFonts w:ascii="Arial" w:hAnsi="Arial" w:cs="Arial"/>
          <w:i/>
          <w:iCs/>
          <w:color w:val="000000" w:themeColor="text1"/>
        </w:rPr>
        <w:t xml:space="preserve">Braving the wind of change. Resilient portfolio strategy.” </w:t>
      </w:r>
      <w:r w:rsidRPr="00F22074">
        <w:rPr>
          <w:rFonts w:ascii="Arial" w:hAnsi="Arial" w:cs="Arial"/>
          <w:i/>
          <w:iCs/>
          <w:color w:val="000000" w:themeColor="text1"/>
        </w:rPr>
        <w:t xml:space="preserve">– </w:t>
      </w:r>
      <w:r>
        <w:rPr>
          <w:rFonts w:ascii="Arial" w:hAnsi="Arial" w:cs="Arial"/>
          <w:i/>
          <w:iCs/>
          <w:color w:val="000000" w:themeColor="text1"/>
        </w:rPr>
        <w:t>Deloitte</w:t>
      </w:r>
      <w:r w:rsidRPr="00F22074">
        <w:rPr>
          <w:rFonts w:ascii="Arial" w:hAnsi="Arial" w:cs="Arial"/>
          <w:i/>
          <w:iCs/>
          <w:color w:val="000000" w:themeColor="text1"/>
        </w:rPr>
        <w:t xml:space="preserve">, 2019, </w:t>
      </w:r>
      <w:r>
        <w:rPr>
          <w:rFonts w:ascii="Arial" w:hAnsi="Arial" w:cs="Arial"/>
          <w:i/>
          <w:iCs/>
          <w:color w:val="000000" w:themeColor="text1"/>
        </w:rPr>
        <w:t>Figure 2 – p6).</w:t>
      </w:r>
    </w:p>
    <w:p w:rsidR="00F2066D" w:rsidRDefault="00F22074" w:rsidP="00F22074">
      <w:pPr>
        <w:spacing w:line="480" w:lineRule="auto"/>
        <w:rPr>
          <w:rFonts w:ascii="Arial" w:hAnsi="Arial" w:cs="Arial"/>
          <w:b/>
          <w:bCs/>
          <w:color w:val="000000" w:themeColor="text1"/>
        </w:rPr>
      </w:pPr>
      <w:r w:rsidRPr="00F22074">
        <w:rPr>
          <w:rFonts w:ascii="Arial" w:hAnsi="Arial" w:cs="Arial"/>
          <w:b/>
          <w:bCs/>
          <w:color w:val="000000" w:themeColor="text1"/>
        </w:rPr>
        <w:lastRenderedPageBreak/>
        <w:t xml:space="preserve">HR </w:t>
      </w:r>
      <w:r w:rsidR="00F2066D" w:rsidRPr="00F22074">
        <w:rPr>
          <w:rFonts w:ascii="Arial" w:hAnsi="Arial" w:cs="Arial"/>
          <w:b/>
          <w:bCs/>
          <w:color w:val="000000" w:themeColor="text1"/>
        </w:rPr>
        <w:t xml:space="preserve">Model </w:t>
      </w:r>
      <w:r w:rsidRPr="00F22074">
        <w:rPr>
          <w:rFonts w:ascii="Arial" w:hAnsi="Arial" w:cs="Arial"/>
          <w:b/>
          <w:bCs/>
          <w:color w:val="000000" w:themeColor="text1"/>
        </w:rPr>
        <w:t>(with the combination of</w:t>
      </w:r>
      <w:r w:rsidR="00F2066D" w:rsidRPr="00F22074">
        <w:rPr>
          <w:rFonts w:ascii="Arial" w:hAnsi="Arial" w:cs="Arial"/>
          <w:b/>
          <w:bCs/>
          <w:color w:val="000000" w:themeColor="text1"/>
        </w:rPr>
        <w:t xml:space="preserve"> Soft way of thinking – SSM (Checkland</w:t>
      </w:r>
      <w:r w:rsidRPr="00F22074">
        <w:rPr>
          <w:rFonts w:ascii="Arial" w:hAnsi="Arial" w:cs="Arial"/>
          <w:b/>
          <w:bCs/>
          <w:color w:val="000000" w:themeColor="text1"/>
        </w:rPr>
        <w:t>,</w:t>
      </w:r>
      <w:r w:rsidR="00F2066D" w:rsidRPr="00F22074">
        <w:rPr>
          <w:rFonts w:ascii="Arial" w:hAnsi="Arial" w:cs="Arial"/>
          <w:b/>
          <w:bCs/>
          <w:color w:val="000000" w:themeColor="text1"/>
        </w:rPr>
        <w:t xml:space="preserve"> 2000)</w:t>
      </w:r>
      <w:r w:rsidRPr="00F22074">
        <w:rPr>
          <w:rFonts w:ascii="Arial" w:hAnsi="Arial" w:cs="Arial"/>
          <w:b/>
          <w:bCs/>
          <w:color w:val="000000" w:themeColor="text1"/>
        </w:rPr>
        <w:t>)</w:t>
      </w:r>
    </w:p>
    <w:p w:rsidR="006070FD" w:rsidRDefault="006070FD" w:rsidP="00F22074">
      <w:pPr>
        <w:spacing w:line="480" w:lineRule="auto"/>
        <w:rPr>
          <w:rFonts w:ascii="Arial" w:hAnsi="Arial" w:cs="Arial"/>
          <w:b/>
          <w:bCs/>
          <w:color w:val="000000" w:themeColor="text1"/>
        </w:rPr>
      </w:pPr>
      <w:r>
        <w:rPr>
          <w:rFonts w:ascii="Arial" w:hAnsi="Arial" w:cs="Arial"/>
          <w:b/>
          <w:bCs/>
          <w:noProof/>
          <w:color w:val="000000" w:themeColor="text1"/>
        </w:rPr>
        <w:drawing>
          <wp:inline distT="0" distB="0" distL="0" distR="0">
            <wp:extent cx="5727700" cy="3475990"/>
            <wp:effectExtent l="0" t="0" r="0" b="381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27700" cy="3475990"/>
                    </a:xfrm>
                    <a:prstGeom prst="rect">
                      <a:avLst/>
                    </a:prstGeom>
                  </pic:spPr>
                </pic:pic>
              </a:graphicData>
            </a:graphic>
          </wp:inline>
        </w:drawing>
      </w:r>
    </w:p>
    <w:p w:rsidR="006070FD" w:rsidRDefault="006070FD" w:rsidP="006070FD">
      <w:pPr>
        <w:spacing w:line="480" w:lineRule="auto"/>
        <w:jc w:val="center"/>
        <w:rPr>
          <w:rFonts w:ascii="Arial" w:hAnsi="Arial" w:cs="Arial"/>
          <w:i/>
          <w:iCs/>
          <w:color w:val="000000" w:themeColor="text1"/>
        </w:rPr>
      </w:pPr>
      <w:r w:rsidRPr="00522F89">
        <w:rPr>
          <w:rFonts w:ascii="Arial" w:hAnsi="Arial" w:cs="Arial"/>
          <w:i/>
          <w:iCs/>
          <w:color w:val="000000" w:themeColor="text1"/>
        </w:rPr>
        <w:t>(Figure 0</w:t>
      </w:r>
      <w:r>
        <w:rPr>
          <w:rFonts w:ascii="Arial" w:hAnsi="Arial" w:cs="Arial"/>
          <w:i/>
          <w:iCs/>
          <w:color w:val="000000" w:themeColor="text1"/>
        </w:rPr>
        <w:t>6</w:t>
      </w:r>
      <w:r w:rsidRPr="00522F89">
        <w:rPr>
          <w:rFonts w:ascii="Arial" w:hAnsi="Arial" w:cs="Arial"/>
          <w:i/>
          <w:iCs/>
          <w:color w:val="000000" w:themeColor="text1"/>
        </w:rPr>
        <w:t xml:space="preserve"> - A model identifies how HR factors have influences on organisational resilience with the link between engagement, commitment and performance – Le, 2020)</w:t>
      </w:r>
    </w:p>
    <w:p w:rsidR="006070FD" w:rsidRPr="006070FD" w:rsidRDefault="006070FD" w:rsidP="006070FD">
      <w:pPr>
        <w:spacing w:line="480" w:lineRule="auto"/>
        <w:jc w:val="center"/>
        <w:rPr>
          <w:rFonts w:ascii="Arial" w:hAnsi="Arial" w:cs="Arial"/>
          <w:i/>
          <w:iCs/>
          <w:color w:val="000000" w:themeColor="text1"/>
        </w:rPr>
      </w:pPr>
    </w:p>
    <w:p w:rsidR="00F2066D" w:rsidRPr="00F22074" w:rsidRDefault="00F2066D" w:rsidP="00F22074">
      <w:pPr>
        <w:spacing w:line="480" w:lineRule="auto"/>
        <w:rPr>
          <w:rFonts w:ascii="Arial" w:hAnsi="Arial" w:cs="Arial"/>
          <w:color w:val="000000" w:themeColor="text1"/>
        </w:rPr>
      </w:pPr>
      <w:r w:rsidRPr="00F22074">
        <w:rPr>
          <w:rFonts w:ascii="Arial" w:hAnsi="Arial" w:cs="Arial"/>
          <w:color w:val="000000" w:themeColor="text1"/>
        </w:rPr>
        <w:t>As a result, based on the findings above, with the 3-stage strategic plan to build a resilient and competent portfolio for any organisations, I would like to adopt soft way of system thinking and Soft system methodology (Checkland</w:t>
      </w:r>
      <w:r w:rsidR="00F22074">
        <w:rPr>
          <w:rFonts w:ascii="Arial" w:hAnsi="Arial" w:cs="Arial"/>
          <w:color w:val="000000" w:themeColor="text1"/>
        </w:rPr>
        <w:t>,</w:t>
      </w:r>
      <w:r w:rsidRPr="00F22074">
        <w:rPr>
          <w:rFonts w:ascii="Arial" w:hAnsi="Arial" w:cs="Arial"/>
          <w:color w:val="000000" w:themeColor="text1"/>
        </w:rPr>
        <w:t xml:space="preserve"> 2000) </w:t>
      </w:r>
      <w:r w:rsidR="00F22074">
        <w:rPr>
          <w:rFonts w:ascii="Arial" w:hAnsi="Arial" w:cs="Arial"/>
          <w:color w:val="000000" w:themeColor="text1"/>
        </w:rPr>
        <w:t xml:space="preserve">as the primary component </w:t>
      </w:r>
      <w:r w:rsidRPr="00F22074">
        <w:rPr>
          <w:rFonts w:ascii="Arial" w:hAnsi="Arial" w:cs="Arial"/>
          <w:color w:val="000000" w:themeColor="text1"/>
        </w:rPr>
        <w:t xml:space="preserve">to formulate the model that could identifies how </w:t>
      </w:r>
      <w:r w:rsidRPr="00F22074">
        <w:rPr>
          <w:rFonts w:ascii="Arial" w:hAnsi="Arial" w:cs="Arial"/>
          <w:b/>
          <w:bCs/>
          <w:color w:val="000000" w:themeColor="text1"/>
          <w:shd w:val="clear" w:color="auto" w:fill="FCD116"/>
        </w:rPr>
        <w:t>Human Resource factors</w:t>
      </w:r>
      <w:r w:rsidRPr="00F22074">
        <w:rPr>
          <w:rFonts w:ascii="Arial" w:hAnsi="Arial" w:cs="Arial"/>
          <w:color w:val="000000" w:themeColor="text1"/>
        </w:rPr>
        <w:t xml:space="preserve"> </w:t>
      </w:r>
      <w:r w:rsidRPr="00F22074">
        <w:rPr>
          <w:rFonts w:ascii="Arial" w:hAnsi="Arial" w:cs="Arial"/>
          <w:color w:val="000000" w:themeColor="text1"/>
          <w:u w:val="single"/>
        </w:rPr>
        <w:t>influencing</w:t>
      </w:r>
      <w:r w:rsidRPr="00F22074">
        <w:rPr>
          <w:rFonts w:ascii="Arial" w:hAnsi="Arial" w:cs="Arial"/>
          <w:color w:val="000000" w:themeColor="text1"/>
        </w:rPr>
        <w:t xml:space="preserve"> </w:t>
      </w:r>
      <w:r w:rsidRPr="00F22074">
        <w:rPr>
          <w:rFonts w:ascii="Arial" w:hAnsi="Arial" w:cs="Arial"/>
          <w:b/>
          <w:bCs/>
          <w:color w:val="000000" w:themeColor="text1"/>
          <w:shd w:val="clear" w:color="auto" w:fill="FCD116"/>
        </w:rPr>
        <w:t>organisational resilience</w:t>
      </w:r>
      <w:r w:rsidRPr="00F22074">
        <w:rPr>
          <w:rFonts w:ascii="Arial" w:hAnsi="Arial" w:cs="Arial"/>
          <w:color w:val="000000" w:themeColor="text1"/>
          <w:shd w:val="clear" w:color="auto" w:fill="FCD116"/>
        </w:rPr>
        <w:t xml:space="preserve"> </w:t>
      </w:r>
      <w:r w:rsidRPr="00F22074">
        <w:rPr>
          <w:rFonts w:ascii="Arial" w:hAnsi="Arial" w:cs="Arial"/>
          <w:color w:val="000000" w:themeColor="text1"/>
        </w:rPr>
        <w:t>and that also accounts for the links between such things as engagement, commitment and performance</w:t>
      </w:r>
      <w:r w:rsidR="006070FD">
        <w:rPr>
          <w:rFonts w:ascii="Arial" w:hAnsi="Arial" w:cs="Arial"/>
          <w:color w:val="000000" w:themeColor="text1"/>
        </w:rPr>
        <w:t xml:space="preserve"> (see Figure 06)</w:t>
      </w:r>
    </w:p>
    <w:p w:rsidR="00F2066D" w:rsidRPr="00831C06" w:rsidRDefault="00F2066D" w:rsidP="00831C06">
      <w:pPr>
        <w:pStyle w:val="ListParagraph"/>
        <w:spacing w:line="480" w:lineRule="auto"/>
        <w:rPr>
          <w:rFonts w:ascii="Arial" w:hAnsi="Arial" w:cs="Arial"/>
          <w:color w:val="000000" w:themeColor="text1"/>
        </w:rPr>
      </w:pPr>
    </w:p>
    <w:p w:rsidR="00F2066D" w:rsidRPr="00F22074" w:rsidRDefault="00F2066D" w:rsidP="00F22074">
      <w:pPr>
        <w:spacing w:line="480" w:lineRule="auto"/>
        <w:rPr>
          <w:rFonts w:ascii="Arial" w:hAnsi="Arial" w:cs="Arial"/>
          <w:color w:val="000000" w:themeColor="text1"/>
        </w:rPr>
      </w:pPr>
      <w:r w:rsidRPr="00F22074">
        <w:rPr>
          <w:rFonts w:ascii="Arial" w:hAnsi="Arial" w:cs="Arial"/>
          <w:color w:val="000000" w:themeColor="text1"/>
        </w:rPr>
        <w:t xml:space="preserve">By being flexible enough to be situated both inside and outside of the system, the HR expert as a practitioner could be able to have the most thorough insights into his </w:t>
      </w:r>
      <w:r w:rsidRPr="00F22074">
        <w:rPr>
          <w:rFonts w:ascii="Arial" w:hAnsi="Arial" w:cs="Arial"/>
          <w:color w:val="000000" w:themeColor="text1"/>
        </w:rPr>
        <w:lastRenderedPageBreak/>
        <w:t xml:space="preserve">organisation, enhance and leverage his understanding about all the interacting elements in within the system especially human-being nodes through the CATWOE analysis in the third step of SSM process. If only that work is considered being done, then how human resources factors might have what kind of impacts on organisational resilience could be revealed. </w:t>
      </w:r>
    </w:p>
    <w:p w:rsidR="00F2066D" w:rsidRPr="00831C06" w:rsidRDefault="00F2066D" w:rsidP="00831C06">
      <w:pPr>
        <w:pStyle w:val="ListParagraph"/>
        <w:spacing w:line="480" w:lineRule="auto"/>
        <w:rPr>
          <w:rFonts w:ascii="Arial" w:hAnsi="Arial" w:cs="Arial"/>
          <w:color w:val="000000" w:themeColor="text1"/>
        </w:rPr>
      </w:pPr>
    </w:p>
    <w:p w:rsidR="00F2066D" w:rsidRPr="00F22074" w:rsidRDefault="00F2066D" w:rsidP="00F22074">
      <w:pPr>
        <w:spacing w:line="480" w:lineRule="auto"/>
        <w:rPr>
          <w:rFonts w:ascii="Arial" w:hAnsi="Arial" w:cs="Arial"/>
          <w:color w:val="000000" w:themeColor="text1"/>
        </w:rPr>
      </w:pPr>
      <w:r w:rsidRPr="00F22074">
        <w:rPr>
          <w:rFonts w:ascii="Arial" w:hAnsi="Arial" w:cs="Arial"/>
          <w:color w:val="000000" w:themeColor="text1"/>
        </w:rPr>
        <w:t>After that, as also mentioned previously, beside the need of anticipation to probe and sense the situation, there’s a need for an agile leader to be able to bounce back which means that he needs to be able to take advantages from the feedback and learning loops to learn and make sense from the experiences so that he could solve the problems that HR factors might have on organisational resilience through some feasible and efficient solutions on employee engagement, commitment and performance.</w:t>
      </w:r>
    </w:p>
    <w:p w:rsidR="00603813" w:rsidRPr="00831C06" w:rsidRDefault="00603813" w:rsidP="00831C06">
      <w:pPr>
        <w:spacing w:line="480" w:lineRule="auto"/>
        <w:rPr>
          <w:rFonts w:ascii="Arial" w:hAnsi="Arial" w:cs="Arial"/>
          <w:color w:val="000000" w:themeColor="text1"/>
        </w:rPr>
      </w:pPr>
    </w:p>
    <w:p w:rsidR="00603813" w:rsidRPr="00F22074" w:rsidRDefault="00F22074" w:rsidP="00F22074">
      <w:pPr>
        <w:spacing w:line="480" w:lineRule="auto"/>
        <w:rPr>
          <w:rFonts w:ascii="Arial" w:hAnsi="Arial" w:cs="Arial"/>
          <w:b/>
          <w:bCs/>
          <w:color w:val="000000" w:themeColor="text1"/>
        </w:rPr>
      </w:pPr>
      <w:r w:rsidRPr="00F22074">
        <w:rPr>
          <w:rFonts w:ascii="Arial" w:hAnsi="Arial" w:cs="Arial"/>
          <w:b/>
          <w:bCs/>
          <w:color w:val="000000" w:themeColor="text1"/>
        </w:rPr>
        <w:t>Application of the model in the context of Delaware North (CATWOE analysis) and how it will respond with difficulties caused by the pandemic Covid-19</w:t>
      </w:r>
    </w:p>
    <w:tbl>
      <w:tblPr>
        <w:tblStyle w:val="TableGrid"/>
        <w:tblW w:w="0" w:type="auto"/>
        <w:tblLook w:val="04A0" w:firstRow="1" w:lastRow="0" w:firstColumn="1" w:lastColumn="0" w:noHBand="0" w:noVBand="1"/>
      </w:tblPr>
      <w:tblGrid>
        <w:gridCol w:w="2689"/>
        <w:gridCol w:w="6321"/>
      </w:tblGrid>
      <w:tr w:rsidR="00F22074" w:rsidRPr="00F22074" w:rsidTr="00F22074">
        <w:tc>
          <w:tcPr>
            <w:tcW w:w="2689" w:type="dxa"/>
          </w:tcPr>
          <w:p w:rsidR="00F22074" w:rsidRPr="00F22074" w:rsidRDefault="00F22074" w:rsidP="00F22074">
            <w:pPr>
              <w:pStyle w:val="NormalWeb"/>
              <w:spacing w:before="0" w:beforeAutospacing="0" w:after="0" w:afterAutospacing="0" w:line="480" w:lineRule="auto"/>
              <w:jc w:val="center"/>
              <w:rPr>
                <w:rFonts w:ascii="Arial" w:hAnsi="Arial" w:cs="Arial"/>
              </w:rPr>
            </w:pPr>
            <w:r w:rsidRPr="00F22074">
              <w:rPr>
                <w:rFonts w:ascii="Arial" w:hAnsi="Arial" w:cs="Arial"/>
                <w:b/>
                <w:bCs/>
                <w:color w:val="000000" w:themeColor="text1"/>
                <w:kern w:val="24"/>
                <w:lang w:val="en-US"/>
              </w:rPr>
              <w:t>Factors</w:t>
            </w:r>
          </w:p>
        </w:tc>
        <w:tc>
          <w:tcPr>
            <w:tcW w:w="6321" w:type="dxa"/>
          </w:tcPr>
          <w:p w:rsidR="00F22074" w:rsidRPr="00F22074" w:rsidRDefault="00F22074" w:rsidP="00F22074">
            <w:pPr>
              <w:spacing w:line="480" w:lineRule="auto"/>
              <w:jc w:val="center"/>
              <w:rPr>
                <w:rFonts w:ascii="Arial" w:hAnsi="Arial" w:cs="Arial"/>
                <w:b/>
                <w:bCs/>
                <w:color w:val="000000" w:themeColor="text1"/>
              </w:rPr>
            </w:pPr>
            <w:r w:rsidRPr="00F22074">
              <w:rPr>
                <w:rFonts w:ascii="Arial" w:hAnsi="Arial" w:cs="Arial"/>
                <w:b/>
                <w:bCs/>
                <w:color w:val="000000" w:themeColor="text1"/>
                <w:lang w:val="en-US"/>
              </w:rPr>
              <w:t>Description - Explanation</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C: Customer</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color w:val="000000" w:themeColor="text1"/>
                <w:kern w:val="24"/>
              </w:rPr>
            </w:pPr>
            <w:r w:rsidRPr="00F22074">
              <w:rPr>
                <w:rFonts w:ascii="Arial" w:hAnsi="Arial" w:cs="Arial"/>
                <w:color w:val="000000" w:themeColor="text1"/>
                <w:kern w:val="24"/>
                <w:lang w:val="en-US"/>
              </w:rPr>
              <w:t>Organizational resilience: performance outcome, diverse stakeholders</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A: Actor</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Employees, employers, HR experts/people professionals, HR factors/ policies</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T: Transformation</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Understanding how HR factors influence organizational resilience (commitment, engagement and performance)  =&gt; Mitigate the constraints, take advantage of the opportunities</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lastRenderedPageBreak/>
              <w:t>W: Worldview</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The external stakeholders</w:t>
            </w:r>
          </w:p>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The direct, indirect competitors</w:t>
            </w:r>
          </w:p>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The intermediary partners (HR platforms)</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O: Owners</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lang w:val="en-US"/>
              </w:rPr>
              <w:t>Board of director; HR department/ executives/ experts/ fellows; line managers; leaders</w:t>
            </w:r>
          </w:p>
        </w:tc>
      </w:tr>
      <w:tr w:rsidR="00F22074" w:rsidRPr="00F22074" w:rsidTr="00F22074">
        <w:tc>
          <w:tcPr>
            <w:tcW w:w="2689"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E: Environmental constraints</w:t>
            </w:r>
          </w:p>
        </w:tc>
        <w:tc>
          <w:tcPr>
            <w:tcW w:w="6321" w:type="dxa"/>
          </w:tcPr>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Macro factors analysing by PESTLE (Mindtools 2020):</w:t>
            </w:r>
          </w:p>
          <w:p w:rsidR="00F22074" w:rsidRPr="00F22074" w:rsidRDefault="00F22074" w:rsidP="00F22074">
            <w:pPr>
              <w:pStyle w:val="NormalWeb"/>
              <w:spacing w:before="0" w:beforeAutospacing="0" w:after="0" w:afterAutospacing="0" w:line="480" w:lineRule="auto"/>
              <w:rPr>
                <w:rFonts w:ascii="Arial" w:hAnsi="Arial" w:cs="Arial"/>
              </w:rPr>
            </w:pPr>
            <w:r w:rsidRPr="00F22074">
              <w:rPr>
                <w:rFonts w:ascii="Arial" w:hAnsi="Arial" w:cs="Arial"/>
                <w:color w:val="000000" w:themeColor="dark1"/>
                <w:kern w:val="24"/>
              </w:rPr>
              <w:t>Political; Economy, Technology; Social, Legacy, and Environment</w:t>
            </w:r>
          </w:p>
        </w:tc>
      </w:tr>
    </w:tbl>
    <w:p w:rsidR="00F22074" w:rsidRDefault="00F22074" w:rsidP="00F22074">
      <w:pPr>
        <w:pStyle w:val="ListParagraph"/>
        <w:spacing w:line="480" w:lineRule="auto"/>
        <w:rPr>
          <w:rFonts w:ascii="Arial" w:hAnsi="Arial" w:cs="Arial"/>
          <w:i/>
          <w:iCs/>
          <w:color w:val="000000" w:themeColor="text1"/>
        </w:rPr>
      </w:pPr>
      <w:r w:rsidRPr="00F22074">
        <w:rPr>
          <w:rFonts w:ascii="Arial" w:hAnsi="Arial" w:cs="Arial"/>
          <w:i/>
          <w:iCs/>
          <w:color w:val="000000" w:themeColor="text1"/>
        </w:rPr>
        <w:t>(Figure 0</w:t>
      </w:r>
      <w:r w:rsidR="006070FD">
        <w:rPr>
          <w:rFonts w:ascii="Arial" w:hAnsi="Arial" w:cs="Arial"/>
          <w:i/>
          <w:iCs/>
          <w:color w:val="000000" w:themeColor="text1"/>
        </w:rPr>
        <w:t>7</w:t>
      </w:r>
      <w:r w:rsidRPr="00F22074">
        <w:rPr>
          <w:rFonts w:ascii="Arial" w:hAnsi="Arial" w:cs="Arial"/>
          <w:i/>
          <w:iCs/>
          <w:color w:val="000000" w:themeColor="text1"/>
        </w:rPr>
        <w:t xml:space="preserve"> – </w:t>
      </w:r>
      <w:r>
        <w:rPr>
          <w:rFonts w:ascii="Arial" w:hAnsi="Arial" w:cs="Arial"/>
          <w:i/>
          <w:iCs/>
          <w:color w:val="000000" w:themeColor="text1"/>
        </w:rPr>
        <w:t>CATWOE analysis for Delaware North – Le, 2020).</w:t>
      </w:r>
    </w:p>
    <w:p w:rsidR="00C04479" w:rsidRDefault="00C04479" w:rsidP="00F22074">
      <w:pPr>
        <w:pStyle w:val="ListParagraph"/>
        <w:spacing w:line="480" w:lineRule="auto"/>
        <w:rPr>
          <w:rFonts w:ascii="Arial" w:hAnsi="Arial" w:cs="Arial"/>
          <w:i/>
          <w:iCs/>
          <w:color w:val="000000" w:themeColor="text1"/>
        </w:rPr>
      </w:pPr>
    </w:p>
    <w:p w:rsidR="00F22074" w:rsidRDefault="00F22074" w:rsidP="00F22074">
      <w:pPr>
        <w:spacing w:line="480" w:lineRule="auto"/>
        <w:rPr>
          <w:rFonts w:ascii="Arial" w:hAnsi="Arial" w:cs="Arial"/>
          <w:color w:val="000000" w:themeColor="text1"/>
          <w:lang w:val="en-US"/>
        </w:rPr>
      </w:pPr>
      <w:r w:rsidRPr="00F22074">
        <w:rPr>
          <w:rFonts w:ascii="Arial" w:hAnsi="Arial" w:cs="Arial"/>
          <w:color w:val="000000" w:themeColor="text1"/>
        </w:rPr>
        <w:t>W</w:t>
      </w:r>
      <w:r>
        <w:rPr>
          <w:rFonts w:ascii="Arial" w:hAnsi="Arial" w:cs="Arial"/>
          <w:color w:val="000000" w:themeColor="text1"/>
        </w:rPr>
        <w:t xml:space="preserve">ith the crucial findings of Delaware North through CATWOE analysis in order to help the company leverage its agile and resilient ability, considering the changes in </w:t>
      </w:r>
      <w:r w:rsidRPr="00F22074">
        <w:rPr>
          <w:rFonts w:ascii="Arial" w:hAnsi="Arial" w:cs="Arial"/>
          <w:color w:val="000000" w:themeColor="text1"/>
          <w:lang w:val="en-US"/>
        </w:rPr>
        <w:t xml:space="preserve">in the way customers behave </w:t>
      </w:r>
      <w:r>
        <w:rPr>
          <w:rFonts w:ascii="Arial" w:hAnsi="Arial" w:cs="Arial"/>
          <w:color w:val="000000" w:themeColor="text1"/>
          <w:lang w:val="en-US"/>
        </w:rPr>
        <w:t xml:space="preserve">because of the pandemic Covid-19, it therefore </w:t>
      </w:r>
      <w:r w:rsidRPr="00F22074">
        <w:rPr>
          <w:rFonts w:ascii="Arial" w:hAnsi="Arial" w:cs="Arial"/>
          <w:color w:val="000000" w:themeColor="text1"/>
          <w:lang w:val="en-US"/>
        </w:rPr>
        <w:t>require</w:t>
      </w:r>
      <w:r>
        <w:rPr>
          <w:rFonts w:ascii="Arial" w:hAnsi="Arial" w:cs="Arial"/>
          <w:color w:val="000000" w:themeColor="text1"/>
          <w:lang w:val="en-US"/>
        </w:rPr>
        <w:t>s</w:t>
      </w:r>
      <w:r w:rsidRPr="00F22074">
        <w:rPr>
          <w:rFonts w:ascii="Arial" w:hAnsi="Arial" w:cs="Arial"/>
          <w:color w:val="000000" w:themeColor="text1"/>
          <w:lang w:val="en-US"/>
        </w:rPr>
        <w:t xml:space="preserve"> business to</w:t>
      </w:r>
      <w:r>
        <w:rPr>
          <w:rFonts w:ascii="Arial" w:hAnsi="Arial" w:cs="Arial"/>
          <w:color w:val="000000" w:themeColor="text1"/>
          <w:lang w:val="en-US"/>
        </w:rPr>
        <w:t xml:space="preserve"> be able to</w:t>
      </w:r>
      <w:r w:rsidRPr="00F22074">
        <w:rPr>
          <w:rFonts w:ascii="Arial" w:hAnsi="Arial" w:cs="Arial"/>
          <w:color w:val="000000" w:themeColor="text1"/>
          <w:lang w:val="en-US"/>
        </w:rPr>
        <w:t xml:space="preserve"> act quick to </w:t>
      </w:r>
      <w:r>
        <w:rPr>
          <w:rFonts w:ascii="Arial" w:hAnsi="Arial" w:cs="Arial"/>
          <w:color w:val="000000" w:themeColor="text1"/>
          <w:lang w:val="en-US"/>
        </w:rPr>
        <w:t xml:space="preserve">sense the problems, then respond even quicker to </w:t>
      </w:r>
      <w:r w:rsidRPr="00F22074">
        <w:rPr>
          <w:rFonts w:ascii="Arial" w:hAnsi="Arial" w:cs="Arial"/>
          <w:color w:val="000000" w:themeColor="text1"/>
          <w:lang w:val="en-US"/>
        </w:rPr>
        <w:t xml:space="preserve">mitigate the constraints and create possible </w:t>
      </w:r>
      <w:r>
        <w:rPr>
          <w:rFonts w:ascii="Arial" w:hAnsi="Arial" w:cs="Arial"/>
          <w:color w:val="000000" w:themeColor="text1"/>
          <w:lang w:val="en-US"/>
        </w:rPr>
        <w:t>opportunities</w:t>
      </w:r>
      <w:r w:rsidRPr="00F22074">
        <w:rPr>
          <w:rFonts w:ascii="Arial" w:hAnsi="Arial" w:cs="Arial"/>
          <w:color w:val="000000" w:themeColor="text1"/>
          <w:lang w:val="en-US"/>
        </w:rPr>
        <w:t xml:space="preserve"> due to the pandemic.</w:t>
      </w:r>
      <w:r>
        <w:rPr>
          <w:rFonts w:ascii="Arial" w:hAnsi="Arial" w:cs="Arial"/>
          <w:color w:val="000000" w:themeColor="text1"/>
          <w:lang w:val="en-US"/>
        </w:rPr>
        <w:t xml:space="preserve"> Figure 07 representing the possible solutions to tackle with the difficulties from Covid-19 from the organizations across goods and retail industry that Delaware North is suggested to learn from. </w:t>
      </w:r>
    </w:p>
    <w:p w:rsidR="00F22074" w:rsidRDefault="00F22074" w:rsidP="00F22074">
      <w:pPr>
        <w:spacing w:line="480" w:lineRule="auto"/>
        <w:rPr>
          <w:rFonts w:ascii="Arial" w:hAnsi="Arial" w:cs="Arial"/>
          <w:color w:val="000000" w:themeColor="text1"/>
          <w:lang w:val="en-US"/>
        </w:rPr>
      </w:pPr>
      <w:r>
        <w:rPr>
          <w:rFonts w:ascii="Arial" w:hAnsi="Arial" w:cs="Arial"/>
          <w:noProof/>
          <w:color w:val="000000" w:themeColor="text1"/>
          <w:lang w:val="en-US"/>
        </w:rPr>
        <w:lastRenderedPageBreak/>
        <w:drawing>
          <wp:inline distT="0" distB="0" distL="0" distR="0">
            <wp:extent cx="5727700" cy="4336415"/>
            <wp:effectExtent l="0" t="0" r="0" b="0"/>
            <wp:docPr id="150" name="Picture 15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Chart, bar char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4336415"/>
                    </a:xfrm>
                    <a:prstGeom prst="rect">
                      <a:avLst/>
                    </a:prstGeom>
                  </pic:spPr>
                </pic:pic>
              </a:graphicData>
            </a:graphic>
          </wp:inline>
        </w:drawing>
      </w:r>
    </w:p>
    <w:p w:rsidR="00C04479" w:rsidRDefault="00F22074" w:rsidP="00C04479">
      <w:pPr>
        <w:pStyle w:val="ListParagraph"/>
        <w:spacing w:line="480" w:lineRule="auto"/>
        <w:jc w:val="center"/>
        <w:rPr>
          <w:rFonts w:ascii="Arial" w:hAnsi="Arial" w:cs="Arial"/>
          <w:i/>
          <w:iCs/>
          <w:color w:val="000000" w:themeColor="text1"/>
        </w:rPr>
      </w:pPr>
      <w:r w:rsidRPr="00F22074">
        <w:rPr>
          <w:rFonts w:ascii="Arial" w:hAnsi="Arial" w:cs="Arial"/>
          <w:i/>
          <w:iCs/>
          <w:color w:val="000000" w:themeColor="text1"/>
        </w:rPr>
        <w:t>(Figure 0</w:t>
      </w:r>
      <w:r w:rsidR="006070FD">
        <w:rPr>
          <w:rFonts w:ascii="Arial" w:hAnsi="Arial" w:cs="Arial"/>
          <w:i/>
          <w:iCs/>
          <w:color w:val="000000" w:themeColor="text1"/>
        </w:rPr>
        <w:t>8</w:t>
      </w:r>
      <w:r w:rsidRPr="00F22074">
        <w:rPr>
          <w:rFonts w:ascii="Arial" w:hAnsi="Arial" w:cs="Arial"/>
          <w:i/>
          <w:iCs/>
          <w:color w:val="000000" w:themeColor="text1"/>
        </w:rPr>
        <w:t xml:space="preserve"> – </w:t>
      </w:r>
      <w:r w:rsidRPr="00F22074">
        <w:rPr>
          <w:rFonts w:ascii="Arial" w:hAnsi="Arial" w:cs="Arial"/>
          <w:i/>
          <w:iCs/>
          <w:color w:val="000000" w:themeColor="text1"/>
          <w:lang w:val="en-US"/>
        </w:rPr>
        <w:t>The possible solutions to tackle with the difficulties from Covid-19 from the organizations across goods and retail industry</w:t>
      </w:r>
      <w:r w:rsidRPr="00F22074">
        <w:rPr>
          <w:rFonts w:ascii="Arial" w:hAnsi="Arial" w:cs="Arial"/>
          <w:i/>
          <w:iCs/>
          <w:color w:val="000000" w:themeColor="text1"/>
        </w:rPr>
        <w:t xml:space="preserve"> - From: “</w:t>
      </w:r>
      <w:r>
        <w:rPr>
          <w:rFonts w:ascii="Arial" w:hAnsi="Arial" w:cs="Arial"/>
          <w:i/>
          <w:iCs/>
          <w:color w:val="000000" w:themeColor="text1"/>
        </w:rPr>
        <w:t>Covid-19: Implications for business. Briefing note No.22, September 10, 2020.”</w:t>
      </w:r>
      <w:r w:rsidRPr="00F22074">
        <w:rPr>
          <w:rFonts w:ascii="Arial" w:hAnsi="Arial" w:cs="Arial"/>
          <w:i/>
          <w:iCs/>
          <w:color w:val="000000" w:themeColor="text1"/>
        </w:rPr>
        <w:t xml:space="preserve"> – </w:t>
      </w:r>
      <w:r>
        <w:rPr>
          <w:rFonts w:ascii="Arial" w:hAnsi="Arial" w:cs="Arial"/>
          <w:i/>
          <w:iCs/>
          <w:color w:val="000000" w:themeColor="text1"/>
        </w:rPr>
        <w:t>McKinsey &amp; Company</w:t>
      </w:r>
      <w:r w:rsidRPr="00F22074">
        <w:rPr>
          <w:rFonts w:ascii="Arial" w:hAnsi="Arial" w:cs="Arial"/>
          <w:i/>
          <w:iCs/>
          <w:color w:val="000000" w:themeColor="text1"/>
        </w:rPr>
        <w:t xml:space="preserve">, </w:t>
      </w:r>
      <w:r w:rsidR="001F6BBA">
        <w:rPr>
          <w:rFonts w:ascii="Arial" w:hAnsi="Arial" w:cs="Arial"/>
          <w:i/>
          <w:iCs/>
          <w:color w:val="000000" w:themeColor="text1"/>
        </w:rPr>
        <w:t>2020)</w:t>
      </w:r>
    </w:p>
    <w:p w:rsidR="00C04479" w:rsidRPr="00C04479" w:rsidRDefault="00C04479" w:rsidP="00C04479">
      <w:pPr>
        <w:pStyle w:val="ListParagraph"/>
        <w:spacing w:line="480" w:lineRule="auto"/>
        <w:jc w:val="center"/>
        <w:rPr>
          <w:rFonts w:ascii="Arial" w:hAnsi="Arial" w:cs="Arial"/>
          <w:i/>
          <w:iCs/>
          <w:color w:val="000000" w:themeColor="text1"/>
        </w:rPr>
      </w:pPr>
    </w:p>
    <w:p w:rsidR="00F22074" w:rsidRPr="006070FD" w:rsidRDefault="00522F89" w:rsidP="00F22074">
      <w:pPr>
        <w:spacing w:line="480" w:lineRule="auto"/>
        <w:rPr>
          <w:rFonts w:ascii="Arial" w:hAnsi="Arial" w:cs="Arial"/>
          <w:color w:val="000000" w:themeColor="text1"/>
        </w:rPr>
      </w:pPr>
      <w:r w:rsidRPr="00522F89">
        <w:rPr>
          <w:rFonts w:ascii="Arial" w:hAnsi="Arial" w:cs="Arial"/>
          <w:color w:val="000000" w:themeColor="text1"/>
        </w:rPr>
        <w:t xml:space="preserve">In conclusion, </w:t>
      </w:r>
      <w:r w:rsidR="006070FD">
        <w:rPr>
          <w:rFonts w:ascii="Arial" w:hAnsi="Arial" w:cs="Arial"/>
          <w:color w:val="000000" w:themeColor="text1"/>
        </w:rPr>
        <w:t>this blog creates</w:t>
      </w:r>
      <w:r w:rsidRPr="00522F89">
        <w:rPr>
          <w:rFonts w:ascii="Arial" w:hAnsi="Arial" w:cs="Arial"/>
          <w:color w:val="000000" w:themeColor="text1"/>
        </w:rPr>
        <w:t xml:space="preserve"> a model in which </w:t>
      </w:r>
      <w:r>
        <w:rPr>
          <w:rFonts w:ascii="Arial" w:hAnsi="Arial" w:cs="Arial"/>
          <w:color w:val="000000" w:themeColor="text1"/>
        </w:rPr>
        <w:t>how HR factors have influences on organisational resilience with the link between engagement, commitment and performance is identified thoroughly based on a number of elements, theories and framework utilised.</w:t>
      </w:r>
    </w:p>
    <w:p w:rsidR="00F22074" w:rsidRPr="00F22074" w:rsidRDefault="00F22074" w:rsidP="00F22074">
      <w:pPr>
        <w:spacing w:line="480" w:lineRule="auto"/>
        <w:rPr>
          <w:rFonts w:ascii="Arial" w:hAnsi="Arial" w:cs="Arial"/>
          <w:color w:val="000000" w:themeColor="text1"/>
        </w:rPr>
      </w:pPr>
    </w:p>
    <w:p w:rsidR="00F22074" w:rsidRDefault="00F22074" w:rsidP="00F22074">
      <w:pPr>
        <w:pStyle w:val="ListParagraph"/>
        <w:spacing w:line="480" w:lineRule="auto"/>
        <w:rPr>
          <w:rFonts w:ascii="Arial" w:hAnsi="Arial" w:cs="Arial"/>
          <w:i/>
          <w:iCs/>
          <w:color w:val="000000" w:themeColor="text1"/>
        </w:rPr>
      </w:pPr>
    </w:p>
    <w:p w:rsidR="00603813" w:rsidRPr="003E47E6" w:rsidRDefault="00603813" w:rsidP="003E47E6">
      <w:pPr>
        <w:pStyle w:val="Heading1"/>
        <w:spacing w:line="480" w:lineRule="auto"/>
        <w:rPr>
          <w:rFonts w:ascii="Arial" w:hAnsi="Arial" w:cs="Arial"/>
          <w:b/>
          <w:bCs/>
          <w:color w:val="000000" w:themeColor="text1"/>
          <w:sz w:val="24"/>
          <w:szCs w:val="24"/>
          <w:u w:val="single"/>
        </w:rPr>
      </w:pPr>
      <w:bookmarkStart w:id="11" w:name="_Toc54136039"/>
      <w:r w:rsidRPr="003E47E6">
        <w:rPr>
          <w:rFonts w:ascii="Arial" w:hAnsi="Arial" w:cs="Arial"/>
          <w:b/>
          <w:bCs/>
          <w:color w:val="000000" w:themeColor="text1"/>
          <w:sz w:val="24"/>
          <w:szCs w:val="24"/>
          <w:u w:val="single"/>
        </w:rPr>
        <w:lastRenderedPageBreak/>
        <w:t>Reference list:</w:t>
      </w:r>
      <w:bookmarkEnd w:id="11"/>
      <w:r w:rsidRPr="003E47E6">
        <w:rPr>
          <w:rFonts w:ascii="Arial" w:hAnsi="Arial" w:cs="Arial"/>
          <w:b/>
          <w:bCs/>
          <w:color w:val="000000" w:themeColor="text1"/>
          <w:sz w:val="24"/>
          <w:szCs w:val="24"/>
          <w:u w:val="single"/>
        </w:rPr>
        <w:t xml:space="preserve"> </w:t>
      </w:r>
    </w:p>
    <w:p w:rsidR="00F2066D" w:rsidRPr="00C04479" w:rsidRDefault="00F2066D" w:rsidP="00C04479">
      <w:pPr>
        <w:spacing w:line="480" w:lineRule="auto"/>
        <w:rPr>
          <w:rFonts w:ascii="Arial" w:hAnsi="Arial" w:cs="Arial"/>
          <w:color w:val="000000" w:themeColor="text1"/>
        </w:rPr>
      </w:pPr>
    </w:p>
    <w:p w:rsidR="00C04479"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Ackerman, C., E., (2020) “Self-determination theory of motivation: Why intrinsic motivation matters.” Positive psychology [online] Available at: &lt; </w:t>
      </w:r>
      <w:hyperlink r:id="rId58" w:history="1">
        <w:r w:rsidRPr="00C04479">
          <w:rPr>
            <w:rStyle w:val="Hyperlink"/>
            <w:rFonts w:ascii="Arial" w:hAnsi="Arial" w:cs="Arial"/>
            <w:color w:val="000000" w:themeColor="text1"/>
          </w:rPr>
          <w:t>https://positivepsychology.com/self-determination-theory/</w:t>
        </w:r>
      </w:hyperlink>
      <w:r w:rsidRPr="00C04479">
        <w:rPr>
          <w:rFonts w:ascii="Arial" w:hAnsi="Arial" w:cs="Arial"/>
          <w:color w:val="000000" w:themeColor="text1"/>
        </w:rPr>
        <w:t xml:space="preserve">&gt; </w:t>
      </w:r>
      <w:r w:rsidR="00C04479" w:rsidRPr="00C04479">
        <w:rPr>
          <w:rFonts w:ascii="Arial" w:hAnsi="Arial" w:cs="Arial"/>
          <w:color w:val="000000" w:themeColor="text1"/>
          <w:shd w:val="clear" w:color="auto" w:fill="FFFFFF"/>
        </w:rPr>
        <w:t>(Accessed: 18 Oct 2020)</w:t>
      </w:r>
      <w:r w:rsidR="00C04479">
        <w:rPr>
          <w:rFonts w:ascii="Arial" w:hAnsi="Arial" w:cs="Arial"/>
          <w:color w:val="000000" w:themeColor="text1"/>
          <w:shd w:val="clear" w:color="auto" w:fill="FFFFFF"/>
        </w:rPr>
        <w:t>.</w:t>
      </w:r>
    </w:p>
    <w:p w:rsidR="00F2066D" w:rsidRPr="00C04479" w:rsidRDefault="00F2066D" w:rsidP="00C04479">
      <w:pPr>
        <w:spacing w:line="480" w:lineRule="auto"/>
        <w:rPr>
          <w:rFonts w:ascii="Arial" w:hAnsi="Arial" w:cs="Arial"/>
          <w:color w:val="000000" w:themeColor="text1"/>
        </w:rPr>
      </w:pPr>
    </w:p>
    <w:p w:rsidR="00C04479"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Aghina, W., Smet, A., D., and </w:t>
      </w:r>
      <w:proofErr w:type="spellStart"/>
      <w:r w:rsidRPr="00C04479">
        <w:rPr>
          <w:rFonts w:ascii="Arial" w:hAnsi="Arial" w:cs="Arial"/>
          <w:color w:val="000000" w:themeColor="text1"/>
        </w:rPr>
        <w:t>Weerda</w:t>
      </w:r>
      <w:proofErr w:type="spellEnd"/>
      <w:r w:rsidRPr="00C04479">
        <w:rPr>
          <w:rFonts w:ascii="Arial" w:hAnsi="Arial" w:cs="Arial"/>
          <w:color w:val="000000" w:themeColor="text1"/>
        </w:rPr>
        <w:t xml:space="preserve">, K., (2016) “McKinsey on organisation. Agility and organization design.” McKinsey &amp; Company [Pdf] Available at: &lt; https://www.mckinsey.com/~/media/McKinsey/Business%20Functions/Organization/Our%20Insights/McKinsey%20on%20Organization/McKinsey%20on%20Organization%20Agility%20and%20organization%20design.ashx&gt; </w:t>
      </w:r>
      <w:r w:rsidR="00C04479" w:rsidRPr="00C04479">
        <w:rPr>
          <w:rFonts w:ascii="Arial" w:hAnsi="Arial" w:cs="Arial"/>
          <w:color w:val="000000" w:themeColor="text1"/>
          <w:shd w:val="clear" w:color="auto" w:fill="FFFFFF"/>
        </w:rPr>
        <w:t>(Accessed: 18 Oct 2020)</w:t>
      </w:r>
      <w:r w:rsidR="00C04479">
        <w:rPr>
          <w:rFonts w:ascii="Arial" w:hAnsi="Arial" w:cs="Arial"/>
          <w:color w:val="000000" w:themeColor="text1"/>
          <w:shd w:val="clear" w:color="auto" w:fill="FFFFFF"/>
        </w:rPr>
        <w:t>.</w:t>
      </w:r>
    </w:p>
    <w:p w:rsid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rPr>
        <w:t xml:space="preserve">Ancona, D., (2012) “Sensemaking. Framing and acting in the unknown.” The handbook for teaching leadership. Sage Publications, </w:t>
      </w:r>
      <w:r w:rsidRPr="00C04479">
        <w:rPr>
          <w:rFonts w:ascii="Arial" w:hAnsi="Arial" w:cs="Arial"/>
          <w:color w:val="000000" w:themeColor="text1"/>
          <w:shd w:val="clear" w:color="auto" w:fill="FFFFFF"/>
        </w:rPr>
        <w:t> ISBN 1-4129-9094-7, p. 3-19.</w:t>
      </w:r>
    </w:p>
    <w:p w:rsid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Armstrong, M., and Taylor, S., (2014) </w:t>
      </w:r>
      <w:r w:rsidRPr="00C04479">
        <w:rPr>
          <w:rFonts w:ascii="Arial" w:hAnsi="Arial" w:cs="Arial"/>
          <w:color w:val="000000" w:themeColor="text1"/>
        </w:rPr>
        <w:t>Armstrong's Handbook of Human Resource Management Practice</w:t>
      </w:r>
      <w:r w:rsidRPr="00C04479">
        <w:rPr>
          <w:rFonts w:ascii="Arial" w:hAnsi="Arial" w:cs="Arial"/>
          <w:color w:val="000000" w:themeColor="text1"/>
          <w:shd w:val="clear" w:color="auto" w:fill="FFFFFF"/>
        </w:rPr>
        <w:t>. London: Kogan Page.</w:t>
      </w:r>
    </w:p>
    <w:p w:rsidR="00F2066D" w:rsidRPr="00C04479" w:rsidRDefault="00C04479" w:rsidP="00C04479">
      <w:pPr>
        <w:spacing w:before="100" w:beforeAutospacing="1" w:after="100" w:afterAutospacing="1" w:line="480" w:lineRule="auto"/>
        <w:rPr>
          <w:rFonts w:ascii="Arial" w:hAnsi="Arial" w:cs="Arial"/>
        </w:rPr>
      </w:pPr>
      <w:r>
        <w:rPr>
          <w:rFonts w:ascii="Arial" w:hAnsi="Arial" w:cs="Arial"/>
        </w:rPr>
        <w:t>A</w:t>
      </w:r>
      <w:r w:rsidRPr="00110AE8">
        <w:rPr>
          <w:rFonts w:ascii="Arial" w:hAnsi="Arial" w:cs="Arial"/>
        </w:rPr>
        <w:t xml:space="preserve">tkinson, </w:t>
      </w:r>
      <w:r w:rsidRPr="00C04479">
        <w:rPr>
          <w:rFonts w:ascii="Arial" w:hAnsi="Arial" w:cs="Arial"/>
        </w:rPr>
        <w:t xml:space="preserve">J. (1984) “Man power strategies for flexible organisations.” </w:t>
      </w:r>
      <w:r w:rsidRPr="00110AE8">
        <w:rPr>
          <w:rFonts w:ascii="Arial" w:hAnsi="Arial" w:cs="Arial"/>
        </w:rPr>
        <w:t>Personnel Management, Institute of Manpower Studies</w:t>
      </w:r>
      <w:r w:rsidRPr="00C04479">
        <w:rPr>
          <w:rFonts w:ascii="Arial" w:hAnsi="Arial" w:cs="Arial"/>
        </w:rPr>
        <w:t xml:space="preserve">. </w:t>
      </w:r>
      <w:r w:rsidRPr="00110AE8">
        <w:rPr>
          <w:rFonts w:ascii="Arial" w:hAnsi="Arial" w:cs="Arial"/>
        </w:rPr>
        <w:t>University of Sussex, Brighton</w:t>
      </w:r>
      <w:r w:rsidRPr="00C04479">
        <w:rPr>
          <w:rFonts w:ascii="Arial" w:hAnsi="Arial" w:cs="Arial"/>
        </w:rPr>
        <w:t xml:space="preserve">, </w:t>
      </w:r>
      <w:r w:rsidRPr="00110AE8">
        <w:rPr>
          <w:rFonts w:ascii="Arial" w:hAnsi="Arial" w:cs="Arial"/>
        </w:rPr>
        <w:t xml:space="preserve">August, 28-31. </w:t>
      </w: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Bajwa</w:t>
      </w:r>
      <w:proofErr w:type="spellEnd"/>
      <w:r w:rsidRPr="00C04479">
        <w:rPr>
          <w:rFonts w:ascii="Arial" w:hAnsi="Arial" w:cs="Arial"/>
          <w:color w:val="000000" w:themeColor="text1"/>
        </w:rPr>
        <w:t>, U., et al., (2018). The health of workers in the global gig economy. Globalization and health [PDF]. 14(1), pp.124–4.</w:t>
      </w: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Burke, A., &amp; Cowling, M., (2020) "On the Critical Role of Freelancers in Agile Economies."</w:t>
      </w:r>
      <w:r w:rsidRPr="00C04479">
        <w:rPr>
          <w:rStyle w:val="apple-converted-space"/>
          <w:rFonts w:ascii="Arial" w:hAnsi="Arial" w:cs="Arial"/>
          <w:color w:val="000000" w:themeColor="text1"/>
          <w:shd w:val="clear" w:color="auto" w:fill="FFFFFF"/>
        </w:rPr>
        <w:t> </w:t>
      </w:r>
      <w:r w:rsidRPr="00C04479">
        <w:rPr>
          <w:rFonts w:ascii="Arial" w:hAnsi="Arial" w:cs="Arial"/>
          <w:color w:val="000000" w:themeColor="text1"/>
        </w:rPr>
        <w:t>Small Business Economics</w:t>
      </w:r>
      <w:r w:rsidRPr="00C04479">
        <w:rPr>
          <w:rStyle w:val="apple-converted-space"/>
          <w:rFonts w:ascii="Arial" w:hAnsi="Arial" w:cs="Arial"/>
          <w:color w:val="000000" w:themeColor="text1"/>
          <w:shd w:val="clear" w:color="auto" w:fill="FFFFFF"/>
        </w:rPr>
        <w:t> </w:t>
      </w:r>
      <w:r w:rsidRPr="00C04479">
        <w:rPr>
          <w:rFonts w:ascii="Arial" w:hAnsi="Arial" w:cs="Arial"/>
          <w:color w:val="000000" w:themeColor="text1"/>
          <w:shd w:val="clear" w:color="auto" w:fill="FFFFFF"/>
        </w:rPr>
        <w:t>55, no. 2: 393-98.</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Butler, S., (2020) “Amazon to open stores without check-out in UK.” [Online] Available at: </w:t>
      </w:r>
      <w:hyperlink r:id="rId59" w:tgtFrame="_blank" w:tooltip="Original URL: https://www.theguardian.com/business/2020/mar/14/amazon-open-store-without-checkouts-uk. Click or tap if you trust this link." w:history="1">
        <w:r w:rsidRPr="00C04479">
          <w:rPr>
            <w:rStyle w:val="Hyperlink"/>
            <w:rFonts w:ascii="Arial" w:eastAsiaTheme="majorEastAsia" w:hAnsi="Arial" w:cs="Arial"/>
            <w:color w:val="000000" w:themeColor="text1"/>
          </w:rPr>
          <w:t>https://www.theguardian.com/business/2020/mar/14/amazon-open-store-without-checkouts-uk</w:t>
        </w:r>
      </w:hyperlink>
      <w:r w:rsidRPr="00C04479">
        <w:rPr>
          <w:rStyle w:val="Hyperlink"/>
          <w:rFonts w:ascii="Arial" w:eastAsiaTheme="majorEastAsia" w:hAnsi="Arial" w:cs="Arial"/>
          <w:color w:val="000000" w:themeColor="text1"/>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Chartered Institute of Personnel and Development (CIPD)  (2013) “Zero-hours contract. Myth and reality.” [Pdf] Available at: &lt; </w:t>
      </w:r>
      <w:hyperlink r:id="rId60" w:history="1">
        <w:r w:rsidRPr="00C04479">
          <w:rPr>
            <w:rStyle w:val="Hyperlink"/>
            <w:rFonts w:ascii="Arial" w:eastAsiaTheme="majorEastAsia" w:hAnsi="Arial" w:cs="Arial"/>
            <w:color w:val="000000" w:themeColor="text1"/>
          </w:rPr>
          <w:t>https://www.cipd.co.uk/Images/zero-hours-contracts_2013-myth-reality_tcm18-10710.pdf</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Chartered Institute of Personnel and Development (CIPD) (2017) “To gig or not to gig. Stories from the modern economy.” [Pdf] Available at: </w:t>
      </w:r>
      <w:hyperlink r:id="rId61" w:history="1">
        <w:r w:rsidRPr="00C04479">
          <w:rPr>
            <w:rStyle w:val="Hyperlink"/>
            <w:rFonts w:ascii="Arial" w:eastAsiaTheme="majorEastAsia" w:hAnsi="Arial" w:cs="Arial"/>
            <w:color w:val="000000" w:themeColor="text1"/>
          </w:rPr>
          <w:t xml:space="preserve">https://www.cipd.co.uk/knowledge/work/trends/gig-economy-report </w:t>
        </w:r>
      </w:hyperlink>
      <w:r w:rsidRPr="00C04479">
        <w:rPr>
          <w:rFonts w:ascii="Arial" w:hAnsi="Arial" w:cs="Arial"/>
          <w:color w:val="000000" w:themeColor="text1"/>
        </w:rPr>
        <w:t>&gt;</w:t>
      </w:r>
      <w:r>
        <w:rPr>
          <w:rFonts w:ascii="Arial" w:hAnsi="Arial" w:cs="Arial"/>
          <w:color w:val="000000" w:themeColor="text1"/>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Chartered Institute of Personnel and Development (CIPD)  (2019) “Atypical working. A guide to successfully implementing atypical work in your organisation.” [Pdf] Available at: &lt; </w:t>
      </w:r>
      <w:hyperlink r:id="rId62" w:history="1">
        <w:r w:rsidRPr="00C04479">
          <w:rPr>
            <w:rStyle w:val="Hyperlink"/>
            <w:rFonts w:ascii="Arial" w:eastAsiaTheme="majorEastAsia" w:hAnsi="Arial" w:cs="Arial"/>
            <w:color w:val="000000" w:themeColor="text1"/>
          </w:rPr>
          <w:t>https://www.cipd.co.uk/Images/7904-atypical-working-guide-web_tcm18-61555.pdf</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Chartered Institute of Personnel and Development (CIPD) (2020) “Artificial intelligence and automation in the workplace.” [Online] Available at: &lt;https://www.cipd.co.uk/knowledge/work/technology/emerging-future-work-factsheet&gt;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lastRenderedPageBreak/>
        <w:t xml:space="preserve">Chartered Institute of Personnel and Development (CIPD) </w:t>
      </w:r>
      <w:r w:rsidR="00F2066D" w:rsidRPr="00C04479">
        <w:rPr>
          <w:rFonts w:ascii="Arial" w:hAnsi="Arial" w:cs="Arial"/>
          <w:color w:val="000000" w:themeColor="text1"/>
        </w:rPr>
        <w:t>(2019) “Building inclusive workplace. Assessing the evidence.” Research report. [Pdf]</w:t>
      </w:r>
      <w:r>
        <w:rPr>
          <w:rFonts w:ascii="Arial" w:hAnsi="Arial" w:cs="Arial"/>
          <w:color w:val="000000" w:themeColor="text1"/>
        </w:rPr>
        <w:t xml:space="preserve"> Available at: UWTSD Library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Chartered Institute of Personnel and Development (CIPD)  (2019) “People and machine: From hype to reality.” [Pdf] Available at: &lt; https://www.cipd.co.uk/Images/people-and-machines-report-1_tcm18-56970.pdf&gt; (Accessed: 12</w:t>
      </w:r>
      <w:r w:rsidRPr="00C04479">
        <w:rPr>
          <w:rFonts w:ascii="Arial" w:hAnsi="Arial" w:cs="Arial"/>
          <w:color w:val="000000" w:themeColor="text1"/>
          <w:vertAlign w:val="superscript"/>
        </w:rPr>
        <w:t>th</w:t>
      </w:r>
      <w:r w:rsidRPr="00C04479">
        <w:rPr>
          <w:rFonts w:ascii="Arial" w:hAnsi="Arial" w:cs="Arial"/>
          <w:color w:val="000000" w:themeColor="text1"/>
        </w:rPr>
        <w:t xml:space="preserve"> Sep</w:t>
      </w:r>
      <w:r>
        <w:rPr>
          <w:rFonts w:ascii="Arial" w:hAnsi="Arial" w:cs="Arial"/>
          <w:color w:val="000000" w:themeColor="text1"/>
        </w:rPr>
        <w:t>t</w:t>
      </w:r>
      <w:r w:rsidRPr="00C04479">
        <w:rPr>
          <w:rFonts w:ascii="Arial" w:hAnsi="Arial" w:cs="Arial"/>
          <w:color w:val="000000" w:themeColor="text1"/>
        </w:rPr>
        <w:t xml:space="preserve">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Chartered Institute of Personnel and Development (CIPD) (2020) “Diversity management that works. An evidence-based view.” [pdf] Available at: &lt;https://www.cipd.co.uk/Images/7926-diversity-and-inclusion-report-revised_tcm18-65334.pdf&gt;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F2066D" w:rsidP="00C04479">
      <w:pPr>
        <w:spacing w:before="100" w:beforeAutospacing="1" w:after="100" w:afterAutospacing="1" w:line="480" w:lineRule="auto"/>
        <w:rPr>
          <w:rFonts w:ascii="Arial" w:hAnsi="Arial" w:cs="Arial"/>
          <w:color w:val="000000" w:themeColor="text1"/>
        </w:rPr>
      </w:pPr>
      <w:proofErr w:type="spellStart"/>
      <w:r w:rsidRPr="00C04479">
        <w:rPr>
          <w:rFonts w:ascii="Arial" w:hAnsi="Arial" w:cs="Arial"/>
          <w:color w:val="000000" w:themeColor="text1"/>
        </w:rPr>
        <w:t>Checkland</w:t>
      </w:r>
      <w:proofErr w:type="spellEnd"/>
      <w:r w:rsidRPr="00C04479">
        <w:rPr>
          <w:rFonts w:ascii="Arial" w:hAnsi="Arial" w:cs="Arial"/>
          <w:color w:val="000000" w:themeColor="text1"/>
        </w:rPr>
        <w:t>, P., (2000) “Soft system methodology: A thirty year retrospective.” System research and behavioural science. Lancashire, 1-48.</w:t>
      </w: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Cheng, M., (2019) “8 Characteristics Of Millennials That Support Sustainable Development Goals (SDGs).” Forbes [Online] Available at: </w:t>
      </w:r>
      <w:hyperlink r:id="rId63" w:anchor="60aeacff29b7" w:history="1">
        <w:r w:rsidRPr="00C04479">
          <w:rPr>
            <w:rStyle w:val="Hyperlink"/>
            <w:rFonts w:ascii="Arial" w:eastAsiaTheme="majorEastAsia" w:hAnsi="Arial" w:cs="Arial"/>
            <w:color w:val="000000" w:themeColor="text1"/>
          </w:rPr>
          <w:t>https://www.forbes.com/sites/margueritacheng/2019/06/19/8-characteristics-of-millennials-that-support-sustainable-development-goals-sdgs/#60aeacff29b7</w:t>
        </w:r>
      </w:hyperlink>
      <w:r w:rsidRPr="00C04479">
        <w:rPr>
          <w:rFonts w:ascii="Arial" w:hAnsi="Arial" w:cs="Arial"/>
          <w:color w:val="000000" w:themeColor="text1"/>
        </w:rPr>
        <w:t xml:space="preserve"> (Accessed: 5th Sept</w:t>
      </w:r>
      <w:r>
        <w:rPr>
          <w:rFonts w:ascii="Arial" w:hAnsi="Arial" w:cs="Arial"/>
          <w:color w:val="000000" w:themeColor="text1"/>
        </w:rPr>
        <w:t xml:space="preserve"> </w:t>
      </w:r>
      <w:r w:rsidRPr="00C04479">
        <w:rPr>
          <w:rFonts w:ascii="Arial" w:hAnsi="Arial" w:cs="Arial"/>
          <w:color w:val="000000" w:themeColor="text1"/>
        </w:rPr>
        <w:t xml:space="preserve">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Consultancy UK (2019) “Five top trends impacting the food and beverage industries.” [Online] Available at: </w:t>
      </w:r>
      <w:hyperlink r:id="rId64" w:tgtFrame="_blank" w:tooltip="Original URL: https://www.consultancy.uk/news/22506/five-top-trends-impacting-the-food-and-beverage-industries. Click or tap if you trust this link." w:history="1">
        <w:r w:rsidRPr="00C04479">
          <w:rPr>
            <w:rStyle w:val="Hyperlink"/>
            <w:rFonts w:ascii="Arial" w:eastAsiaTheme="majorEastAsia" w:hAnsi="Arial" w:cs="Arial"/>
            <w:color w:val="000000" w:themeColor="text1"/>
          </w:rPr>
          <w:t>https://www.consultancy.uk/news/22506/five-top-trends-impacting-the-food-and-beverage-industries</w:t>
        </w:r>
      </w:hyperlink>
      <w:r w:rsidRPr="00C04479">
        <w:rPr>
          <w:rFonts w:ascii="Arial" w:hAnsi="Arial" w:cs="Arial"/>
          <w:color w:val="000000" w:themeColor="text1"/>
          <w:u w:val="single"/>
        </w:rPr>
        <w:t xml:space="preserve"> </w:t>
      </w:r>
      <w:r>
        <w:rPr>
          <w:rFonts w:ascii="Arial" w:hAnsi="Arial" w:cs="Arial"/>
          <w:color w:val="000000" w:themeColor="text1"/>
          <w:u w:val="single"/>
        </w:rPr>
        <w:t xml:space="preserve"> </w:t>
      </w:r>
      <w:r w:rsidRPr="00C04479">
        <w:rPr>
          <w:rFonts w:ascii="Arial" w:hAnsi="Arial" w:cs="Arial"/>
          <w:color w:val="000000" w:themeColor="text1"/>
          <w:u w:val="single"/>
        </w:rPr>
        <w:t>(</w:t>
      </w:r>
      <w:r w:rsidRPr="00C04479">
        <w:rPr>
          <w:rFonts w:ascii="Arial" w:hAnsi="Arial" w:cs="Arial"/>
          <w:color w:val="000000" w:themeColor="text1"/>
        </w:rPr>
        <w:t>Accessed: 5</w:t>
      </w:r>
      <w:r w:rsidRPr="00C04479">
        <w:rPr>
          <w:rFonts w:ascii="Arial" w:hAnsi="Arial" w:cs="Arial"/>
          <w:color w:val="000000" w:themeColor="text1"/>
          <w:vertAlign w:val="superscript"/>
        </w:rPr>
        <w:t>th</w:t>
      </w:r>
      <w:r>
        <w:rPr>
          <w:rFonts w:ascii="Arial" w:hAnsi="Arial" w:cs="Arial"/>
          <w:color w:val="000000" w:themeColor="text1"/>
          <w:vertAlign w:val="superscript"/>
        </w:rPr>
        <w:t xml:space="preserve"> </w:t>
      </w:r>
      <w:r w:rsidRPr="00C04479">
        <w:rPr>
          <w:rFonts w:ascii="Arial" w:hAnsi="Arial" w:cs="Arial"/>
          <w:color w:val="000000" w:themeColor="text1"/>
        </w:rPr>
        <w:t>Sept</w:t>
      </w:r>
      <w:r>
        <w:rPr>
          <w:rFonts w:ascii="Arial" w:hAnsi="Arial" w:cs="Arial"/>
          <w:color w:val="000000" w:themeColor="text1"/>
        </w:rPr>
        <w:t xml:space="preserve"> </w:t>
      </w:r>
      <w:r w:rsidRPr="00C04479">
        <w:rPr>
          <w:rFonts w:ascii="Arial" w:hAnsi="Arial" w:cs="Arial"/>
          <w:color w:val="000000" w:themeColor="text1"/>
        </w:rPr>
        <w:t>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Davies, M., (2019) “Understanding the economy and labour market.” CIPD [Online] Available at:&lt; </w:t>
      </w:r>
      <w:hyperlink r:id="rId65" w:history="1">
        <w:r w:rsidRPr="00C04479">
          <w:rPr>
            <w:rStyle w:val="Hyperlink"/>
            <w:rFonts w:ascii="Arial" w:hAnsi="Arial" w:cs="Arial"/>
            <w:color w:val="000000" w:themeColor="text1"/>
          </w:rPr>
          <w:t>https://www.cipd.co.uk/knowledge/work/trends/economy-labour-market-factsheet</w:t>
        </w:r>
      </w:hyperlink>
      <w:r w:rsidRPr="00C04479">
        <w:rPr>
          <w:rFonts w:ascii="Arial" w:hAnsi="Arial" w:cs="Arial"/>
          <w:color w:val="000000" w:themeColor="text1"/>
        </w:rPr>
        <w:t>&gt;(Accessed: 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Daye, C., (2018) “International talent makes Huawei stronger.” Global Times [online] Available at: &lt;</w:t>
      </w:r>
      <w:r w:rsidRPr="00C04479">
        <w:rPr>
          <w:rFonts w:ascii="Arial" w:hAnsi="Arial" w:cs="Arial"/>
          <w:color w:val="000000" w:themeColor="text1"/>
        </w:rPr>
        <w:t xml:space="preserve"> </w:t>
      </w:r>
      <w:hyperlink r:id="rId66" w:history="1">
        <w:r w:rsidRPr="00C04479">
          <w:rPr>
            <w:rStyle w:val="Hyperlink"/>
            <w:rFonts w:ascii="Arial" w:hAnsi="Arial" w:cs="Arial"/>
            <w:color w:val="000000" w:themeColor="text1"/>
            <w:shd w:val="clear" w:color="auto" w:fill="FFFFFF"/>
          </w:rPr>
          <w:t>https://www.globaltimes.cn/content/1125167.shtml</w:t>
        </w:r>
      </w:hyperlink>
      <w:r w:rsidRPr="00C04479">
        <w:rPr>
          <w:rFonts w:ascii="Arial" w:hAnsi="Arial" w:cs="Arial"/>
          <w:color w:val="000000" w:themeColor="text1"/>
          <w:shd w:val="clear" w:color="auto" w:fill="FFFFFF"/>
        </w:rPr>
        <w:t>&gt; (Accessed: 18 Oct 2020)</w:t>
      </w:r>
    </w:p>
    <w:p w:rsidR="00C04479" w:rsidRPr="00C04479" w:rsidRDefault="00C04479" w:rsidP="00C04479">
      <w:pPr>
        <w:spacing w:line="480" w:lineRule="auto"/>
        <w:rPr>
          <w:rFonts w:ascii="Arial" w:hAnsi="Arial" w:cs="Arial"/>
          <w:color w:val="000000" w:themeColor="text1"/>
          <w:shd w:val="clear" w:color="auto" w:fill="FFFFFF"/>
        </w:rPr>
      </w:pPr>
    </w:p>
    <w:p w:rsid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rPr>
        <w:t xml:space="preserve">Delaware North (2020). About Us [online]. Delaware North: About. Available at: </w:t>
      </w:r>
      <w:hyperlink r:id="rId67" w:history="1">
        <w:r w:rsidRPr="00C04479">
          <w:rPr>
            <w:rStyle w:val="Hyperlink"/>
            <w:rFonts w:ascii="Arial" w:eastAsiaTheme="majorEastAsia" w:hAnsi="Arial" w:cs="Arial"/>
            <w:color w:val="000000" w:themeColor="text1"/>
          </w:rPr>
          <w:t>https://www.delawarenorth.com/about</w:t>
        </w:r>
      </w:hyperlink>
      <w:r w:rsidRPr="00C04479">
        <w:rPr>
          <w:rFonts w:ascii="Arial" w:hAnsi="Arial" w:cs="Arial"/>
          <w:color w:val="000000" w:themeColor="text1"/>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r w:rsidRPr="00C04479">
        <w:rPr>
          <w:rFonts w:ascii="Arial" w:hAnsi="Arial" w:cs="Arial"/>
        </w:rPr>
        <w:t xml:space="preserve">Deloitte (2013) “The open talent economy.” [Pdf] Available at: &lt; </w:t>
      </w:r>
      <w:hyperlink r:id="rId68" w:history="1">
        <w:r w:rsidRPr="00C04479">
          <w:rPr>
            <w:rStyle w:val="Hyperlink"/>
            <w:rFonts w:ascii="Arial" w:hAnsi="Arial" w:cs="Arial"/>
          </w:rPr>
          <w:t>https://www2.deloitte.com/content/dam/Deloitte/global/Documents/HumanCapital/dttl-humancapital-trends6-open-talent-next-no-exp.pdf</w:t>
        </w:r>
      </w:hyperlink>
      <w:r w:rsidRPr="00C04479">
        <w:rPr>
          <w:rFonts w:ascii="Arial" w:hAnsi="Arial" w:cs="Arial"/>
        </w:rPr>
        <w:t>&gt;</w:t>
      </w:r>
      <w:r>
        <w:rPr>
          <w:rFonts w:ascii="Arial" w:hAnsi="Arial" w:cs="Arial"/>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Deloitte CFO (2014) “Improving economy may make attracting, retaining talent tougher.” The Wall Street Journal [online] Available at: &lt;</w:t>
      </w:r>
      <w:hyperlink r:id="rId69" w:history="1">
        <w:r w:rsidRPr="00C04479">
          <w:rPr>
            <w:rStyle w:val="Hyperlink"/>
            <w:rFonts w:ascii="Arial" w:hAnsi="Arial" w:cs="Arial"/>
            <w:color w:val="000000" w:themeColor="text1"/>
          </w:rPr>
          <w:t>https://deloitte.wsj.com/cfo/2014/10/22/improving-economy-may-make-attracting-retaining-talent-tougher/</w:t>
        </w:r>
      </w:hyperlink>
      <w:r w:rsidRPr="00C04479">
        <w:rPr>
          <w:rFonts w:ascii="Arial" w:hAnsi="Arial" w:cs="Arial"/>
          <w:color w:val="000000" w:themeColor="text1"/>
        </w:rPr>
        <w:t>&gt;</w:t>
      </w:r>
      <w:r>
        <w:rPr>
          <w:rFonts w:ascii="Arial" w:hAnsi="Arial" w:cs="Arial"/>
          <w:color w:val="000000" w:themeColor="text1"/>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Default="00C04479" w:rsidP="00C04479">
      <w:pPr>
        <w:spacing w:line="480" w:lineRule="auto"/>
        <w:rPr>
          <w:rFonts w:ascii="Arial" w:hAnsi="Arial" w:cs="Arial"/>
          <w:color w:val="000000" w:themeColor="text1"/>
        </w:rPr>
      </w:pPr>
    </w:p>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Deloitte (2019) “Braving the wind of change. Resilient portfolio strategy.” [Pdf] Available at: &lt; https://www2.deloitte.com/content/dam/Deloitte/de/Documents/strategy/Portfolio-Analysis-Monitor-Deloitte-Deutschland1.pdf&gt; (Accessed: 19</w:t>
      </w:r>
      <w:r w:rsidRPr="00C04479">
        <w:rPr>
          <w:rFonts w:ascii="Arial" w:hAnsi="Arial" w:cs="Arial"/>
          <w:color w:val="000000" w:themeColor="text1"/>
          <w:vertAlign w:val="superscript"/>
        </w:rPr>
        <w:t>th</w:t>
      </w:r>
      <w:r w:rsidRPr="00C04479">
        <w:rPr>
          <w:rFonts w:ascii="Arial" w:hAnsi="Arial" w:cs="Arial"/>
          <w:color w:val="000000" w:themeColor="text1"/>
        </w:rPr>
        <w:t xml:space="preserve"> September 2020)</w:t>
      </w:r>
    </w:p>
    <w:p w:rsidR="00F2066D" w:rsidRPr="00C04479" w:rsidRDefault="00F2066D" w:rsidP="00C04479">
      <w:pPr>
        <w:spacing w:line="480" w:lineRule="auto"/>
        <w:rPr>
          <w:rFonts w:ascii="Arial" w:hAnsi="Arial" w:cs="Arial"/>
          <w:color w:val="000000" w:themeColor="text1"/>
        </w:rPr>
      </w:pPr>
    </w:p>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Delaware North (2020). About Us [online]. Delaware North: About. [Online] Available at: &lt;</w:t>
      </w:r>
      <w:hyperlink r:id="rId70" w:history="1">
        <w:r w:rsidRPr="00C04479">
          <w:rPr>
            <w:rStyle w:val="Hyperlink"/>
            <w:rFonts w:ascii="Arial" w:eastAsiaTheme="majorEastAsia" w:hAnsi="Arial" w:cs="Arial"/>
            <w:color w:val="000000" w:themeColor="text1"/>
          </w:rPr>
          <w:t>https://www.delawarenorth.com/about</w:t>
        </w:r>
      </w:hyperlink>
      <w:r w:rsidRPr="00C04479">
        <w:rPr>
          <w:rFonts w:ascii="Arial" w:hAnsi="Arial" w:cs="Arial"/>
          <w:color w:val="000000" w:themeColor="text1"/>
        </w:rPr>
        <w:t>&gt; (Accessed: 19</w:t>
      </w:r>
      <w:r w:rsidRPr="00C04479">
        <w:rPr>
          <w:rFonts w:ascii="Arial" w:hAnsi="Arial" w:cs="Arial"/>
          <w:color w:val="000000" w:themeColor="text1"/>
          <w:vertAlign w:val="superscript"/>
        </w:rPr>
        <w:t>th</w:t>
      </w:r>
      <w:r w:rsidRPr="00C04479">
        <w:rPr>
          <w:rFonts w:ascii="Arial" w:hAnsi="Arial" w:cs="Arial"/>
          <w:color w:val="000000" w:themeColor="text1"/>
        </w:rPr>
        <w:t xml:space="preserve"> September 2020).</w:t>
      </w:r>
    </w:p>
    <w:p w:rsidR="00C04479" w:rsidRPr="00C04479" w:rsidRDefault="00C04479" w:rsidP="00C04479">
      <w:pPr>
        <w:spacing w:line="480" w:lineRule="auto"/>
        <w:rPr>
          <w:rFonts w:ascii="Arial" w:hAnsi="Arial" w:cs="Arial"/>
        </w:rPr>
      </w:pPr>
      <w:r w:rsidRPr="00C04479">
        <w:rPr>
          <w:rFonts w:ascii="Arial" w:hAnsi="Arial" w:cs="Arial"/>
          <w:color w:val="3A3A3A"/>
          <w:shd w:val="clear" w:color="auto" w:fill="FFFFFF"/>
        </w:rPr>
        <w:t xml:space="preserve">Di </w:t>
      </w:r>
      <w:proofErr w:type="spellStart"/>
      <w:r w:rsidRPr="00C04479">
        <w:rPr>
          <w:rFonts w:ascii="Arial" w:hAnsi="Arial" w:cs="Arial"/>
          <w:color w:val="3A3A3A"/>
          <w:shd w:val="clear" w:color="auto" w:fill="FFFFFF"/>
        </w:rPr>
        <w:t>Cintio</w:t>
      </w:r>
      <w:proofErr w:type="spellEnd"/>
      <w:r w:rsidRPr="00C04479">
        <w:rPr>
          <w:rFonts w:ascii="Arial" w:hAnsi="Arial" w:cs="Arial"/>
          <w:color w:val="3A3A3A"/>
          <w:shd w:val="clear" w:color="auto" w:fill="FFFFFF"/>
        </w:rPr>
        <w:t>, M., &amp; Grassi, E., (2017) "Uncertainty, Flexible Labour Relations and R&amp;D."</w:t>
      </w:r>
      <w:r w:rsidRPr="00C04479">
        <w:rPr>
          <w:rStyle w:val="apple-converted-space"/>
          <w:rFonts w:ascii="Arial" w:hAnsi="Arial" w:cs="Arial"/>
          <w:color w:val="3A3A3A"/>
          <w:shd w:val="clear" w:color="auto" w:fill="FFFFFF"/>
        </w:rPr>
        <w:t> </w:t>
      </w:r>
      <w:proofErr w:type="spellStart"/>
      <w:r w:rsidRPr="00C04479">
        <w:rPr>
          <w:rFonts w:ascii="Arial" w:hAnsi="Arial" w:cs="Arial"/>
          <w:color w:val="3A3A3A"/>
        </w:rPr>
        <w:t>Metroeconomica</w:t>
      </w:r>
      <w:proofErr w:type="spellEnd"/>
      <w:r w:rsidRPr="00C04479">
        <w:rPr>
          <w:rStyle w:val="apple-converted-space"/>
          <w:rFonts w:ascii="Arial" w:hAnsi="Arial" w:cs="Arial"/>
          <w:color w:val="3A3A3A"/>
          <w:shd w:val="clear" w:color="auto" w:fill="FFFFFF"/>
        </w:rPr>
        <w:t> </w:t>
      </w:r>
      <w:r w:rsidRPr="00C04479">
        <w:rPr>
          <w:rFonts w:ascii="Arial" w:hAnsi="Arial" w:cs="Arial"/>
          <w:color w:val="3A3A3A"/>
          <w:shd w:val="clear" w:color="auto" w:fill="FFFFFF"/>
        </w:rPr>
        <w:t>68, no. 1: 91-120.</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Dicken, P., (2011) Global Shift Mapping the Changing Contours of the World Economy. 6th ed. New York: Guilford Press.</w:t>
      </w:r>
    </w:p>
    <w:p w:rsid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bookmarkStart w:id="12" w:name="_Hlk50491955"/>
      <w:r w:rsidRPr="00C04479">
        <w:rPr>
          <w:rFonts w:ascii="Arial" w:hAnsi="Arial" w:cs="Arial"/>
          <w:color w:val="000000" w:themeColor="text1"/>
        </w:rPr>
        <w:t xml:space="preserve">Department for Business, Energy, &amp; Industrial Strategy (2018) “The Characteristics Of Those In The Gig Economy” [online] </w:t>
      </w:r>
      <w:bookmarkStart w:id="13" w:name="_Hlk50491887"/>
      <w:r w:rsidRPr="00C04479">
        <w:rPr>
          <w:rFonts w:ascii="Arial" w:hAnsi="Arial" w:cs="Arial"/>
          <w:color w:val="000000" w:themeColor="text1"/>
        </w:rPr>
        <w:t>Department for Business, Energy, &amp; Industrial Strategy</w:t>
      </w:r>
      <w:bookmarkEnd w:id="13"/>
      <w:r w:rsidRPr="00C04479">
        <w:rPr>
          <w:rFonts w:ascii="Arial" w:hAnsi="Arial" w:cs="Arial"/>
          <w:color w:val="000000" w:themeColor="text1"/>
        </w:rPr>
        <w:t xml:space="preserve">. Available at: </w:t>
      </w:r>
      <w:hyperlink r:id="rId71" w:history="1">
        <w:r w:rsidRPr="00C04479">
          <w:rPr>
            <w:rStyle w:val="Hyperlink"/>
            <w:rFonts w:ascii="Arial" w:eastAsiaTheme="majorEastAsia" w:hAnsi="Arial" w:cs="Arial"/>
            <w:color w:val="000000" w:themeColor="text1"/>
          </w:rPr>
          <w:t>https://assets.publishing.service.gov.uk/government/uploads/system/uploads/attachment_data/file/687553/The_characteristics_of_those_in_the_gig_economy.pdf</w:t>
        </w:r>
      </w:hyperlink>
      <w:r w:rsidRPr="00C04479">
        <w:rPr>
          <w:rFonts w:ascii="Arial" w:hAnsi="Arial" w:cs="Arial"/>
          <w:color w:val="000000" w:themeColor="text1"/>
        </w:rPr>
        <w:t xml:space="preserve"> (Accessed</w:t>
      </w:r>
      <w:r>
        <w:rPr>
          <w:rFonts w:ascii="Arial" w:hAnsi="Arial" w:cs="Arial"/>
          <w:color w:val="000000" w:themeColor="text1"/>
        </w:rPr>
        <w:t>: 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w:t>
      </w:r>
      <w:r>
        <w:rPr>
          <w:rFonts w:ascii="Arial" w:hAnsi="Arial" w:cs="Arial"/>
          <w:color w:val="000000" w:themeColor="text1"/>
        </w:rPr>
        <w:t xml:space="preserve"> </w:t>
      </w:r>
      <w:r w:rsidRPr="00C04479">
        <w:rPr>
          <w:rFonts w:ascii="Arial" w:hAnsi="Arial" w:cs="Arial"/>
          <w:color w:val="000000" w:themeColor="text1"/>
        </w:rPr>
        <w:t>2020).</w:t>
      </w:r>
    </w:p>
    <w:bookmarkEnd w:id="12"/>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Economic Insight, (2019) “Hospitality and Tourism Landscape.” Economic Insight Limited [Online] Available at: </w:t>
      </w:r>
      <w:hyperlink r:id="rId72" w:history="1">
        <w:r w:rsidRPr="00C04479">
          <w:rPr>
            <w:rStyle w:val="Hyperlink"/>
            <w:rFonts w:ascii="Arial" w:eastAsiaTheme="majorEastAsia" w:hAnsi="Arial" w:cs="Arial"/>
            <w:color w:val="000000" w:themeColor="text1"/>
          </w:rPr>
          <w:t>https://assets.publishing.service.gov.uk/government/uploads/system/uploads/attachment_data/file/827952/Hospitality_and_Tourism_Workforce_Landscape.pdf</w:t>
        </w:r>
      </w:hyperlink>
      <w:r w:rsidRPr="00C04479">
        <w:rPr>
          <w:rFonts w:ascii="Arial" w:hAnsi="Arial" w:cs="Arial"/>
          <w:color w:val="000000" w:themeColor="text1"/>
        </w:rPr>
        <w:t xml:space="preserve"> (Accessed: 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Edwards, T. and Rees, C. (2016) International Human Resource Management: globalisation, national systems and multinational companies. 2nd ed. Essex: Palgrave.</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Fabius, V., Kohli, S., </w:t>
      </w:r>
      <w:proofErr w:type="spellStart"/>
      <w:r w:rsidRPr="00C04479">
        <w:rPr>
          <w:rFonts w:ascii="Arial" w:hAnsi="Arial" w:cs="Arial"/>
          <w:color w:val="000000" w:themeColor="text1"/>
        </w:rPr>
        <w:t>Timelin</w:t>
      </w:r>
      <w:proofErr w:type="spellEnd"/>
      <w:r w:rsidRPr="00C04479">
        <w:rPr>
          <w:rFonts w:ascii="Arial" w:hAnsi="Arial" w:cs="Arial"/>
          <w:color w:val="000000" w:themeColor="text1"/>
        </w:rPr>
        <w:t xml:space="preserve">, B., and </w:t>
      </w:r>
      <w:proofErr w:type="spellStart"/>
      <w:r w:rsidRPr="00C04479">
        <w:rPr>
          <w:rFonts w:ascii="Arial" w:hAnsi="Arial" w:cs="Arial"/>
          <w:color w:val="000000" w:themeColor="text1"/>
        </w:rPr>
        <w:t>Veranen</w:t>
      </w:r>
      <w:proofErr w:type="spellEnd"/>
      <w:r w:rsidRPr="00C04479">
        <w:rPr>
          <w:rFonts w:ascii="Arial" w:hAnsi="Arial" w:cs="Arial"/>
          <w:color w:val="000000" w:themeColor="text1"/>
        </w:rPr>
        <w:t xml:space="preserve">, S., M., (2020) “Meet the next-normal consumer.” McKinsey &amp; Company [Online] Available at: &lt; </w:t>
      </w:r>
      <w:hyperlink r:id="rId73" w:history="1">
        <w:r w:rsidRPr="00C04479">
          <w:rPr>
            <w:rStyle w:val="Hyperlink"/>
            <w:rFonts w:ascii="Arial" w:eastAsiaTheme="majorEastAsia" w:hAnsi="Arial" w:cs="Arial"/>
            <w:color w:val="000000" w:themeColor="text1"/>
          </w:rPr>
          <w:t>https://www.mckinsey.com/business-functions/marketing-and-sales/our-insights/meet-the-next-normal-consumer</w:t>
        </w:r>
      </w:hyperlink>
      <w:r w:rsidRPr="00C04479">
        <w:rPr>
          <w:rFonts w:ascii="Arial" w:hAnsi="Arial" w:cs="Arial"/>
          <w:color w:val="000000" w:themeColor="text1"/>
        </w:rPr>
        <w:t>&gt; (Accessed: 19</w:t>
      </w:r>
      <w:r w:rsidRPr="00C04479">
        <w:rPr>
          <w:rFonts w:ascii="Arial" w:hAnsi="Arial" w:cs="Arial"/>
          <w:color w:val="000000" w:themeColor="text1"/>
          <w:vertAlign w:val="superscript"/>
        </w:rPr>
        <w:t>th</w:t>
      </w:r>
      <w:r w:rsidRPr="00C04479">
        <w:rPr>
          <w:rFonts w:ascii="Arial" w:hAnsi="Arial" w:cs="Arial"/>
          <w:color w:val="000000" w:themeColor="text1"/>
        </w:rPr>
        <w:t xml:space="preserve"> September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Farndale</w:t>
      </w:r>
      <w:proofErr w:type="spellEnd"/>
      <w:r w:rsidRPr="00C04479">
        <w:rPr>
          <w:rFonts w:ascii="Arial" w:hAnsi="Arial" w:cs="Arial"/>
          <w:color w:val="000000" w:themeColor="text1"/>
        </w:rPr>
        <w:t xml:space="preserve">, E., Brewster, C. &amp; </w:t>
      </w:r>
      <w:proofErr w:type="spellStart"/>
      <w:r w:rsidRPr="00C04479">
        <w:rPr>
          <w:rFonts w:ascii="Arial" w:hAnsi="Arial" w:cs="Arial"/>
          <w:color w:val="000000" w:themeColor="text1"/>
        </w:rPr>
        <w:t>Poutsma</w:t>
      </w:r>
      <w:proofErr w:type="spellEnd"/>
      <w:r w:rsidRPr="00C04479">
        <w:rPr>
          <w:rFonts w:ascii="Arial" w:hAnsi="Arial" w:cs="Arial"/>
          <w:color w:val="000000" w:themeColor="text1"/>
        </w:rPr>
        <w:t>, E.,</w:t>
      </w:r>
      <w:r w:rsidRPr="00C04479">
        <w:rPr>
          <w:rFonts w:ascii="Arial" w:hAnsi="Arial" w:cs="Arial"/>
          <w:color w:val="000000" w:themeColor="text1"/>
          <w:shd w:val="clear" w:color="auto" w:fill="FFFFFF"/>
        </w:rPr>
        <w:t> </w:t>
      </w:r>
      <w:r w:rsidRPr="00C04479">
        <w:rPr>
          <w:rFonts w:ascii="Arial" w:hAnsi="Arial" w:cs="Arial"/>
          <w:color w:val="000000" w:themeColor="text1"/>
        </w:rPr>
        <w:t>(2008)</w:t>
      </w:r>
      <w:r w:rsidRPr="00C04479">
        <w:rPr>
          <w:rFonts w:ascii="Arial" w:hAnsi="Arial" w:cs="Arial"/>
          <w:color w:val="000000" w:themeColor="text1"/>
          <w:shd w:val="clear" w:color="auto" w:fill="FFFFFF"/>
        </w:rPr>
        <w:t> </w:t>
      </w:r>
      <w:r w:rsidRPr="00C04479">
        <w:rPr>
          <w:rFonts w:ascii="Arial" w:hAnsi="Arial" w:cs="Arial"/>
          <w:color w:val="000000" w:themeColor="text1"/>
        </w:rPr>
        <w:t>Coordinated vs. liberal market HRM: the impact of institutionalization on multinational firms,</w:t>
      </w:r>
      <w:r w:rsidRPr="00C04479">
        <w:rPr>
          <w:rFonts w:ascii="Arial" w:hAnsi="Arial" w:cs="Arial"/>
          <w:color w:val="000000" w:themeColor="text1"/>
          <w:shd w:val="clear" w:color="auto" w:fill="FFFFFF"/>
        </w:rPr>
        <w:t> </w:t>
      </w:r>
      <w:r w:rsidRPr="00C04479">
        <w:rPr>
          <w:rFonts w:ascii="Arial" w:hAnsi="Arial" w:cs="Arial"/>
          <w:color w:val="000000" w:themeColor="text1"/>
        </w:rPr>
        <w:t>The International Journal of Human Resource Management,</w:t>
      </w:r>
      <w:r w:rsidRPr="00C04479">
        <w:rPr>
          <w:rFonts w:ascii="Arial" w:hAnsi="Arial" w:cs="Arial"/>
          <w:color w:val="000000" w:themeColor="text1"/>
          <w:shd w:val="clear" w:color="auto" w:fill="FFFFFF"/>
        </w:rPr>
        <w:t> </w:t>
      </w:r>
      <w:r w:rsidRPr="00C04479">
        <w:rPr>
          <w:rFonts w:ascii="Arial" w:hAnsi="Arial" w:cs="Arial"/>
          <w:color w:val="000000" w:themeColor="text1"/>
        </w:rPr>
        <w:t>19:11,</w:t>
      </w:r>
      <w:r w:rsidRPr="00C04479">
        <w:rPr>
          <w:rFonts w:ascii="Arial" w:hAnsi="Arial" w:cs="Arial"/>
          <w:color w:val="000000" w:themeColor="text1"/>
          <w:shd w:val="clear" w:color="auto" w:fill="FFFFFF"/>
        </w:rPr>
        <w:t> </w:t>
      </w:r>
      <w:r w:rsidRPr="00C04479">
        <w:rPr>
          <w:rFonts w:ascii="Arial" w:hAnsi="Arial" w:cs="Arial"/>
          <w:color w:val="000000" w:themeColor="text1"/>
        </w:rPr>
        <w:t>2004-2023,</w:t>
      </w:r>
      <w:r w:rsidRPr="00C04479">
        <w:rPr>
          <w:rFonts w:ascii="Arial" w:hAnsi="Arial" w:cs="Arial"/>
          <w:color w:val="000000" w:themeColor="text1"/>
          <w:shd w:val="clear" w:color="auto" w:fill="FFFFFF"/>
        </w:rPr>
        <w:t> </w:t>
      </w:r>
      <w:r w:rsidRPr="00C04479">
        <w:rPr>
          <w:rFonts w:ascii="Arial" w:hAnsi="Arial" w:cs="Arial"/>
          <w:color w:val="000000" w:themeColor="text1"/>
        </w:rPr>
        <w:t xml:space="preserve"> </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Flanagan, F., (2018) “Theorising the gig economy and home-based service work.” Journal of industrial relations [PDF]. 61(1), pp.57–78.</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Forbes (2020) “Apple” [Online] Available at: &lt;</w:t>
      </w:r>
      <w:r w:rsidRPr="00C04479">
        <w:rPr>
          <w:rFonts w:ascii="Arial" w:hAnsi="Arial" w:cs="Arial"/>
          <w:color w:val="000000" w:themeColor="text1"/>
        </w:rPr>
        <w:t xml:space="preserve"> </w:t>
      </w:r>
      <w:hyperlink r:id="rId74" w:anchor="70f503a35355" w:history="1">
        <w:r w:rsidRPr="00C04479">
          <w:rPr>
            <w:rStyle w:val="Hyperlink"/>
            <w:rFonts w:ascii="Arial" w:hAnsi="Arial" w:cs="Arial"/>
            <w:color w:val="000000" w:themeColor="text1"/>
            <w:shd w:val="clear" w:color="auto" w:fill="FFFFFF"/>
          </w:rPr>
          <w:t>https://www.forbes.com/companies/apple/#70f503a35355</w:t>
        </w:r>
      </w:hyperlink>
      <w:r w:rsidRPr="00C04479">
        <w:rPr>
          <w:rFonts w:ascii="Arial" w:hAnsi="Arial" w:cs="Arial"/>
          <w:color w:val="000000" w:themeColor="text1"/>
          <w:shd w:val="clear" w:color="auto" w:fill="FFFFFF"/>
        </w:rPr>
        <w:t>&gt; (Accessed: 18 Oct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Freeman, D., (2020) “Coronavirus and the effects on UK labour market statistic.” Office for National Statistics. (Accessed: 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Frey, C., B. and Osborne, M., A., (2013) The future of employment: How susceptible are jobs to computerisation? Department of Engineering Science [PDF]. Oxford University. Oxford, 1-72.</w:t>
      </w:r>
    </w:p>
    <w:p w:rsidR="00C04479" w:rsidRPr="00C04479" w:rsidRDefault="00C04479" w:rsidP="00C04479">
      <w:pPr>
        <w:spacing w:line="480" w:lineRule="auto"/>
        <w:rPr>
          <w:rFonts w:ascii="Arial" w:hAnsi="Arial" w:cs="Arial"/>
          <w:color w:val="000000" w:themeColor="text1"/>
        </w:rPr>
      </w:pPr>
      <w:r w:rsidRPr="00C04479">
        <w:rPr>
          <w:rFonts w:ascii="Arial" w:hAnsi="Arial" w:cs="Arial"/>
        </w:rPr>
        <w:t xml:space="preserve">Gifford, J. &amp; Green, M. (2020) “How could COVID-19 change the world of work?” Chartered Institute of Personnel and Development [online] Available at: &lt; </w:t>
      </w:r>
      <w:hyperlink r:id="rId75" w:history="1">
        <w:r w:rsidRPr="00C04479">
          <w:rPr>
            <w:rStyle w:val="Hyperlink"/>
            <w:rFonts w:ascii="Arial" w:hAnsi="Arial" w:cs="Arial"/>
          </w:rPr>
          <w:t>https://www.cipd.co.uk/news-views/changing-work-views/future-work/thought-pieces/covid-19-change-work</w:t>
        </w:r>
      </w:hyperlink>
      <w:r w:rsidRPr="00C04479">
        <w:rPr>
          <w:rFonts w:ascii="Arial" w:hAnsi="Arial" w:cs="Arial"/>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Graham, F., Russell., J., Holdsworth, M., Menon, M., &amp; Barker, M., (2019) "Exploring the Relationship between Environmental Impact and Nutrient Content of Sandwiches and Beverages Available in Cafés in a UK University." </w:t>
      </w:r>
      <w:r w:rsidRPr="00C04479">
        <w:rPr>
          <w:rFonts w:ascii="Arial" w:hAnsi="Arial" w:cs="Arial"/>
          <w:color w:val="000000" w:themeColor="text1"/>
        </w:rPr>
        <w:t>Sustainability (Basel, Switzerland)</w:t>
      </w:r>
      <w:r w:rsidRPr="00C04479">
        <w:rPr>
          <w:rFonts w:ascii="Arial" w:hAnsi="Arial" w:cs="Arial"/>
          <w:color w:val="000000" w:themeColor="text1"/>
          <w:shd w:val="clear" w:color="auto" w:fill="FFFFFF"/>
        </w:rPr>
        <w:t> 11, no. 11:3190.</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Graham, S., &amp; Potter, A., (2015) "Environmental Operations Management and Its Links with Proactivity and Performance: A Study of the UK Food Industry." </w:t>
      </w:r>
      <w:r w:rsidRPr="00C04479">
        <w:rPr>
          <w:rFonts w:ascii="Arial" w:hAnsi="Arial" w:cs="Arial"/>
          <w:color w:val="000000" w:themeColor="text1"/>
        </w:rPr>
        <w:t>International Journal of Production Economics</w:t>
      </w:r>
      <w:r w:rsidRPr="00C04479">
        <w:rPr>
          <w:rFonts w:ascii="Arial" w:hAnsi="Arial" w:cs="Arial"/>
          <w:color w:val="000000" w:themeColor="text1"/>
          <w:shd w:val="clear" w:color="auto" w:fill="FFFFFF"/>
        </w:rPr>
        <w:t> 170:146-159.</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Guenole</w:t>
      </w:r>
      <w:proofErr w:type="spellEnd"/>
      <w:r w:rsidRPr="00C04479">
        <w:rPr>
          <w:rFonts w:ascii="Arial" w:hAnsi="Arial" w:cs="Arial"/>
          <w:color w:val="000000" w:themeColor="text1"/>
        </w:rPr>
        <w:t xml:space="preserve">, N. &amp; </w:t>
      </w:r>
      <w:proofErr w:type="spellStart"/>
      <w:r w:rsidRPr="00C04479">
        <w:rPr>
          <w:rFonts w:ascii="Arial" w:hAnsi="Arial" w:cs="Arial"/>
          <w:color w:val="000000" w:themeColor="text1"/>
        </w:rPr>
        <w:t>Feinzig</w:t>
      </w:r>
      <w:proofErr w:type="spellEnd"/>
      <w:r w:rsidRPr="00C04479">
        <w:rPr>
          <w:rFonts w:ascii="Arial" w:hAnsi="Arial" w:cs="Arial"/>
          <w:color w:val="000000" w:themeColor="text1"/>
        </w:rPr>
        <w:t>, S. (2018) “The business case for AI in HR. With insights and tips on getting started.” IBM Watson Talent. [Pdf] Available at: &lt;https://www.ibm.com/downloads/cas/AGKXJX6M&gt; (Accessed: 12</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HM Government</w:t>
      </w:r>
      <w:r w:rsidRPr="00C04479">
        <w:rPr>
          <w:rFonts w:ascii="Arial" w:hAnsi="Arial" w:cs="Arial"/>
          <w:color w:val="000000" w:themeColor="text1"/>
        </w:rPr>
        <w:t xml:space="preserve"> </w:t>
      </w:r>
      <w:r w:rsidRPr="00C04479">
        <w:rPr>
          <w:rFonts w:ascii="Arial" w:hAnsi="Arial" w:cs="Arial"/>
          <w:color w:val="000000" w:themeColor="text1"/>
        </w:rPr>
        <w:t>(2020) “Keeping workers and customers safe during COVID-19 in restaurants, pubs, bars and takeaway services” [online]. HM Government. Available at: &lt;</w:t>
      </w:r>
      <w:hyperlink r:id="rId76" w:history="1">
        <w:r w:rsidRPr="00C04479">
          <w:rPr>
            <w:rStyle w:val="Hyperlink"/>
            <w:rFonts w:ascii="Arial" w:eastAsiaTheme="majorEastAsia" w:hAnsi="Arial" w:cs="Arial"/>
            <w:color w:val="000000" w:themeColor="text1"/>
          </w:rPr>
          <w:t>https://assets.publishing.service.gov.uk/media/5eb96e8e86650c278b077616/working-safely-during-covid-19-restaurants-pubs-takeaway-services-200812.pdf</w:t>
        </w:r>
      </w:hyperlink>
      <w:r w:rsidRPr="00C04479">
        <w:rPr>
          <w:rFonts w:ascii="Arial" w:hAnsi="Arial" w:cs="Arial"/>
          <w:color w:val="000000" w:themeColor="text1"/>
        </w:rPr>
        <w:t>&gt; (Accessed 05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F2066D" w:rsidRPr="00C04479" w:rsidRDefault="00F2066D" w:rsidP="00C04479">
      <w:pPr>
        <w:spacing w:line="480" w:lineRule="auto"/>
        <w:rPr>
          <w:rFonts w:ascii="Arial" w:hAnsi="Arial" w:cs="Arial"/>
          <w:color w:val="000000" w:themeColor="text1"/>
        </w:rPr>
      </w:pPr>
    </w:p>
    <w:p w:rsidR="00F2066D" w:rsidRPr="00C04479" w:rsidRDefault="00F2066D" w:rsidP="00C04479">
      <w:pPr>
        <w:spacing w:line="480" w:lineRule="auto"/>
        <w:rPr>
          <w:rFonts w:ascii="Arial" w:hAnsi="Arial" w:cs="Arial"/>
          <w:color w:val="000000" w:themeColor="text1"/>
        </w:rPr>
      </w:pPr>
      <w:proofErr w:type="spellStart"/>
      <w:r w:rsidRPr="00C04479">
        <w:rPr>
          <w:rFonts w:ascii="Arial" w:hAnsi="Arial" w:cs="Arial"/>
          <w:color w:val="000000" w:themeColor="text1"/>
        </w:rPr>
        <w:t>Holbeche</w:t>
      </w:r>
      <w:proofErr w:type="spellEnd"/>
      <w:r w:rsidRPr="00C04479">
        <w:rPr>
          <w:rFonts w:ascii="Arial" w:hAnsi="Arial" w:cs="Arial"/>
          <w:color w:val="000000" w:themeColor="text1"/>
        </w:rPr>
        <w:t>, L., (2018) “Why go agile.” The agile organisation: How to build an innovative, sustainable and resilient business (2</w:t>
      </w:r>
      <w:r w:rsidRPr="00C04479">
        <w:rPr>
          <w:rFonts w:ascii="Arial" w:hAnsi="Arial" w:cs="Arial"/>
          <w:color w:val="000000" w:themeColor="text1"/>
          <w:vertAlign w:val="superscript"/>
        </w:rPr>
        <w:t>nd</w:t>
      </w:r>
      <w:r w:rsidRPr="00C04479">
        <w:rPr>
          <w:rFonts w:ascii="Arial" w:hAnsi="Arial" w:cs="Arial"/>
          <w:color w:val="000000" w:themeColor="text1"/>
        </w:rPr>
        <w:t xml:space="preserve"> Edition). Kogan Page, p9-27.</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proofErr w:type="spellStart"/>
      <w:r w:rsidRPr="00C04479">
        <w:rPr>
          <w:rFonts w:ascii="Arial" w:hAnsi="Arial" w:cs="Arial"/>
          <w:color w:val="000000" w:themeColor="text1"/>
          <w:shd w:val="clear" w:color="auto" w:fill="FFFFFF"/>
        </w:rPr>
        <w:t>Horak</w:t>
      </w:r>
      <w:proofErr w:type="spellEnd"/>
      <w:r w:rsidRPr="00C04479">
        <w:rPr>
          <w:rFonts w:ascii="Arial" w:hAnsi="Arial" w:cs="Arial"/>
          <w:color w:val="000000" w:themeColor="text1"/>
          <w:shd w:val="clear" w:color="auto" w:fill="FFFFFF"/>
        </w:rPr>
        <w:t xml:space="preserve">, S., </w:t>
      </w:r>
      <w:proofErr w:type="spellStart"/>
      <w:r w:rsidRPr="00C04479">
        <w:rPr>
          <w:rFonts w:ascii="Arial" w:hAnsi="Arial" w:cs="Arial"/>
          <w:color w:val="000000" w:themeColor="text1"/>
          <w:shd w:val="clear" w:color="auto" w:fill="FFFFFF"/>
        </w:rPr>
        <w:t>Farndale</w:t>
      </w:r>
      <w:proofErr w:type="spellEnd"/>
      <w:r w:rsidRPr="00C04479">
        <w:rPr>
          <w:rFonts w:ascii="Arial" w:hAnsi="Arial" w:cs="Arial"/>
          <w:color w:val="000000" w:themeColor="text1"/>
          <w:shd w:val="clear" w:color="auto" w:fill="FFFFFF"/>
        </w:rPr>
        <w:t>, E., Brannen, M., Y., and Collings, D., G., (2019) "International Human Resource Management in an Era of Political Nationalism." </w:t>
      </w:r>
      <w:r w:rsidRPr="00C04479">
        <w:rPr>
          <w:rFonts w:ascii="Arial" w:hAnsi="Arial" w:cs="Arial"/>
          <w:color w:val="000000" w:themeColor="text1"/>
        </w:rPr>
        <w:t>Thunderbird International Business Review</w:t>
      </w:r>
      <w:r w:rsidRPr="00C04479">
        <w:rPr>
          <w:rFonts w:ascii="Arial" w:hAnsi="Arial" w:cs="Arial"/>
          <w:color w:val="000000" w:themeColor="text1"/>
          <w:shd w:val="clear" w:color="auto" w:fill="FFFFFF"/>
        </w:rPr>
        <w:t> 61, no. 3 (2019): 471-80.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Howcroft</w:t>
      </w:r>
      <w:proofErr w:type="spellEnd"/>
      <w:r w:rsidRPr="00C04479">
        <w:rPr>
          <w:rFonts w:ascii="Arial" w:hAnsi="Arial" w:cs="Arial"/>
          <w:color w:val="000000" w:themeColor="text1"/>
        </w:rPr>
        <w:t xml:space="preserve">, D., &amp; </w:t>
      </w:r>
      <w:proofErr w:type="spellStart"/>
      <w:r w:rsidRPr="00C04479">
        <w:rPr>
          <w:rFonts w:ascii="Arial" w:hAnsi="Arial" w:cs="Arial"/>
          <w:color w:val="000000" w:themeColor="text1"/>
        </w:rPr>
        <w:t>Bergvall-Kåreborn</w:t>
      </w:r>
      <w:proofErr w:type="spellEnd"/>
      <w:r w:rsidRPr="00C04479">
        <w:rPr>
          <w:rFonts w:ascii="Arial" w:hAnsi="Arial" w:cs="Arial"/>
          <w:color w:val="000000" w:themeColor="text1"/>
        </w:rPr>
        <w:t xml:space="preserve">, B., (2018). A Typology of </w:t>
      </w:r>
      <w:proofErr w:type="spellStart"/>
      <w:r w:rsidRPr="00C04479">
        <w:rPr>
          <w:rFonts w:ascii="Arial" w:hAnsi="Arial" w:cs="Arial"/>
          <w:color w:val="000000" w:themeColor="text1"/>
        </w:rPr>
        <w:t>Crowdwork</w:t>
      </w:r>
      <w:proofErr w:type="spellEnd"/>
      <w:r w:rsidRPr="00C04479">
        <w:rPr>
          <w:rFonts w:ascii="Arial" w:hAnsi="Arial" w:cs="Arial"/>
          <w:color w:val="000000" w:themeColor="text1"/>
        </w:rPr>
        <w:t xml:space="preserve"> Platforms. Work, employment and society [PDF]. 33(1), pp.21–38.</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Hyers</w:t>
      </w:r>
      <w:proofErr w:type="spellEnd"/>
      <w:r w:rsidRPr="00C04479">
        <w:rPr>
          <w:rFonts w:ascii="Arial" w:hAnsi="Arial" w:cs="Arial"/>
          <w:color w:val="000000" w:themeColor="text1"/>
        </w:rPr>
        <w:t xml:space="preserve">, D., &amp; </w:t>
      </w:r>
      <w:proofErr w:type="spellStart"/>
      <w:r w:rsidRPr="00C04479">
        <w:rPr>
          <w:rFonts w:ascii="Arial" w:hAnsi="Arial" w:cs="Arial"/>
          <w:color w:val="000000" w:themeColor="text1"/>
        </w:rPr>
        <w:t>Kovacova</w:t>
      </w:r>
      <w:proofErr w:type="spellEnd"/>
      <w:r w:rsidRPr="00C04479">
        <w:rPr>
          <w:rFonts w:ascii="Arial" w:hAnsi="Arial" w:cs="Arial"/>
          <w:color w:val="000000" w:themeColor="text1"/>
        </w:rPr>
        <w:t xml:space="preserve">, M., (2018). The Economics Of The Online Gig Economy: Algorithmic Hiring Practices, Digital </w:t>
      </w:r>
      <w:proofErr w:type="spellStart"/>
      <w:r w:rsidRPr="00C04479">
        <w:rPr>
          <w:rFonts w:ascii="Arial" w:hAnsi="Arial" w:cs="Arial"/>
          <w:color w:val="000000" w:themeColor="text1"/>
        </w:rPr>
        <w:t>Labor</w:t>
      </w:r>
      <w:proofErr w:type="spellEnd"/>
      <w:r w:rsidRPr="00C04479">
        <w:rPr>
          <w:rFonts w:ascii="Arial" w:hAnsi="Arial" w:cs="Arial"/>
          <w:color w:val="000000" w:themeColor="text1"/>
        </w:rPr>
        <w:t>-Market Intermediation, And Rights For Platform Workers. Psychosociological Issues in Human Resource Management [PDF]. 6(1), pp.160–165.</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Kässi</w:t>
      </w:r>
      <w:proofErr w:type="spellEnd"/>
      <w:r w:rsidRPr="00C04479">
        <w:rPr>
          <w:rFonts w:ascii="Arial" w:hAnsi="Arial" w:cs="Arial"/>
          <w:color w:val="000000" w:themeColor="text1"/>
        </w:rPr>
        <w:t xml:space="preserve">, O., &amp; </w:t>
      </w:r>
      <w:proofErr w:type="spellStart"/>
      <w:r w:rsidRPr="00C04479">
        <w:rPr>
          <w:rFonts w:ascii="Arial" w:hAnsi="Arial" w:cs="Arial"/>
          <w:color w:val="000000" w:themeColor="text1"/>
        </w:rPr>
        <w:t>Lehdonvirta</w:t>
      </w:r>
      <w:proofErr w:type="spellEnd"/>
      <w:r w:rsidRPr="00C04479">
        <w:rPr>
          <w:rFonts w:ascii="Arial" w:hAnsi="Arial" w:cs="Arial"/>
          <w:color w:val="000000" w:themeColor="text1"/>
        </w:rPr>
        <w:t>, V., (2018). Online labour index: Measuring the online gig economy for policy and research. Technological forecasting &amp; social change [PDF]. 137, pp.241–248.</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Keller, S., &amp; Meaney, M., (2017) “Attracting and retaining the right talent.” McKinsey &amp; Company [online] Available at: &lt;</w:t>
      </w:r>
      <w:hyperlink r:id="rId77" w:history="1">
        <w:r w:rsidRPr="00C04479">
          <w:rPr>
            <w:rStyle w:val="Hyperlink"/>
            <w:rFonts w:ascii="Arial" w:hAnsi="Arial" w:cs="Arial"/>
            <w:color w:val="000000" w:themeColor="text1"/>
          </w:rPr>
          <w:t>https://www.mckinsey.com/business-functions/organization/our-insights/attracting-and-retaining-the-right-talent</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shd w:val="clear" w:color="auto" w:fill="FFFFFF"/>
        </w:rPr>
      </w:pPr>
      <w:proofErr w:type="spellStart"/>
      <w:r w:rsidRPr="00C04479">
        <w:rPr>
          <w:rFonts w:ascii="Arial" w:hAnsi="Arial" w:cs="Arial"/>
          <w:color w:val="000000" w:themeColor="text1"/>
          <w:shd w:val="clear" w:color="auto" w:fill="FFFFFF"/>
        </w:rPr>
        <w:t>Kluike</w:t>
      </w:r>
      <w:proofErr w:type="spellEnd"/>
      <w:r w:rsidRPr="00C04479">
        <w:rPr>
          <w:rFonts w:ascii="Arial" w:hAnsi="Arial" w:cs="Arial"/>
          <w:color w:val="000000" w:themeColor="text1"/>
          <w:shd w:val="clear" w:color="auto" w:fill="FFFFFF"/>
        </w:rPr>
        <w:t>, M., (2015) "Host-country Effects in Coordinated, Liberal and Hybrid Market Economies: US Subsidiaries in Switzerland, Germany and the UK." </w:t>
      </w:r>
      <w:r w:rsidRPr="00C04479">
        <w:rPr>
          <w:rFonts w:ascii="Arial" w:hAnsi="Arial" w:cs="Arial"/>
          <w:color w:val="000000" w:themeColor="text1"/>
        </w:rPr>
        <w:t>The International Journal of Human Resource Management</w:t>
      </w:r>
      <w:r w:rsidRPr="00C04479">
        <w:rPr>
          <w:rFonts w:ascii="Arial" w:hAnsi="Arial" w:cs="Arial"/>
          <w:color w:val="000000" w:themeColor="text1"/>
          <w:shd w:val="clear" w:color="auto" w:fill="FFFFFF"/>
        </w:rPr>
        <w:t> 26, no. 17: 2211-226.</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rPr>
        <w:t>Klynveld</w:t>
      </w:r>
      <w:proofErr w:type="spellEnd"/>
      <w:r w:rsidRPr="00C04479">
        <w:rPr>
          <w:rFonts w:ascii="Arial" w:hAnsi="Arial" w:cs="Arial"/>
        </w:rPr>
        <w:t xml:space="preserve"> Peat Marwick </w:t>
      </w:r>
      <w:proofErr w:type="spellStart"/>
      <w:r w:rsidRPr="00C04479">
        <w:rPr>
          <w:rFonts w:ascii="Arial" w:hAnsi="Arial" w:cs="Arial"/>
        </w:rPr>
        <w:t>Goerdeler</w:t>
      </w:r>
      <w:proofErr w:type="spellEnd"/>
      <w:r w:rsidRPr="00C04479">
        <w:rPr>
          <w:rFonts w:ascii="Arial" w:hAnsi="Arial" w:cs="Arial"/>
        </w:rPr>
        <w:t xml:space="preserve"> (KPMG) (2020) “Hope on the horizon. UK economic outlook. September 2020.” [pdf] Available at: &lt; </w:t>
      </w:r>
      <w:hyperlink r:id="rId78" w:history="1">
        <w:r w:rsidRPr="00C04479">
          <w:rPr>
            <w:rStyle w:val="Hyperlink"/>
            <w:rFonts w:ascii="Arial" w:hAnsi="Arial" w:cs="Arial"/>
          </w:rPr>
          <w:t>https://assets.kpmg/content/dam/kpmg/uk/pdf/2020/08/uk-economic-outlook-sep-2020.pdf</w:t>
        </w:r>
      </w:hyperlink>
      <w:r w:rsidRPr="00C04479">
        <w:rPr>
          <w:rFonts w:ascii="Arial" w:hAnsi="Arial" w:cs="Arial"/>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Kost</w:t>
      </w:r>
      <w:proofErr w:type="spellEnd"/>
      <w:r w:rsidRPr="00C04479">
        <w:rPr>
          <w:rFonts w:ascii="Arial" w:hAnsi="Arial" w:cs="Arial"/>
          <w:color w:val="000000" w:themeColor="text1"/>
        </w:rPr>
        <w:t>, D., et al (2019). Boundaryless careers in the gig economy: An oxymoron? Human resource management journal [PDF]. 30(1), pp.100–113.</w:t>
      </w:r>
    </w:p>
    <w:p w:rsidR="00C04479" w:rsidRP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rPr>
        <w:t xml:space="preserve">Lee, D. &amp; Gray, A. (2020) “Amazon to hire 75,000 more workers to cope with </w:t>
      </w:r>
      <w:proofErr w:type="spellStart"/>
      <w:r w:rsidRPr="00C04479">
        <w:rPr>
          <w:rFonts w:ascii="Arial" w:hAnsi="Arial" w:cs="Arial"/>
        </w:rPr>
        <w:t>deman</w:t>
      </w:r>
      <w:proofErr w:type="spellEnd"/>
      <w:r w:rsidRPr="00C04479">
        <w:rPr>
          <w:rFonts w:ascii="Arial" w:hAnsi="Arial" w:cs="Arial"/>
        </w:rPr>
        <w:t xml:space="preserve">.” Financial Times [online] Available at: &lt; </w:t>
      </w:r>
      <w:hyperlink r:id="rId79" w:history="1">
        <w:r w:rsidRPr="00C04479">
          <w:rPr>
            <w:rStyle w:val="Hyperlink"/>
            <w:rFonts w:ascii="Arial" w:hAnsi="Arial" w:cs="Arial"/>
          </w:rPr>
          <w:t>https://www.ft.com/content/f3550890-f501-4a2a-9cc5-a4d292d3c64e</w:t>
        </w:r>
      </w:hyperlink>
      <w:r w:rsidRPr="00C04479">
        <w:rPr>
          <w:rFonts w:ascii="Arial" w:hAnsi="Arial" w:cs="Arial"/>
        </w:rPr>
        <w:t>&gt;</w:t>
      </w:r>
      <w:r>
        <w:rPr>
          <w:rFonts w:ascii="Arial" w:hAnsi="Arial" w:cs="Arial"/>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Market Line (2019) “Foodservice in the United Kingdom.” [pdf] Available at: Market Line Advantage; UWTSD Library (Accessed: 5th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Martin, A.</w:t>
      </w:r>
      <w:r>
        <w:rPr>
          <w:rFonts w:ascii="Arial" w:hAnsi="Arial" w:cs="Arial"/>
          <w:color w:val="000000" w:themeColor="text1"/>
        </w:rPr>
        <w:t>,</w:t>
      </w:r>
      <w:r w:rsidRPr="00C04479">
        <w:rPr>
          <w:rFonts w:ascii="Arial" w:hAnsi="Arial" w:cs="Arial"/>
          <w:color w:val="000000" w:themeColor="text1"/>
        </w:rPr>
        <w:t xml:space="preserve"> (2020) “Employment law updates: Important changes for employers.” </w:t>
      </w:r>
      <w:proofErr w:type="spellStart"/>
      <w:r w:rsidRPr="00C04479">
        <w:rPr>
          <w:rFonts w:ascii="Arial" w:hAnsi="Arial" w:cs="Arial"/>
          <w:color w:val="000000" w:themeColor="text1"/>
        </w:rPr>
        <w:t>Busge</w:t>
      </w:r>
      <w:proofErr w:type="spellEnd"/>
      <w:r w:rsidRPr="00C04479">
        <w:rPr>
          <w:rFonts w:ascii="Arial" w:hAnsi="Arial" w:cs="Arial"/>
          <w:color w:val="000000" w:themeColor="text1"/>
        </w:rPr>
        <w:t>-Salmon [Online] Available at: </w:t>
      </w:r>
      <w:hyperlink r:id="rId80" w:tgtFrame="_blank" w:tooltip="Original URL: https://www.burges-salmon.com/news-and-insight/legal-updates/employment-law-updates/. Click or tap if you trust this link." w:history="1">
        <w:r w:rsidRPr="00C04479">
          <w:rPr>
            <w:rStyle w:val="Hyperlink"/>
            <w:rFonts w:ascii="Arial" w:eastAsiaTheme="majorEastAsia" w:hAnsi="Arial" w:cs="Arial"/>
            <w:color w:val="000000" w:themeColor="text1"/>
          </w:rPr>
          <w:t>https://www.burges-salmon.com/news-and-insight/legal-updates/employment-law-updates/</w:t>
        </w:r>
      </w:hyperlink>
      <w:r w:rsidRPr="00C04479">
        <w:rPr>
          <w:rStyle w:val="Hyperlink"/>
          <w:rFonts w:ascii="Arial" w:eastAsiaTheme="majorEastAsia" w:hAnsi="Arial" w:cs="Arial"/>
          <w:color w:val="000000" w:themeColor="text1"/>
        </w:rPr>
        <w:t xml:space="preserve"> </w:t>
      </w:r>
      <w:r>
        <w:rPr>
          <w:rStyle w:val="Hyperlink"/>
          <w:rFonts w:ascii="Arial" w:eastAsiaTheme="majorEastAsia" w:hAnsi="Arial" w:cs="Arial"/>
          <w:color w:val="000000" w:themeColor="text1"/>
        </w:rPr>
        <w:t xml:space="preserve"> </w:t>
      </w:r>
      <w:r w:rsidRPr="00C04479">
        <w:rPr>
          <w:rFonts w:ascii="Arial" w:hAnsi="Arial" w:cs="Arial"/>
          <w:color w:val="000000" w:themeColor="text1"/>
        </w:rPr>
        <w:t>(Accessed: 5</w:t>
      </w:r>
      <w:r w:rsidRPr="00C04479">
        <w:rPr>
          <w:rFonts w:ascii="Arial" w:hAnsi="Arial" w:cs="Arial"/>
          <w:color w:val="000000" w:themeColor="text1"/>
          <w:vertAlign w:val="superscript"/>
        </w:rPr>
        <w:t>th</w:t>
      </w:r>
      <w:r>
        <w:rPr>
          <w:rFonts w:ascii="Arial" w:hAnsi="Arial" w:cs="Arial"/>
          <w:color w:val="000000" w:themeColor="text1"/>
          <w:vertAlign w:val="superscript"/>
        </w:rPr>
        <w:t xml:space="preserve"> </w:t>
      </w:r>
      <w:r w:rsidRPr="00C04479">
        <w:rPr>
          <w:rFonts w:ascii="Arial" w:hAnsi="Arial" w:cs="Arial"/>
          <w:color w:val="000000" w:themeColor="text1"/>
        </w:rPr>
        <w:t>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Mayer</w:t>
      </w:r>
      <w:r>
        <w:rPr>
          <w:rFonts w:ascii="Arial" w:hAnsi="Arial" w:cs="Arial"/>
          <w:color w:val="000000" w:themeColor="text1"/>
        </w:rPr>
        <w:t>,</w:t>
      </w:r>
      <w:r w:rsidRPr="00C04479">
        <w:rPr>
          <w:rFonts w:ascii="Arial" w:hAnsi="Arial" w:cs="Arial"/>
          <w:color w:val="000000" w:themeColor="text1"/>
        </w:rPr>
        <w:t xml:space="preserve"> B</w:t>
      </w:r>
      <w:r>
        <w:rPr>
          <w:rFonts w:ascii="Arial" w:hAnsi="Arial" w:cs="Arial"/>
          <w:color w:val="000000" w:themeColor="text1"/>
        </w:rPr>
        <w:t>.,</w:t>
      </w:r>
      <w:r w:rsidRPr="00C04479">
        <w:rPr>
          <w:rFonts w:ascii="Arial" w:hAnsi="Arial" w:cs="Arial"/>
          <w:color w:val="000000" w:themeColor="text1"/>
        </w:rPr>
        <w:t xml:space="preserve"> (2020) “Managing HR through Covid-19. A practical guide for Multinational employers.” [pdf] Available at: </w:t>
      </w:r>
      <w:hyperlink r:id="rId81" w:history="1">
        <w:r w:rsidRPr="00C04479">
          <w:rPr>
            <w:rStyle w:val="Hyperlink"/>
            <w:rFonts w:ascii="Arial" w:eastAsiaTheme="majorEastAsia" w:hAnsi="Arial" w:cs="Arial"/>
            <w:color w:val="000000" w:themeColor="text1"/>
          </w:rPr>
          <w:t>https://www.mayerbrown.com/-/media/files/perspectives-events/publications/2020/03/managing-hr-through-covid19.pdf</w:t>
        </w:r>
      </w:hyperlink>
      <w:r w:rsidRPr="00C04479">
        <w:rPr>
          <w:rFonts w:ascii="Arial" w:hAnsi="Arial" w:cs="Arial"/>
          <w:color w:val="000000" w:themeColor="text1"/>
        </w:rPr>
        <w:t xml:space="preserve"> (Accessed: 5</w:t>
      </w:r>
      <w:r w:rsidRPr="00C04479">
        <w:rPr>
          <w:rFonts w:ascii="Arial" w:hAnsi="Arial" w:cs="Arial"/>
          <w:color w:val="000000" w:themeColor="text1"/>
          <w:vertAlign w:val="superscript"/>
        </w:rPr>
        <w:t>th</w:t>
      </w:r>
      <w:r w:rsidRPr="00C04479">
        <w:rPr>
          <w:rFonts w:ascii="Arial" w:hAnsi="Arial" w:cs="Arial"/>
          <w:color w:val="000000" w:themeColor="text1"/>
        </w:rPr>
        <w:t>Sept 2020).</w:t>
      </w:r>
    </w:p>
    <w:p w:rsid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shd w:val="clear" w:color="auto" w:fill="FFFFFF"/>
        </w:rPr>
      </w:pPr>
      <w:proofErr w:type="spellStart"/>
      <w:r w:rsidRPr="00C04479">
        <w:rPr>
          <w:rFonts w:ascii="Arial" w:hAnsi="Arial" w:cs="Arial"/>
          <w:color w:val="000000" w:themeColor="text1"/>
          <w:shd w:val="clear" w:color="auto" w:fill="FFFFFF"/>
        </w:rPr>
        <w:t>Meijerink</w:t>
      </w:r>
      <w:proofErr w:type="spellEnd"/>
      <w:r w:rsidRPr="00C04479">
        <w:rPr>
          <w:rFonts w:ascii="Arial" w:hAnsi="Arial" w:cs="Arial"/>
          <w:color w:val="000000" w:themeColor="text1"/>
          <w:shd w:val="clear" w:color="auto" w:fill="FFFFFF"/>
        </w:rPr>
        <w:t>, J., &amp; Keegan, A., (2019) "Conceptualizing Human Resource Management in the Gig Economy." </w:t>
      </w:r>
      <w:r w:rsidRPr="00C04479">
        <w:rPr>
          <w:rFonts w:ascii="Arial" w:hAnsi="Arial" w:cs="Arial"/>
          <w:color w:val="000000" w:themeColor="text1"/>
        </w:rPr>
        <w:t>Journal of Managerial Psychology</w:t>
      </w:r>
      <w:r w:rsidRPr="00C04479">
        <w:rPr>
          <w:rFonts w:ascii="Arial" w:hAnsi="Arial" w:cs="Arial"/>
          <w:color w:val="000000" w:themeColor="text1"/>
          <w:shd w:val="clear" w:color="auto" w:fill="FFFFFF"/>
        </w:rPr>
        <w:t> 34, no. 4: 214-232.</w:t>
      </w:r>
    </w:p>
    <w:p w:rsidR="00C04479" w:rsidRPr="00C04479" w:rsidRDefault="00C04479" w:rsidP="00C04479">
      <w:pPr>
        <w:spacing w:line="480" w:lineRule="auto"/>
        <w:rPr>
          <w:rFonts w:ascii="Arial" w:hAnsi="Arial" w:cs="Arial"/>
          <w:color w:val="000000" w:themeColor="text1"/>
          <w:shd w:val="clear" w:color="auto" w:fill="FFFFFF"/>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McKinsey &amp; Company (2019) “China and the world. Inside the dynamics of a changing relationship.” [pdf] Available at: &lt;https://www.mckinsey.com/~/media/mckinsey/featured%20insights/china/china%20and%20the%20world%20inside%20the%20dynamics%20of%20a%20changing%20relationship/mgi-china-and-the-world-full-report-june-2019-vf.ashx&gt;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McKinsey &amp; Company (2020) “Covid-19: Implications for business: Briefing note No.22, September 10, 2020.” [Online] Available at: &lt;</w:t>
      </w:r>
      <w:hyperlink r:id="rId82" w:history="1">
        <w:r w:rsidRPr="00C04479">
          <w:rPr>
            <w:rStyle w:val="Hyperlink"/>
            <w:rFonts w:ascii="Arial" w:eastAsiaTheme="majorEastAsia" w:hAnsi="Arial" w:cs="Arial"/>
          </w:rPr>
          <w:t>https://www.mckinsey.com/business-functions/risk/our-insights/covid-19-implications-for-business</w:t>
        </w:r>
      </w:hyperlink>
      <w:r w:rsidRPr="00C04479">
        <w:rPr>
          <w:rFonts w:ascii="Arial" w:hAnsi="Arial" w:cs="Arial"/>
          <w:color w:val="000000" w:themeColor="text1"/>
        </w:rPr>
        <w:t xml:space="preserve"> &gt; (Accessed: 19</w:t>
      </w:r>
      <w:r w:rsidRPr="00C04479">
        <w:rPr>
          <w:rFonts w:ascii="Arial" w:hAnsi="Arial" w:cs="Arial"/>
          <w:color w:val="000000" w:themeColor="text1"/>
          <w:vertAlign w:val="superscript"/>
        </w:rPr>
        <w:t>th</w:t>
      </w:r>
      <w:r w:rsidRPr="00C04479">
        <w:rPr>
          <w:rFonts w:ascii="Arial" w:hAnsi="Arial" w:cs="Arial"/>
          <w:color w:val="000000" w:themeColor="text1"/>
        </w:rPr>
        <w:t xml:space="preserve">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McKinsey &amp; Company (2020) “Understanding and shaping consumer </w:t>
      </w:r>
      <w:proofErr w:type="spellStart"/>
      <w:r w:rsidRPr="00C04479">
        <w:rPr>
          <w:rFonts w:ascii="Arial" w:hAnsi="Arial" w:cs="Arial"/>
          <w:color w:val="000000" w:themeColor="text1"/>
        </w:rPr>
        <w:t>behavior</w:t>
      </w:r>
      <w:proofErr w:type="spellEnd"/>
      <w:r w:rsidRPr="00C04479">
        <w:rPr>
          <w:rFonts w:ascii="Arial" w:hAnsi="Arial" w:cs="Arial"/>
          <w:color w:val="000000" w:themeColor="text1"/>
        </w:rPr>
        <w:t xml:space="preserve"> in the next normal.” [</w:t>
      </w:r>
      <w:r>
        <w:rPr>
          <w:rFonts w:ascii="Arial" w:hAnsi="Arial" w:cs="Arial"/>
          <w:color w:val="000000" w:themeColor="text1"/>
        </w:rPr>
        <w:t>O</w:t>
      </w:r>
      <w:r w:rsidRPr="00C04479">
        <w:rPr>
          <w:rFonts w:ascii="Arial" w:hAnsi="Arial" w:cs="Arial"/>
          <w:color w:val="000000" w:themeColor="text1"/>
        </w:rPr>
        <w:t xml:space="preserve">nline] Available at: </w:t>
      </w:r>
      <w:hyperlink r:id="rId83" w:history="1">
        <w:r w:rsidRPr="00C04479">
          <w:rPr>
            <w:rStyle w:val="Hyperlink"/>
            <w:rFonts w:ascii="Arial" w:hAnsi="Arial" w:cs="Arial"/>
            <w:color w:val="000000" w:themeColor="text1"/>
          </w:rPr>
          <w:t>https://www.mckinsey.com/business-functions/marketing-and-sales/our-insights/understanding-and-shaping-consumer-behavior-in-the-next-normal</w:t>
        </w:r>
      </w:hyperlink>
      <w:r>
        <w:rPr>
          <w:rStyle w:val="Hyperlink"/>
          <w:rFonts w:ascii="Arial" w:hAnsi="Arial" w:cs="Arial"/>
          <w:color w:val="000000" w:themeColor="text1"/>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lastRenderedPageBreak/>
        <w:t>Mind tools (2020) “PEST analysis.” [online] Available at: &lt;</w:t>
      </w:r>
      <w:r w:rsidRPr="00C04479">
        <w:rPr>
          <w:rFonts w:ascii="Arial" w:hAnsi="Arial" w:cs="Arial"/>
        </w:rPr>
        <w:t xml:space="preserve"> </w:t>
      </w:r>
      <w:hyperlink r:id="rId84" w:history="1">
        <w:r w:rsidRPr="00C04479">
          <w:rPr>
            <w:rStyle w:val="Hyperlink"/>
            <w:rFonts w:ascii="Arial" w:eastAsiaTheme="majorEastAsia" w:hAnsi="Arial" w:cs="Arial"/>
          </w:rPr>
          <w:t>https://www.mindtools.com/pages/article/newTMC_09.htm</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Moulds, J., (2020) “Gig workers among the hardest hit by coronavirus pandemic</w:t>
      </w:r>
      <w:r w:rsidRPr="00C04479">
        <w:rPr>
          <w:rFonts w:ascii="Arial" w:hAnsi="Arial" w:cs="Arial"/>
          <w:b/>
          <w:bCs/>
          <w:color w:val="000000" w:themeColor="text1"/>
        </w:rPr>
        <w:t xml:space="preserve">” </w:t>
      </w:r>
      <w:r w:rsidRPr="00C04479">
        <w:rPr>
          <w:rFonts w:ascii="Arial" w:hAnsi="Arial" w:cs="Arial"/>
          <w:color w:val="000000" w:themeColor="text1"/>
        </w:rPr>
        <w:t xml:space="preserve">[Online] World Economic Forum. Available at: </w:t>
      </w:r>
      <w:hyperlink r:id="rId85" w:history="1">
        <w:r w:rsidRPr="00C04479">
          <w:rPr>
            <w:rStyle w:val="Hyperlink"/>
            <w:rFonts w:ascii="Arial" w:eastAsiaTheme="majorEastAsia" w:hAnsi="Arial" w:cs="Arial"/>
            <w:color w:val="000000" w:themeColor="text1"/>
          </w:rPr>
          <w:t>https://www.weforum.org/agenda/2020/04/gig-workers-hardest-hit-coronavirus-pandemic/</w:t>
        </w:r>
      </w:hyperlink>
      <w:r w:rsidRPr="00C04479">
        <w:rPr>
          <w:rFonts w:ascii="Arial" w:hAnsi="Arial" w:cs="Arial"/>
          <w:color w:val="000000" w:themeColor="text1"/>
        </w:rPr>
        <w:t xml:space="preserve"> (Accessed: 5</w:t>
      </w:r>
      <w:r w:rsidRPr="00C04479">
        <w:rPr>
          <w:rFonts w:ascii="Arial" w:hAnsi="Arial" w:cs="Arial"/>
          <w:color w:val="000000" w:themeColor="text1"/>
          <w:vertAlign w:val="superscript"/>
        </w:rPr>
        <w:t>th</w:t>
      </w:r>
      <w:r>
        <w:rPr>
          <w:rFonts w:ascii="Arial" w:hAnsi="Arial" w:cs="Arial"/>
          <w:color w:val="000000" w:themeColor="text1"/>
        </w:rPr>
        <w:t xml:space="preserve"> </w:t>
      </w:r>
      <w:r w:rsidRPr="00C04479">
        <w:rPr>
          <w:rFonts w:ascii="Arial" w:hAnsi="Arial" w:cs="Arial"/>
          <w:color w:val="000000" w:themeColor="text1"/>
        </w:rPr>
        <w:t>Sept 2020).</w:t>
      </w:r>
    </w:p>
    <w:p w:rsidR="00C04479" w:rsidRP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 xml:space="preserve">Mulder, P., (2018) “Soft system methodology (SSM).” </w:t>
      </w:r>
      <w:proofErr w:type="spellStart"/>
      <w:r w:rsidRPr="00C04479">
        <w:rPr>
          <w:rFonts w:ascii="Arial" w:hAnsi="Arial" w:cs="Arial"/>
          <w:color w:val="000000" w:themeColor="text1"/>
        </w:rPr>
        <w:t>Toolshero</w:t>
      </w:r>
      <w:proofErr w:type="spellEnd"/>
      <w:r w:rsidRPr="00C04479">
        <w:rPr>
          <w:rFonts w:ascii="Arial" w:hAnsi="Arial" w:cs="Arial"/>
          <w:color w:val="000000" w:themeColor="text1"/>
        </w:rPr>
        <w:t xml:space="preserve">.” [online] Available at: </w:t>
      </w:r>
      <w:hyperlink r:id="rId86" w:history="1">
        <w:r w:rsidRPr="00C04479">
          <w:rPr>
            <w:rStyle w:val="Hyperlink"/>
            <w:rFonts w:ascii="Arial" w:eastAsiaTheme="majorEastAsia" w:hAnsi="Arial" w:cs="Arial"/>
            <w:color w:val="000000" w:themeColor="text1"/>
          </w:rPr>
          <w:t>https://www.toolshero.com/problem-solving/soft-systems-methodology-ssm/</w:t>
        </w:r>
      </w:hyperlink>
      <w:r w:rsidRPr="00C04479">
        <w:rPr>
          <w:rStyle w:val="Hyperlink"/>
          <w:rFonts w:ascii="Arial" w:eastAsiaTheme="majorEastAsia" w:hAnsi="Arial" w:cs="Arial"/>
          <w:color w:val="000000" w:themeColor="text1"/>
        </w:rPr>
        <w:t xml:space="preserve"> &gt;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rPr>
        <w:t xml:space="preserve">Murray, S. (2018) “Why giving back is the best way forward for business.” The Guardian [online] Available at: &lt; </w:t>
      </w:r>
      <w:hyperlink r:id="rId87" w:history="1">
        <w:r w:rsidRPr="00C04479">
          <w:rPr>
            <w:rStyle w:val="Hyperlink"/>
            <w:rFonts w:ascii="Arial" w:hAnsi="Arial" w:cs="Arial"/>
            <w:color w:val="000000" w:themeColor="text1"/>
          </w:rPr>
          <w:t>https://www.theguardian.com/careers/2018/feb/02/why-giving-back-is-the-best-way-forward-for-businesses#</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r w:rsidRPr="00C04479">
        <w:rPr>
          <w:rFonts w:ascii="Arial" w:hAnsi="Arial" w:cs="Arial"/>
        </w:rPr>
        <w:t xml:space="preserve">Organisation for Economic Co-operation and Development (OECD) (2020) “Why open market matters.” [Online] Available at: &lt; </w:t>
      </w:r>
      <w:hyperlink r:id="rId88" w:history="1">
        <w:r w:rsidRPr="00C04479">
          <w:rPr>
            <w:rStyle w:val="Hyperlink"/>
            <w:rFonts w:ascii="Arial" w:hAnsi="Arial" w:cs="Arial"/>
          </w:rPr>
          <w:t>https://www.oecd.org/trade/understanding-the-global-trading-system/why-open-markets-matter/</w:t>
        </w:r>
      </w:hyperlink>
      <w:r w:rsidRPr="00C04479">
        <w:rPr>
          <w:rFonts w:ascii="Arial" w:hAnsi="Arial" w:cs="Arial"/>
        </w:rPr>
        <w:t>&gt;</w:t>
      </w:r>
      <w:r>
        <w:rPr>
          <w:rFonts w:ascii="Arial" w:hAnsi="Arial" w:cs="Arial"/>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rPr>
        <w:t>Patridge</w:t>
      </w:r>
      <w:proofErr w:type="spellEnd"/>
      <w:r w:rsidRPr="00C04479">
        <w:rPr>
          <w:rFonts w:ascii="Arial" w:hAnsi="Arial" w:cs="Arial"/>
        </w:rPr>
        <w:t>, J.</w:t>
      </w:r>
      <w:r>
        <w:rPr>
          <w:rFonts w:ascii="Arial" w:hAnsi="Arial" w:cs="Arial"/>
        </w:rPr>
        <w:t>,</w:t>
      </w:r>
      <w:r w:rsidRPr="00C04479">
        <w:rPr>
          <w:rFonts w:ascii="Arial" w:hAnsi="Arial" w:cs="Arial"/>
        </w:rPr>
        <w:t xml:space="preserve"> &amp; Butler, S.</w:t>
      </w:r>
      <w:r>
        <w:rPr>
          <w:rFonts w:ascii="Arial" w:hAnsi="Arial" w:cs="Arial"/>
        </w:rPr>
        <w:t xml:space="preserve">, </w:t>
      </w:r>
      <w:r w:rsidRPr="00C04479">
        <w:rPr>
          <w:rFonts w:ascii="Arial" w:hAnsi="Arial" w:cs="Arial"/>
        </w:rPr>
        <w:t xml:space="preserve">(2020) “Mark &amp; Spencer to cut 7,000 jobs over three months.” The Guardian [Online] Available at: </w:t>
      </w:r>
      <w:r>
        <w:rPr>
          <w:rFonts w:ascii="Arial" w:hAnsi="Arial" w:cs="Arial"/>
        </w:rPr>
        <w:lastRenderedPageBreak/>
        <w:t>&lt;</w:t>
      </w:r>
      <w:hyperlink r:id="rId89" w:history="1">
        <w:r w:rsidRPr="004A5D57">
          <w:rPr>
            <w:rStyle w:val="Hyperlink"/>
            <w:rFonts w:ascii="Arial" w:hAnsi="Arial" w:cs="Arial"/>
          </w:rPr>
          <w:t>https://www.theguardian.com/business/2020/aug/18/coronavirus-marks-spencer-to-cut-7000-jobs-over-three-months</w:t>
        </w:r>
      </w:hyperlink>
      <w:r>
        <w:rPr>
          <w:rFonts w:ascii="Arial" w:hAnsi="Arial" w:cs="Arial"/>
        </w:rPr>
        <w:t xml:space="preserve"> &gt;</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shd w:val="clear" w:color="auto" w:fill="FFFFFF"/>
        </w:rPr>
      </w:pPr>
    </w:p>
    <w:p w:rsidR="00C04479" w:rsidRDefault="00C04479" w:rsidP="00C04479">
      <w:pPr>
        <w:spacing w:line="480" w:lineRule="auto"/>
        <w:textAlignment w:val="baseline"/>
        <w:rPr>
          <w:rFonts w:ascii="Arial" w:hAnsi="Arial" w:cs="Arial"/>
          <w:color w:val="000000" w:themeColor="text1"/>
        </w:rPr>
      </w:pPr>
      <w:r w:rsidRPr="00C04479">
        <w:rPr>
          <w:rFonts w:ascii="Arial" w:hAnsi="Arial" w:cs="Arial"/>
          <w:color w:val="000000" w:themeColor="text1"/>
        </w:rPr>
        <w:t>Parameswaran, H., (2019) Talent Management in Work-Life - A Lightning Bolt to your Professional Development. PEOPLE: International Journal of Social Sciences [PDF]. 4(3), 1810-1829.</w:t>
      </w:r>
    </w:p>
    <w:p w:rsidR="00C04479" w:rsidRPr="00C04479" w:rsidRDefault="00C04479" w:rsidP="00C04479">
      <w:pPr>
        <w:spacing w:line="480" w:lineRule="auto"/>
        <w:textAlignment w:val="baseline"/>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 xml:space="preserve">Parry, E., </w:t>
      </w:r>
      <w:proofErr w:type="spellStart"/>
      <w:r w:rsidRPr="00C04479">
        <w:rPr>
          <w:rFonts w:ascii="Arial" w:hAnsi="Arial" w:cs="Arial"/>
          <w:color w:val="000000" w:themeColor="text1"/>
          <w:shd w:val="clear" w:color="auto" w:fill="FFFFFF"/>
        </w:rPr>
        <w:t>Dickmann</w:t>
      </w:r>
      <w:proofErr w:type="spellEnd"/>
      <w:r w:rsidRPr="00C04479">
        <w:rPr>
          <w:rFonts w:ascii="Arial" w:hAnsi="Arial" w:cs="Arial"/>
          <w:color w:val="000000" w:themeColor="text1"/>
          <w:shd w:val="clear" w:color="auto" w:fill="FFFFFF"/>
        </w:rPr>
        <w:t>, M., &amp; Morley, M. (2008) "North American MNCs and Their HR Policies in Liberal and Coordinated Market Economies." </w:t>
      </w:r>
      <w:r w:rsidRPr="00C04479">
        <w:rPr>
          <w:rFonts w:ascii="Arial" w:hAnsi="Arial" w:cs="Arial"/>
          <w:color w:val="000000" w:themeColor="text1"/>
        </w:rPr>
        <w:t>International Journal of Human Resource Management</w:t>
      </w:r>
      <w:r w:rsidRPr="00C04479">
        <w:rPr>
          <w:rFonts w:ascii="Arial" w:hAnsi="Arial" w:cs="Arial"/>
          <w:color w:val="000000" w:themeColor="text1"/>
          <w:shd w:val="clear" w:color="auto" w:fill="FFFFFF"/>
        </w:rPr>
        <w:t> 19, no. 11: 2024-040.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color w:val="000000" w:themeColor="text1"/>
        </w:rPr>
        <w:t>Petriglieri</w:t>
      </w:r>
      <w:proofErr w:type="spellEnd"/>
      <w:r w:rsidRPr="00C04479">
        <w:rPr>
          <w:rFonts w:ascii="Arial" w:hAnsi="Arial" w:cs="Arial"/>
          <w:color w:val="000000" w:themeColor="text1"/>
        </w:rPr>
        <w:t>, G., et al (2018) Agony and Ecstasy in the Gig Economy: Cultivating Holding Environments for Precarious and Personalized Work Identities. Administrative science quarterly [PDF].64(1), pp.124–170.</w:t>
      </w:r>
    </w:p>
    <w:p w:rsidR="00C04479" w:rsidRP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color w:val="000000" w:themeColor="text1"/>
          <w:shd w:val="clear" w:color="auto" w:fill="FFFFFF"/>
        </w:rPr>
      </w:pPr>
      <w:proofErr w:type="spellStart"/>
      <w:r w:rsidRPr="00C04479">
        <w:rPr>
          <w:rFonts w:ascii="Arial" w:hAnsi="Arial" w:cs="Arial"/>
          <w:color w:val="000000" w:themeColor="text1"/>
          <w:shd w:val="clear" w:color="auto" w:fill="FFFFFF"/>
        </w:rPr>
        <w:t>Pollert</w:t>
      </w:r>
      <w:proofErr w:type="spellEnd"/>
      <w:r w:rsidRPr="00C04479">
        <w:rPr>
          <w:rFonts w:ascii="Arial" w:hAnsi="Arial" w:cs="Arial"/>
          <w:color w:val="000000" w:themeColor="text1"/>
          <w:shd w:val="clear" w:color="auto" w:fill="FFFFFF"/>
        </w:rPr>
        <w:t>, A., (2016) "The `Flexible Firm': Fixation or Fact?"</w:t>
      </w:r>
      <w:r w:rsidRPr="00C04479">
        <w:rPr>
          <w:rStyle w:val="apple-converted-space"/>
          <w:rFonts w:ascii="Arial" w:hAnsi="Arial" w:cs="Arial"/>
          <w:color w:val="000000" w:themeColor="text1"/>
          <w:shd w:val="clear" w:color="auto" w:fill="FFFFFF"/>
        </w:rPr>
        <w:t> </w:t>
      </w:r>
      <w:r w:rsidRPr="00C04479">
        <w:rPr>
          <w:rFonts w:ascii="Arial" w:hAnsi="Arial" w:cs="Arial"/>
          <w:color w:val="000000" w:themeColor="text1"/>
        </w:rPr>
        <w:t>Work, Employment and Society</w:t>
      </w:r>
      <w:r w:rsidRPr="00C04479">
        <w:rPr>
          <w:rStyle w:val="apple-converted-space"/>
          <w:rFonts w:ascii="Arial" w:hAnsi="Arial" w:cs="Arial"/>
          <w:color w:val="000000" w:themeColor="text1"/>
          <w:shd w:val="clear" w:color="auto" w:fill="FFFFFF"/>
        </w:rPr>
        <w:t> </w:t>
      </w:r>
      <w:r w:rsidRPr="00C04479">
        <w:rPr>
          <w:rFonts w:ascii="Arial" w:hAnsi="Arial" w:cs="Arial"/>
          <w:color w:val="000000" w:themeColor="text1"/>
          <w:shd w:val="clear" w:color="auto" w:fill="FFFFFF"/>
        </w:rPr>
        <w:t>2, no. 3: 281-316.</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rPr>
        <w:t>Pricewaterhouse</w:t>
      </w:r>
      <w:proofErr w:type="spellEnd"/>
      <w:r w:rsidRPr="00C04479">
        <w:rPr>
          <w:rFonts w:ascii="Arial" w:hAnsi="Arial" w:cs="Arial"/>
        </w:rPr>
        <w:t xml:space="preserve"> Cooper</w:t>
      </w:r>
      <w:r>
        <w:rPr>
          <w:rFonts w:ascii="Arial" w:hAnsi="Arial" w:cs="Arial"/>
        </w:rPr>
        <w:t xml:space="preserve"> (</w:t>
      </w:r>
      <w:proofErr w:type="spellStart"/>
      <w:r>
        <w:rPr>
          <w:rFonts w:ascii="Arial" w:hAnsi="Arial" w:cs="Arial"/>
        </w:rPr>
        <w:t>Pwc</w:t>
      </w:r>
      <w:proofErr w:type="spellEnd"/>
      <w:r>
        <w:rPr>
          <w:rFonts w:ascii="Arial" w:hAnsi="Arial" w:cs="Arial"/>
        </w:rPr>
        <w:t>)</w:t>
      </w:r>
      <w:r w:rsidRPr="00C04479">
        <w:rPr>
          <w:rFonts w:ascii="Arial" w:hAnsi="Arial" w:cs="Arial"/>
        </w:rPr>
        <w:t xml:space="preserve"> (2018) “Workforce of the future: The competing forces shaping 2030.” [pdf] Available at: &lt; </w:t>
      </w:r>
      <w:hyperlink r:id="rId90" w:history="1">
        <w:r w:rsidRPr="00C04479">
          <w:rPr>
            <w:rStyle w:val="Hyperlink"/>
            <w:rFonts w:ascii="Arial" w:hAnsi="Arial" w:cs="Arial"/>
          </w:rPr>
          <w:t>https://www.pwc.com/gx/en/services/people-organisation/workforce-of-the-future/workforce-of-the-future-the-competing-forces-shaping-2030-pwc.pdf</w:t>
        </w:r>
      </w:hyperlink>
      <w:r w:rsidRPr="00C04479">
        <w:rPr>
          <w:rFonts w:ascii="Arial" w:hAnsi="Arial" w:cs="Arial"/>
        </w:rPr>
        <w:t>&gt;</w:t>
      </w:r>
      <w:r>
        <w:rPr>
          <w:rFonts w:ascii="Arial" w:hAnsi="Arial" w:cs="Arial"/>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Default="00C04479" w:rsidP="00C04479">
      <w:pPr>
        <w:spacing w:line="480" w:lineRule="auto"/>
        <w:rPr>
          <w:rFonts w:ascii="Arial" w:hAnsi="Arial" w:cs="Arial"/>
        </w:rPr>
      </w:pPr>
    </w:p>
    <w:p w:rsid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color w:val="000000" w:themeColor="text1"/>
        </w:rPr>
      </w:pPr>
      <w:proofErr w:type="spellStart"/>
      <w:r w:rsidRPr="00C04479">
        <w:rPr>
          <w:rFonts w:ascii="Arial" w:hAnsi="Arial" w:cs="Arial"/>
        </w:rPr>
        <w:lastRenderedPageBreak/>
        <w:t>Pricewaterhouse</w:t>
      </w:r>
      <w:proofErr w:type="spellEnd"/>
      <w:r w:rsidRPr="00C04479">
        <w:rPr>
          <w:rFonts w:ascii="Arial" w:hAnsi="Arial" w:cs="Arial"/>
        </w:rPr>
        <w:t xml:space="preserve"> Cooper</w:t>
      </w:r>
      <w:r w:rsidRPr="00C04479">
        <w:rPr>
          <w:rFonts w:ascii="Arial" w:hAnsi="Arial" w:cs="Arial"/>
          <w:color w:val="000000" w:themeColor="text1"/>
        </w:rPr>
        <w:t xml:space="preserve"> </w:t>
      </w:r>
      <w:r>
        <w:rPr>
          <w:rFonts w:ascii="Arial" w:hAnsi="Arial" w:cs="Arial"/>
          <w:color w:val="000000" w:themeColor="text1"/>
        </w:rPr>
        <w:t>(</w:t>
      </w:r>
      <w:proofErr w:type="spellStart"/>
      <w:r>
        <w:rPr>
          <w:rFonts w:ascii="Arial" w:hAnsi="Arial" w:cs="Arial"/>
          <w:color w:val="000000" w:themeColor="text1"/>
        </w:rPr>
        <w:t>Pwc</w:t>
      </w:r>
      <w:proofErr w:type="spellEnd"/>
      <w:r>
        <w:rPr>
          <w:rFonts w:ascii="Arial" w:hAnsi="Arial" w:cs="Arial"/>
          <w:color w:val="000000" w:themeColor="text1"/>
        </w:rPr>
        <w:t xml:space="preserve">) </w:t>
      </w:r>
      <w:r w:rsidRPr="00C04479">
        <w:rPr>
          <w:rFonts w:ascii="Arial" w:hAnsi="Arial" w:cs="Arial"/>
          <w:color w:val="000000" w:themeColor="text1"/>
        </w:rPr>
        <w:t>(2020) “</w:t>
      </w:r>
      <w:proofErr w:type="spellStart"/>
      <w:r w:rsidRPr="00C04479">
        <w:rPr>
          <w:rFonts w:ascii="Arial" w:hAnsi="Arial" w:cs="Arial"/>
          <w:color w:val="000000" w:themeColor="text1"/>
        </w:rPr>
        <w:t>Pwc’s</w:t>
      </w:r>
      <w:proofErr w:type="spellEnd"/>
      <w:r w:rsidRPr="00C04479">
        <w:rPr>
          <w:rFonts w:ascii="Arial" w:hAnsi="Arial" w:cs="Arial"/>
          <w:color w:val="000000" w:themeColor="text1"/>
        </w:rPr>
        <w:t xml:space="preserve"> 2020 HR technology survey: Key findings.” [Online] Available at: &lt; </w:t>
      </w:r>
      <w:hyperlink r:id="rId91" w:history="1">
        <w:r w:rsidRPr="00C04479">
          <w:rPr>
            <w:rStyle w:val="Hyperlink"/>
            <w:rFonts w:ascii="Arial" w:eastAsiaTheme="majorEastAsia" w:hAnsi="Arial" w:cs="Arial"/>
            <w:color w:val="000000" w:themeColor="text1"/>
          </w:rPr>
          <w:t>https://www.pwc.com/us/en/library/workforce-of-the-future/hr-tech-survey.html</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F2066D" w:rsidRPr="00C04479" w:rsidRDefault="00F2066D" w:rsidP="00C04479">
      <w:pPr>
        <w:spacing w:line="480" w:lineRule="auto"/>
        <w:rPr>
          <w:rFonts w:ascii="Arial" w:hAnsi="Arial" w:cs="Arial"/>
          <w:color w:val="000000" w:themeColor="text1"/>
        </w:rPr>
      </w:pPr>
    </w:p>
    <w:p w:rsidR="00F2066D"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Purcell, J., </w:t>
      </w:r>
      <w:proofErr w:type="spellStart"/>
      <w:r w:rsidRPr="00C04479">
        <w:rPr>
          <w:rFonts w:ascii="Arial" w:hAnsi="Arial" w:cs="Arial"/>
          <w:color w:val="000000" w:themeColor="text1"/>
        </w:rPr>
        <w:t>Kinnie</w:t>
      </w:r>
      <w:proofErr w:type="spellEnd"/>
      <w:r w:rsidRPr="00C04479">
        <w:rPr>
          <w:rFonts w:ascii="Arial" w:hAnsi="Arial" w:cs="Arial"/>
          <w:color w:val="000000" w:themeColor="text1"/>
        </w:rPr>
        <w:t xml:space="preserve">, N., Hutchinson, S., </w:t>
      </w:r>
      <w:proofErr w:type="spellStart"/>
      <w:r w:rsidRPr="00C04479">
        <w:rPr>
          <w:rFonts w:ascii="Arial" w:hAnsi="Arial" w:cs="Arial"/>
          <w:color w:val="000000" w:themeColor="text1"/>
        </w:rPr>
        <w:t>Rayton</w:t>
      </w:r>
      <w:proofErr w:type="spellEnd"/>
      <w:r w:rsidRPr="00C04479">
        <w:rPr>
          <w:rFonts w:ascii="Arial" w:hAnsi="Arial" w:cs="Arial"/>
          <w:color w:val="000000" w:themeColor="text1"/>
        </w:rPr>
        <w:t>, B., Swart, J. (2003) “Understanding the people and performance link: Unblocking the black box.” CIPD Publications, p1-86.</w:t>
      </w:r>
    </w:p>
    <w:p w:rsid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shd w:val="clear" w:color="auto" w:fill="FFFFFF"/>
        </w:rPr>
        <w:t>Reuters (2020) “Fact box: Apple, Google, Amazon take aim at Trump visa ban.” [online] Available at: &lt;https://www.reuters.com/article/us-usa-immigration-workers-factbox-idUSKBN23U1VO&gt; (Accessed: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Ryan, R., &amp; Deci, E. (2000) “Self-Determination Theory and the Facilitation of Intrinsic Motivation, Social Development, and Well-Being.” American Psychologist Copyright 2000 by the American Psychological Association [PDF]. Vol. 55, No. 1, 68-78.</w:t>
      </w:r>
    </w:p>
    <w:p w:rsidR="00C04479" w:rsidRDefault="00C04479" w:rsidP="00C04479">
      <w:pPr>
        <w:spacing w:line="480" w:lineRule="auto"/>
        <w:rPr>
          <w:rFonts w:ascii="Arial" w:hAnsi="Arial" w:cs="Arial"/>
          <w:color w:val="000000" w:themeColor="text1"/>
        </w:rPr>
      </w:pPr>
    </w:p>
    <w:p w:rsidR="00C04479" w:rsidRDefault="00C04479" w:rsidP="00C04479">
      <w:pPr>
        <w:spacing w:line="480" w:lineRule="auto"/>
        <w:rPr>
          <w:rFonts w:ascii="Arial" w:hAnsi="Arial" w:cs="Arial"/>
          <w:color w:val="000000" w:themeColor="text1"/>
        </w:rPr>
      </w:pPr>
      <w:proofErr w:type="spellStart"/>
      <w:r w:rsidRPr="00C04479">
        <w:rPr>
          <w:rFonts w:ascii="Arial" w:hAnsi="Arial" w:cs="Arial"/>
        </w:rPr>
        <w:t>Samy</w:t>
      </w:r>
      <w:proofErr w:type="spellEnd"/>
      <w:r w:rsidRPr="00C04479">
        <w:rPr>
          <w:rFonts w:ascii="Arial" w:hAnsi="Arial" w:cs="Arial"/>
        </w:rPr>
        <w:t xml:space="preserve">, S. (2015) “Welcome to the era of open economy.” World Economic Forum (WEF) [Online] Available at: &lt; </w:t>
      </w:r>
      <w:hyperlink r:id="rId92" w:history="1">
        <w:r w:rsidRPr="00C04479">
          <w:rPr>
            <w:rStyle w:val="Hyperlink"/>
            <w:rFonts w:ascii="Arial" w:hAnsi="Arial" w:cs="Arial"/>
          </w:rPr>
          <w:t>https://www.weforum.org/agenda/2015/09/welcome-to-the-era-of-the-open-economy/</w:t>
        </w:r>
      </w:hyperlink>
      <w:r w:rsidRPr="00C04479">
        <w:rPr>
          <w:rFonts w:ascii="Arial" w:hAnsi="Arial" w:cs="Arial"/>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Schwab, K. (2016) “The fourth industrial revolution: what it means, how to respond.” World Economic Forum [online] Available at: &lt;</w:t>
      </w:r>
      <w:r w:rsidRPr="00C04479">
        <w:rPr>
          <w:rFonts w:ascii="Arial" w:hAnsi="Arial" w:cs="Arial"/>
        </w:rPr>
        <w:t xml:space="preserve"> </w:t>
      </w:r>
      <w:hyperlink r:id="rId93" w:history="1">
        <w:r w:rsidRPr="00C04479">
          <w:rPr>
            <w:rStyle w:val="Hyperlink"/>
            <w:rFonts w:ascii="Arial" w:hAnsi="Arial" w:cs="Arial"/>
          </w:rPr>
          <w:t>https://www.weforum.org/agenda/2016/01/the-fourth-industrial-revolution-what-it-means-and-how-to-respond/</w:t>
        </w:r>
      </w:hyperlink>
      <w:r w:rsidRPr="00C04479">
        <w:rPr>
          <w:rFonts w:ascii="Arial" w:hAnsi="Arial" w:cs="Arial"/>
          <w:color w:val="000000" w:themeColor="text1"/>
        </w:rPr>
        <w:t xml:space="preserve">&gt;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p>
    <w:p w:rsid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Snowden, D., J., &amp; Boone, M., E., (2007) “A leader’s framework for decision making.” Harvard Business Review, p1-10.</w:t>
      </w:r>
    </w:p>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 </w:t>
      </w: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Stabile, M., et al., (2020) “COVID-19, inequality, and gig economy workers</w:t>
      </w:r>
      <w:r w:rsidRPr="00C04479">
        <w:rPr>
          <w:rFonts w:ascii="Arial" w:hAnsi="Arial" w:cs="Arial"/>
          <w:b/>
          <w:bCs/>
          <w:color w:val="000000" w:themeColor="text1"/>
        </w:rPr>
        <w:t xml:space="preserve">.” </w:t>
      </w:r>
      <w:r w:rsidRPr="00C04479">
        <w:rPr>
          <w:rFonts w:ascii="Arial" w:hAnsi="Arial" w:cs="Arial"/>
          <w:color w:val="000000" w:themeColor="text1"/>
        </w:rPr>
        <w:t xml:space="preserve">Vox EU [online column] Available at: </w:t>
      </w:r>
      <w:r>
        <w:rPr>
          <w:rFonts w:ascii="Arial" w:hAnsi="Arial" w:cs="Arial"/>
          <w:color w:val="000000" w:themeColor="text1"/>
        </w:rPr>
        <w:t>&lt;</w:t>
      </w:r>
      <w:hyperlink r:id="rId94" w:history="1">
        <w:r w:rsidRPr="004A5D57">
          <w:rPr>
            <w:rStyle w:val="Hyperlink"/>
            <w:rFonts w:ascii="Arial" w:eastAsiaTheme="majorEastAsia" w:hAnsi="Arial" w:cs="Arial"/>
          </w:rPr>
          <w:t>https://voxeu.org/article/covid-19-inequality-and-gig-economy-workers</w:t>
        </w:r>
      </w:hyperlink>
      <w:r>
        <w:rPr>
          <w:rStyle w:val="Hyperlink"/>
          <w:rFonts w:ascii="Arial" w:eastAsiaTheme="majorEastAsia" w:hAnsi="Arial" w:cs="Arial"/>
          <w:color w:val="000000" w:themeColor="text1"/>
        </w:rPr>
        <w:t xml:space="preserve"> &gt;(</w:t>
      </w:r>
      <w:r w:rsidRPr="00C04479">
        <w:rPr>
          <w:rFonts w:ascii="Arial" w:hAnsi="Arial" w:cs="Arial"/>
          <w:color w:val="000000" w:themeColor="text1"/>
        </w:rPr>
        <w:t>Accessed: 05th Sept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shd w:val="clear" w:color="auto" w:fill="FFFFFF"/>
        </w:rPr>
      </w:pPr>
      <w:r w:rsidRPr="00C04479">
        <w:rPr>
          <w:rFonts w:ascii="Arial" w:hAnsi="Arial" w:cs="Arial"/>
          <w:color w:val="000000" w:themeColor="text1"/>
        </w:rPr>
        <w:t xml:space="preserve">Statista (2020) “Values of the top 20 technology brands worldwide in 2020.” [online] Available at: &lt;https://www.statista.com/statistics/267966/brand-values-of-the-most-valuable-technology-brands-in-the-world/&gt; </w:t>
      </w:r>
      <w:r w:rsidRPr="00C04479">
        <w:rPr>
          <w:rFonts w:ascii="Arial" w:hAnsi="Arial" w:cs="Arial"/>
          <w:color w:val="000000" w:themeColor="text1"/>
          <w:shd w:val="clear" w:color="auto" w:fill="FFFFFF"/>
        </w:rPr>
        <w:t>(Accessed: 18 Oct 2020)</w:t>
      </w:r>
    </w:p>
    <w:p w:rsidR="00C04479" w:rsidRPr="00C04479" w:rsidRDefault="00C04479" w:rsidP="00C04479">
      <w:pPr>
        <w:spacing w:line="480" w:lineRule="auto"/>
        <w:rPr>
          <w:rFonts w:ascii="Arial" w:hAnsi="Arial" w:cs="Arial"/>
          <w:color w:val="000000" w:themeColor="text1"/>
        </w:rPr>
      </w:pPr>
    </w:p>
    <w:p w:rsidR="00C04479" w:rsidRPr="00C04479" w:rsidRDefault="00C04479" w:rsidP="00C04479">
      <w:pPr>
        <w:spacing w:line="480" w:lineRule="auto"/>
        <w:rPr>
          <w:rFonts w:ascii="Arial" w:hAnsi="Arial" w:cs="Arial"/>
          <w:color w:val="000000" w:themeColor="text1"/>
        </w:rPr>
      </w:pPr>
      <w:r w:rsidRPr="00C04479">
        <w:rPr>
          <w:rFonts w:ascii="Arial" w:hAnsi="Arial" w:cs="Arial"/>
          <w:color w:val="000000" w:themeColor="text1"/>
        </w:rPr>
        <w:t>Steinberger, B.Z., (2018) Redefining 'Employee' In The Gig Economy: Shielding Workers From The Uber Model. Fordham journal of corporate &amp; financial law [PDF]. 23(2), pp.577–596.</w:t>
      </w:r>
    </w:p>
    <w:p w:rsidR="00C04479" w:rsidRPr="00C04479" w:rsidRDefault="00C04479" w:rsidP="00C04479">
      <w:pPr>
        <w:spacing w:line="480" w:lineRule="auto"/>
        <w:rPr>
          <w:rFonts w:ascii="Arial" w:hAnsi="Arial" w:cs="Arial"/>
        </w:rPr>
      </w:pPr>
    </w:p>
    <w:p w:rsidR="00C04479" w:rsidRPr="00C04479" w:rsidRDefault="00C04479" w:rsidP="00C04479">
      <w:pPr>
        <w:spacing w:line="480" w:lineRule="auto"/>
        <w:rPr>
          <w:rFonts w:ascii="Arial" w:hAnsi="Arial" w:cs="Arial"/>
        </w:rPr>
      </w:pPr>
      <w:r w:rsidRPr="00C04479">
        <w:rPr>
          <w:rFonts w:ascii="Arial" w:hAnsi="Arial" w:cs="Arial"/>
        </w:rPr>
        <w:t xml:space="preserve">Spears, M. (2019) “Future of HR 2020: Which path are you taking?” </w:t>
      </w:r>
      <w:proofErr w:type="spellStart"/>
      <w:r w:rsidRPr="00C04479">
        <w:rPr>
          <w:rFonts w:ascii="Arial" w:hAnsi="Arial" w:cs="Arial"/>
        </w:rPr>
        <w:t>Klynveld</w:t>
      </w:r>
      <w:proofErr w:type="spellEnd"/>
      <w:r w:rsidRPr="00C04479">
        <w:rPr>
          <w:rFonts w:ascii="Arial" w:hAnsi="Arial" w:cs="Arial"/>
        </w:rPr>
        <w:t xml:space="preserve"> Peat Marwick </w:t>
      </w:r>
      <w:proofErr w:type="spellStart"/>
      <w:r w:rsidRPr="00C04479">
        <w:rPr>
          <w:rFonts w:ascii="Arial" w:hAnsi="Arial" w:cs="Arial"/>
        </w:rPr>
        <w:t>Goerdeler</w:t>
      </w:r>
      <w:proofErr w:type="spellEnd"/>
      <w:r w:rsidRPr="00C04479">
        <w:rPr>
          <w:rFonts w:ascii="Arial" w:hAnsi="Arial" w:cs="Arial"/>
        </w:rPr>
        <w:t xml:space="preserve"> [pdf] Available at: &lt; </w:t>
      </w:r>
      <w:hyperlink r:id="rId95" w:history="1">
        <w:r w:rsidRPr="00C04479">
          <w:rPr>
            <w:rStyle w:val="Hyperlink"/>
            <w:rFonts w:ascii="Arial" w:hAnsi="Arial" w:cs="Arial"/>
          </w:rPr>
          <w:t>https://assets.kpmg/content/dam/kpmg/xx/pdf/2019/11/future-of-hr-2020.pdf</w:t>
        </w:r>
      </w:hyperlink>
      <w:r w:rsidRPr="00C04479">
        <w:rPr>
          <w:rFonts w:ascii="Arial" w:hAnsi="Arial" w:cs="Arial"/>
        </w:rPr>
        <w:t>&gt;</w:t>
      </w:r>
      <w:r>
        <w:rPr>
          <w:rFonts w:ascii="Arial" w:hAnsi="Arial" w:cs="Arial"/>
        </w:rPr>
        <w:t xml:space="preserve"> </w:t>
      </w:r>
      <w:r w:rsidRPr="00C04479">
        <w:rPr>
          <w:rFonts w:ascii="Arial" w:hAnsi="Arial" w:cs="Arial"/>
          <w:color w:val="000000" w:themeColor="text1"/>
          <w:shd w:val="clear" w:color="auto" w:fill="FFFFFF"/>
        </w:rPr>
        <w:t>(Accessed: 18 Oct 2020)</w:t>
      </w:r>
      <w:r>
        <w:rPr>
          <w:rFonts w:ascii="Arial" w:hAnsi="Arial" w:cs="Arial"/>
          <w:color w:val="000000" w:themeColor="text1"/>
          <w:shd w:val="clear" w:color="auto" w:fill="FFFFFF"/>
        </w:rPr>
        <w:t>.</w:t>
      </w:r>
    </w:p>
    <w:p w:rsidR="00F2066D" w:rsidRPr="00C04479" w:rsidRDefault="00F2066D" w:rsidP="00C04479">
      <w:pPr>
        <w:spacing w:line="480" w:lineRule="auto"/>
        <w:rPr>
          <w:rFonts w:ascii="Arial" w:hAnsi="Arial" w:cs="Arial"/>
          <w:color w:val="000000" w:themeColor="text1"/>
        </w:rPr>
      </w:pPr>
    </w:p>
    <w:p w:rsidR="00F2066D" w:rsidRDefault="00F2066D" w:rsidP="00C04479">
      <w:pPr>
        <w:spacing w:line="480" w:lineRule="auto"/>
        <w:rPr>
          <w:rFonts w:ascii="Arial" w:hAnsi="Arial" w:cs="Arial"/>
          <w:color w:val="000000" w:themeColor="text1"/>
          <w:shd w:val="clear" w:color="auto" w:fill="FFFFFF"/>
        </w:rPr>
      </w:pPr>
      <w:bookmarkStart w:id="14" w:name="_Hlk50496150"/>
      <w:r w:rsidRPr="00C04479">
        <w:rPr>
          <w:rFonts w:ascii="Arial" w:hAnsi="Arial" w:cs="Arial"/>
          <w:color w:val="000000" w:themeColor="text1"/>
        </w:rPr>
        <w:t xml:space="preserve">The Food and Drink Sector Council </w:t>
      </w:r>
      <w:r w:rsidR="00C04479">
        <w:rPr>
          <w:rFonts w:ascii="Arial" w:hAnsi="Arial" w:cs="Arial"/>
          <w:color w:val="000000" w:themeColor="text1"/>
        </w:rPr>
        <w:t xml:space="preserve">(TFDSC) </w:t>
      </w:r>
      <w:r w:rsidRPr="00C04479">
        <w:rPr>
          <w:rFonts w:ascii="Arial" w:hAnsi="Arial" w:cs="Arial"/>
          <w:color w:val="000000" w:themeColor="text1"/>
        </w:rPr>
        <w:t xml:space="preserve">(2019) “Preparing for the changing workforce: a food and drink supply chain workforce to skills.” [pdf] Available at: </w:t>
      </w:r>
      <w:hyperlink r:id="rId96" w:history="1">
        <w:r w:rsidRPr="00C04479">
          <w:rPr>
            <w:rStyle w:val="Hyperlink"/>
            <w:rFonts w:ascii="Arial" w:hAnsi="Arial" w:cs="Arial"/>
            <w:color w:val="000000" w:themeColor="text1"/>
          </w:rPr>
          <w:t>https://www.fdf.org.uk/publicgeneral/fdsc-workforce-skills-report.pdf</w:t>
        </w:r>
      </w:hyperlink>
      <w:r w:rsidRPr="00C04479">
        <w:rPr>
          <w:rFonts w:ascii="Arial" w:hAnsi="Arial" w:cs="Arial"/>
          <w:color w:val="000000" w:themeColor="text1"/>
        </w:rPr>
        <w:t xml:space="preserve"> &gt; </w:t>
      </w:r>
      <w:r w:rsidR="00C04479" w:rsidRPr="00C04479">
        <w:rPr>
          <w:rFonts w:ascii="Arial" w:hAnsi="Arial" w:cs="Arial"/>
          <w:color w:val="000000" w:themeColor="text1"/>
          <w:shd w:val="clear" w:color="auto" w:fill="FFFFFF"/>
        </w:rPr>
        <w:t>(Accessed: 18 Oct 2020)</w:t>
      </w:r>
      <w:r w:rsidR="00C04479">
        <w:rPr>
          <w:rFonts w:ascii="Arial" w:hAnsi="Arial" w:cs="Arial"/>
          <w:color w:val="000000" w:themeColor="text1"/>
          <w:shd w:val="clear" w:color="auto" w:fill="FFFFFF"/>
        </w:rPr>
        <w:t>.</w:t>
      </w:r>
    </w:p>
    <w:p w:rsidR="00E5618A" w:rsidRPr="00C04479" w:rsidRDefault="00E5618A" w:rsidP="00C04479">
      <w:pPr>
        <w:spacing w:line="480" w:lineRule="auto"/>
        <w:rPr>
          <w:rFonts w:ascii="Arial" w:hAnsi="Arial" w:cs="Arial"/>
          <w:color w:val="000000" w:themeColor="text1"/>
        </w:rPr>
      </w:pPr>
    </w:p>
    <w:bookmarkEnd w:id="14"/>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UK Government (2020) “Claim Money Back Through The Eat Out To Help Out Scheme.” [online] UK Government: Guidance. Available at: https://www.gov.uk/guidance/claim-money-back-through-the-eat-out-to-help-out-scheme (Accessed 05th Sept 2020).</w:t>
      </w:r>
    </w:p>
    <w:p w:rsidR="00F2066D" w:rsidRPr="00C04479" w:rsidRDefault="00F2066D" w:rsidP="00C04479">
      <w:pPr>
        <w:spacing w:line="480" w:lineRule="auto"/>
        <w:rPr>
          <w:rFonts w:ascii="Arial" w:hAnsi="Arial" w:cs="Arial"/>
          <w:color w:val="000000" w:themeColor="text1"/>
        </w:rPr>
      </w:pPr>
    </w:p>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UK Government (2020) “VAT: reduced rate for hospitality, holiday accommodation and attractions” [online] UK Government: Guidance. Available at: </w:t>
      </w:r>
      <w:hyperlink r:id="rId97" w:history="1">
        <w:r w:rsidRPr="00C04479">
          <w:rPr>
            <w:rStyle w:val="Hyperlink"/>
            <w:rFonts w:ascii="Arial" w:eastAsiaTheme="majorEastAsia" w:hAnsi="Arial" w:cs="Arial"/>
            <w:color w:val="000000" w:themeColor="text1"/>
          </w:rPr>
          <w:t>https://www.gov.uk/guidance/vat-reduced-rate-for-hospitality-holiday-accommodation-and-attractions</w:t>
        </w:r>
      </w:hyperlink>
      <w:r w:rsidRPr="00C04479">
        <w:rPr>
          <w:rFonts w:ascii="Arial" w:hAnsi="Arial" w:cs="Arial"/>
          <w:color w:val="000000" w:themeColor="text1"/>
        </w:rPr>
        <w:t xml:space="preserve"> (Accessed 05th Sept 2020)</w:t>
      </w:r>
    </w:p>
    <w:p w:rsidR="00F2066D" w:rsidRPr="00C04479" w:rsidRDefault="00F2066D" w:rsidP="00C04479">
      <w:pPr>
        <w:spacing w:line="480" w:lineRule="auto"/>
        <w:rPr>
          <w:rFonts w:ascii="Arial" w:hAnsi="Arial" w:cs="Arial"/>
          <w:color w:val="000000" w:themeColor="text1"/>
        </w:rPr>
      </w:pPr>
    </w:p>
    <w:p w:rsidR="00F2066D"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UK Hospitality (2018) “Future of Payments.” [Online] Available at: </w:t>
      </w:r>
      <w:hyperlink r:id="rId98" w:history="1">
        <w:r w:rsidRPr="00C04479">
          <w:rPr>
            <w:rStyle w:val="Hyperlink"/>
            <w:rFonts w:ascii="Arial" w:eastAsiaTheme="majorEastAsia" w:hAnsi="Arial" w:cs="Arial"/>
            <w:color w:val="000000" w:themeColor="text1"/>
          </w:rPr>
          <w:t>https://www.ukhospitality.org.uk/page/FutureofPayments</w:t>
        </w:r>
      </w:hyperlink>
      <w:r w:rsidRPr="00C04479">
        <w:rPr>
          <w:rFonts w:ascii="Arial" w:hAnsi="Arial" w:cs="Arial"/>
          <w:color w:val="000000" w:themeColor="text1"/>
        </w:rPr>
        <w:t xml:space="preserve"> (Accessed: 5th Sept 2020).</w:t>
      </w:r>
    </w:p>
    <w:p w:rsidR="00F2066D" w:rsidRPr="00C04479" w:rsidRDefault="00F2066D" w:rsidP="00C04479">
      <w:pPr>
        <w:spacing w:line="480" w:lineRule="auto"/>
        <w:rPr>
          <w:rFonts w:ascii="Arial" w:hAnsi="Arial" w:cs="Arial"/>
          <w:color w:val="000000" w:themeColor="text1"/>
        </w:rPr>
      </w:pPr>
    </w:p>
    <w:p w:rsidR="00C04479" w:rsidRPr="00C04479" w:rsidRDefault="00F2066D" w:rsidP="00C04479">
      <w:pPr>
        <w:spacing w:line="480" w:lineRule="auto"/>
        <w:rPr>
          <w:rFonts w:ascii="Arial" w:hAnsi="Arial" w:cs="Arial"/>
          <w:color w:val="000000" w:themeColor="text1"/>
        </w:rPr>
      </w:pPr>
      <w:r w:rsidRPr="00C04479">
        <w:rPr>
          <w:rFonts w:ascii="Arial" w:hAnsi="Arial" w:cs="Arial"/>
          <w:color w:val="000000" w:themeColor="text1"/>
        </w:rPr>
        <w:t xml:space="preserve">Weeks, A., (2020) “Workforce planning.” CIPD [Online] Available at: &lt;https://www.cipd.co.uk/knowledge/strategy/organisational-development/workforce-planning-factsheet &gt; </w:t>
      </w:r>
      <w:r w:rsidR="00C04479" w:rsidRPr="00C04479">
        <w:rPr>
          <w:rFonts w:ascii="Arial" w:hAnsi="Arial" w:cs="Arial"/>
          <w:color w:val="000000" w:themeColor="text1"/>
          <w:shd w:val="clear" w:color="auto" w:fill="FFFFFF"/>
        </w:rPr>
        <w:t>(Accessed: 18 Oct 2020)</w:t>
      </w:r>
      <w:r w:rsidR="00C04479">
        <w:rPr>
          <w:rFonts w:ascii="Arial" w:hAnsi="Arial" w:cs="Arial"/>
          <w:color w:val="000000" w:themeColor="text1"/>
          <w:shd w:val="clear" w:color="auto" w:fill="FFFFFF"/>
        </w:rPr>
        <w:t>.</w:t>
      </w:r>
    </w:p>
    <w:p w:rsidR="00F2066D" w:rsidRPr="00C04479" w:rsidRDefault="00F2066D" w:rsidP="00C04479">
      <w:pPr>
        <w:spacing w:line="480" w:lineRule="auto"/>
        <w:rPr>
          <w:rFonts w:ascii="Arial" w:hAnsi="Arial" w:cs="Arial"/>
          <w:color w:val="000000" w:themeColor="text1"/>
        </w:rPr>
      </w:pPr>
    </w:p>
    <w:p w:rsidR="00603813" w:rsidRPr="00E5618A" w:rsidRDefault="00F2066D" w:rsidP="00C04479">
      <w:pPr>
        <w:spacing w:line="480" w:lineRule="auto"/>
        <w:rPr>
          <w:rFonts w:ascii="Arial" w:hAnsi="Arial" w:cs="Arial"/>
          <w:color w:val="000000" w:themeColor="text1"/>
        </w:rPr>
      </w:pPr>
      <w:proofErr w:type="spellStart"/>
      <w:r w:rsidRPr="00C04479">
        <w:rPr>
          <w:rFonts w:ascii="Arial" w:hAnsi="Arial" w:cs="Arial"/>
          <w:color w:val="000000" w:themeColor="text1"/>
        </w:rPr>
        <w:t>Yerby</w:t>
      </w:r>
      <w:proofErr w:type="spellEnd"/>
      <w:r w:rsidRPr="00C04479">
        <w:rPr>
          <w:rFonts w:ascii="Arial" w:hAnsi="Arial" w:cs="Arial"/>
          <w:color w:val="000000" w:themeColor="text1"/>
        </w:rPr>
        <w:t xml:space="preserve">, E., &amp;  Page-Tickell, R., (2020) “Where next for the gig economy and precarious work post COVID-19?” London School of Economics Blog [Online blog], 01 May. Available at: </w:t>
      </w:r>
      <w:hyperlink r:id="rId99" w:history="1">
        <w:r w:rsidRPr="00C04479">
          <w:rPr>
            <w:rStyle w:val="Hyperlink"/>
            <w:rFonts w:ascii="Arial" w:eastAsiaTheme="majorEastAsia" w:hAnsi="Arial" w:cs="Arial"/>
            <w:color w:val="000000" w:themeColor="text1"/>
          </w:rPr>
          <w:t>https://blogs.lse.ac.uk/management/2020/05/01/where-next-for-the-gig-economy-and-precarious-work-post-covid-19/</w:t>
        </w:r>
      </w:hyperlink>
      <w:r w:rsidRPr="00C04479">
        <w:rPr>
          <w:rFonts w:ascii="Arial" w:hAnsi="Arial" w:cs="Arial"/>
          <w:color w:val="000000" w:themeColor="text1"/>
        </w:rPr>
        <w:t xml:space="preserve"> (Accessed: 05</w:t>
      </w:r>
      <w:r w:rsidRPr="00C04479">
        <w:rPr>
          <w:rFonts w:ascii="Arial" w:hAnsi="Arial" w:cs="Arial"/>
          <w:color w:val="000000" w:themeColor="text1"/>
          <w:vertAlign w:val="superscript"/>
        </w:rPr>
        <w:t>th</w:t>
      </w:r>
      <w:r w:rsidRPr="00C04479">
        <w:rPr>
          <w:rFonts w:ascii="Arial" w:hAnsi="Arial" w:cs="Arial"/>
          <w:color w:val="000000" w:themeColor="text1"/>
        </w:rPr>
        <w:t xml:space="preserve"> Sept</w:t>
      </w:r>
      <w:r w:rsidR="00E5618A">
        <w:rPr>
          <w:rFonts w:ascii="Arial" w:hAnsi="Arial" w:cs="Arial"/>
          <w:color w:val="000000" w:themeColor="text1"/>
        </w:rPr>
        <w:t xml:space="preserve"> </w:t>
      </w:r>
      <w:r w:rsidRPr="00C04479">
        <w:rPr>
          <w:rFonts w:ascii="Arial" w:hAnsi="Arial" w:cs="Arial"/>
          <w:color w:val="000000" w:themeColor="text1"/>
        </w:rPr>
        <w:t>2020).</w:t>
      </w:r>
    </w:p>
    <w:sectPr w:rsidR="00603813" w:rsidRPr="00E5618A" w:rsidSect="0084392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53B15" w:rsidRDefault="00353B15" w:rsidP="00C36F16">
      <w:r>
        <w:separator/>
      </w:r>
    </w:p>
  </w:endnote>
  <w:endnote w:type="continuationSeparator" w:id="0">
    <w:p w:rsidR="00353B15" w:rsidRDefault="00353B15" w:rsidP="00C36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6458178"/>
      <w:docPartObj>
        <w:docPartGallery w:val="Page Numbers (Bottom of Page)"/>
        <w:docPartUnique/>
      </w:docPartObj>
    </w:sdtPr>
    <w:sdtEndPr>
      <w:rPr>
        <w:rStyle w:val="PageNumber"/>
      </w:rPr>
    </w:sdtEndPr>
    <w:sdtContent>
      <w:p w:rsidR="00C31B77" w:rsidRDefault="00C31B77" w:rsidP="008439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31B77" w:rsidRDefault="00C31B77" w:rsidP="00C36F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60331723"/>
      <w:docPartObj>
        <w:docPartGallery w:val="Page Numbers (Bottom of Page)"/>
        <w:docPartUnique/>
      </w:docPartObj>
    </w:sdtPr>
    <w:sdtEndPr>
      <w:rPr>
        <w:rStyle w:val="PageNumber"/>
      </w:rPr>
    </w:sdtEndPr>
    <w:sdtContent>
      <w:p w:rsidR="00C31B77" w:rsidRDefault="00C31B77" w:rsidP="008439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C31B77" w:rsidRDefault="00C31B77" w:rsidP="00C36F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53B15" w:rsidRDefault="00353B15" w:rsidP="00C36F16">
      <w:r>
        <w:separator/>
      </w:r>
    </w:p>
  </w:footnote>
  <w:footnote w:type="continuationSeparator" w:id="0">
    <w:p w:rsidR="00353B15" w:rsidRDefault="00353B15" w:rsidP="00C36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6511F"/>
    <w:multiLevelType w:val="hybridMultilevel"/>
    <w:tmpl w:val="D2968662"/>
    <w:lvl w:ilvl="0" w:tplc="902687DE">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A4CBA"/>
    <w:multiLevelType w:val="hybridMultilevel"/>
    <w:tmpl w:val="4A6EDAA0"/>
    <w:lvl w:ilvl="0" w:tplc="FB544CA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A77ED"/>
    <w:multiLevelType w:val="hybridMultilevel"/>
    <w:tmpl w:val="1D246EEE"/>
    <w:lvl w:ilvl="0" w:tplc="FF88A53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93D7E"/>
    <w:multiLevelType w:val="hybridMultilevel"/>
    <w:tmpl w:val="36DE2BEA"/>
    <w:lvl w:ilvl="0" w:tplc="9B048AB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76869"/>
    <w:multiLevelType w:val="hybridMultilevel"/>
    <w:tmpl w:val="2BA60524"/>
    <w:lvl w:ilvl="0" w:tplc="9E6863CE">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1732A"/>
    <w:multiLevelType w:val="hybridMultilevel"/>
    <w:tmpl w:val="1CFC5654"/>
    <w:lvl w:ilvl="0" w:tplc="E6A6F8E6">
      <w:start w:val="2"/>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27FE3"/>
    <w:multiLevelType w:val="hybridMultilevel"/>
    <w:tmpl w:val="44865072"/>
    <w:lvl w:ilvl="0" w:tplc="C2023D34">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B4215"/>
    <w:multiLevelType w:val="hybridMultilevel"/>
    <w:tmpl w:val="41387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E82C61"/>
    <w:multiLevelType w:val="hybridMultilevel"/>
    <w:tmpl w:val="9184D8D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ED57D1"/>
    <w:multiLevelType w:val="hybridMultilevel"/>
    <w:tmpl w:val="7F38F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D70D35"/>
    <w:multiLevelType w:val="hybridMultilevel"/>
    <w:tmpl w:val="AC8AB7E4"/>
    <w:lvl w:ilvl="0" w:tplc="F41A369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CC7D39"/>
    <w:multiLevelType w:val="hybridMultilevel"/>
    <w:tmpl w:val="51860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2"/>
  </w:num>
  <w:num w:numId="4">
    <w:abstractNumId w:val="3"/>
  </w:num>
  <w:num w:numId="5">
    <w:abstractNumId w:val="6"/>
  </w:num>
  <w:num w:numId="6">
    <w:abstractNumId w:val="0"/>
  </w:num>
  <w:num w:numId="7">
    <w:abstractNumId w:val="5"/>
  </w:num>
  <w:num w:numId="8">
    <w:abstractNumId w:val="4"/>
  </w:num>
  <w:num w:numId="9">
    <w:abstractNumId w:val="1"/>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AA9"/>
    <w:rsid w:val="000064DE"/>
    <w:rsid w:val="00007203"/>
    <w:rsid w:val="0006180F"/>
    <w:rsid w:val="000D2D91"/>
    <w:rsid w:val="000D4581"/>
    <w:rsid w:val="00110AE8"/>
    <w:rsid w:val="00131E46"/>
    <w:rsid w:val="00143E4E"/>
    <w:rsid w:val="001A5B79"/>
    <w:rsid w:val="001C5AA9"/>
    <w:rsid w:val="001F6BBA"/>
    <w:rsid w:val="00207991"/>
    <w:rsid w:val="00207F8A"/>
    <w:rsid w:val="00216E92"/>
    <w:rsid w:val="00226C12"/>
    <w:rsid w:val="00253AAE"/>
    <w:rsid w:val="002850E1"/>
    <w:rsid w:val="002A7125"/>
    <w:rsid w:val="002A7A64"/>
    <w:rsid w:val="002D7343"/>
    <w:rsid w:val="002E3122"/>
    <w:rsid w:val="003051AB"/>
    <w:rsid w:val="0031118D"/>
    <w:rsid w:val="00334F84"/>
    <w:rsid w:val="00336C51"/>
    <w:rsid w:val="00343863"/>
    <w:rsid w:val="00353B15"/>
    <w:rsid w:val="0036184C"/>
    <w:rsid w:val="0036680B"/>
    <w:rsid w:val="00367A82"/>
    <w:rsid w:val="00387B88"/>
    <w:rsid w:val="003C2E28"/>
    <w:rsid w:val="003E47E6"/>
    <w:rsid w:val="003E4BC7"/>
    <w:rsid w:val="00410106"/>
    <w:rsid w:val="00435694"/>
    <w:rsid w:val="004629FB"/>
    <w:rsid w:val="00463ED7"/>
    <w:rsid w:val="00487AB1"/>
    <w:rsid w:val="004D0A32"/>
    <w:rsid w:val="004D3949"/>
    <w:rsid w:val="004D6EE1"/>
    <w:rsid w:val="005032C2"/>
    <w:rsid w:val="00510714"/>
    <w:rsid w:val="0051538F"/>
    <w:rsid w:val="00520407"/>
    <w:rsid w:val="00522F89"/>
    <w:rsid w:val="00560D98"/>
    <w:rsid w:val="00582EC5"/>
    <w:rsid w:val="005953DD"/>
    <w:rsid w:val="00596609"/>
    <w:rsid w:val="005B4A04"/>
    <w:rsid w:val="005E157B"/>
    <w:rsid w:val="00603813"/>
    <w:rsid w:val="006070FD"/>
    <w:rsid w:val="00611DC2"/>
    <w:rsid w:val="006248C7"/>
    <w:rsid w:val="0063601E"/>
    <w:rsid w:val="00686ACC"/>
    <w:rsid w:val="006A3DF4"/>
    <w:rsid w:val="006D62AA"/>
    <w:rsid w:val="006D78C8"/>
    <w:rsid w:val="006E2220"/>
    <w:rsid w:val="006E3DE9"/>
    <w:rsid w:val="006E7D49"/>
    <w:rsid w:val="00717156"/>
    <w:rsid w:val="00725B0F"/>
    <w:rsid w:val="00785CB0"/>
    <w:rsid w:val="007A359D"/>
    <w:rsid w:val="007B7D29"/>
    <w:rsid w:val="007E05FD"/>
    <w:rsid w:val="007F2663"/>
    <w:rsid w:val="00831C06"/>
    <w:rsid w:val="00842DB1"/>
    <w:rsid w:val="00843921"/>
    <w:rsid w:val="008461F1"/>
    <w:rsid w:val="0087112E"/>
    <w:rsid w:val="008F3CB9"/>
    <w:rsid w:val="0092005A"/>
    <w:rsid w:val="00920B8E"/>
    <w:rsid w:val="0092417D"/>
    <w:rsid w:val="00936320"/>
    <w:rsid w:val="00952586"/>
    <w:rsid w:val="00962CE3"/>
    <w:rsid w:val="00966C4A"/>
    <w:rsid w:val="009753EA"/>
    <w:rsid w:val="009A28AE"/>
    <w:rsid w:val="009A3F23"/>
    <w:rsid w:val="009A6181"/>
    <w:rsid w:val="009F23C8"/>
    <w:rsid w:val="00A1575B"/>
    <w:rsid w:val="00A3270B"/>
    <w:rsid w:val="00A47201"/>
    <w:rsid w:val="00A602C3"/>
    <w:rsid w:val="00A70C1F"/>
    <w:rsid w:val="00A724CB"/>
    <w:rsid w:val="00A91162"/>
    <w:rsid w:val="00A95507"/>
    <w:rsid w:val="00AC619C"/>
    <w:rsid w:val="00B14090"/>
    <w:rsid w:val="00B159C4"/>
    <w:rsid w:val="00B226A5"/>
    <w:rsid w:val="00B34ECA"/>
    <w:rsid w:val="00BC5A22"/>
    <w:rsid w:val="00C04479"/>
    <w:rsid w:val="00C120D8"/>
    <w:rsid w:val="00C149AB"/>
    <w:rsid w:val="00C31B77"/>
    <w:rsid w:val="00C36F16"/>
    <w:rsid w:val="00C46DCE"/>
    <w:rsid w:val="00C52140"/>
    <w:rsid w:val="00C562D1"/>
    <w:rsid w:val="00C5740E"/>
    <w:rsid w:val="00CD1269"/>
    <w:rsid w:val="00CD24C8"/>
    <w:rsid w:val="00CE698F"/>
    <w:rsid w:val="00D4040A"/>
    <w:rsid w:val="00D4122C"/>
    <w:rsid w:val="00D52525"/>
    <w:rsid w:val="00D55CD5"/>
    <w:rsid w:val="00D64014"/>
    <w:rsid w:val="00D928F8"/>
    <w:rsid w:val="00D9640B"/>
    <w:rsid w:val="00DA40A9"/>
    <w:rsid w:val="00DD0EDC"/>
    <w:rsid w:val="00DD5BF8"/>
    <w:rsid w:val="00DE4395"/>
    <w:rsid w:val="00DE6E4E"/>
    <w:rsid w:val="00E06D16"/>
    <w:rsid w:val="00E402B0"/>
    <w:rsid w:val="00E52998"/>
    <w:rsid w:val="00E54BFA"/>
    <w:rsid w:val="00E5618A"/>
    <w:rsid w:val="00E83CEE"/>
    <w:rsid w:val="00E8505E"/>
    <w:rsid w:val="00EA3D68"/>
    <w:rsid w:val="00EA4A01"/>
    <w:rsid w:val="00EA680B"/>
    <w:rsid w:val="00EC4F12"/>
    <w:rsid w:val="00ED2156"/>
    <w:rsid w:val="00EE524E"/>
    <w:rsid w:val="00F1752E"/>
    <w:rsid w:val="00F2019C"/>
    <w:rsid w:val="00F2066D"/>
    <w:rsid w:val="00F22074"/>
    <w:rsid w:val="00F30421"/>
    <w:rsid w:val="00F60300"/>
    <w:rsid w:val="00F82EC4"/>
    <w:rsid w:val="00FA6416"/>
    <w:rsid w:val="00FD34E1"/>
    <w:rsid w:val="00FD7AA4"/>
    <w:rsid w:val="00FE3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DC18"/>
  <w15:chartTrackingRefBased/>
  <w15:docId w15:val="{AE2AB09F-621D-3246-AE2F-511F9EC31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36F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F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6F16"/>
    <w:pPr>
      <w:ind w:left="720"/>
      <w:contextualSpacing/>
    </w:pPr>
  </w:style>
  <w:style w:type="paragraph" w:styleId="Footer">
    <w:name w:val="footer"/>
    <w:basedOn w:val="Normal"/>
    <w:link w:val="FooterChar"/>
    <w:uiPriority w:val="99"/>
    <w:unhideWhenUsed/>
    <w:rsid w:val="00C36F16"/>
    <w:pPr>
      <w:tabs>
        <w:tab w:val="center" w:pos="4680"/>
        <w:tab w:val="right" w:pos="9360"/>
      </w:tabs>
    </w:pPr>
  </w:style>
  <w:style w:type="character" w:customStyle="1" w:styleId="FooterChar">
    <w:name w:val="Footer Char"/>
    <w:basedOn w:val="DefaultParagraphFont"/>
    <w:link w:val="Footer"/>
    <w:uiPriority w:val="99"/>
    <w:rsid w:val="00C36F16"/>
  </w:style>
  <w:style w:type="character" w:styleId="PageNumber">
    <w:name w:val="page number"/>
    <w:basedOn w:val="DefaultParagraphFont"/>
    <w:uiPriority w:val="99"/>
    <w:semiHidden/>
    <w:unhideWhenUsed/>
    <w:rsid w:val="00C36F16"/>
  </w:style>
  <w:style w:type="paragraph" w:styleId="TOCHeading">
    <w:name w:val="TOC Heading"/>
    <w:basedOn w:val="Heading1"/>
    <w:next w:val="Normal"/>
    <w:uiPriority w:val="39"/>
    <w:unhideWhenUsed/>
    <w:qFormat/>
    <w:rsid w:val="00C36F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6F16"/>
    <w:pPr>
      <w:spacing w:before="360" w:after="360"/>
    </w:pPr>
    <w:rPr>
      <w:rFonts w:cstheme="minorHAnsi"/>
      <w:b/>
      <w:bCs/>
      <w:caps/>
      <w:sz w:val="22"/>
      <w:szCs w:val="22"/>
      <w:u w:val="single"/>
    </w:rPr>
  </w:style>
  <w:style w:type="character" w:styleId="Hyperlink">
    <w:name w:val="Hyperlink"/>
    <w:basedOn w:val="DefaultParagraphFont"/>
    <w:uiPriority w:val="99"/>
    <w:unhideWhenUsed/>
    <w:rsid w:val="00C36F16"/>
    <w:rPr>
      <w:color w:val="0563C1" w:themeColor="hyperlink"/>
      <w:u w:val="single"/>
    </w:rPr>
  </w:style>
  <w:style w:type="paragraph" w:styleId="TOC2">
    <w:name w:val="toc 2"/>
    <w:basedOn w:val="Normal"/>
    <w:next w:val="Normal"/>
    <w:autoRedefine/>
    <w:uiPriority w:val="39"/>
    <w:semiHidden/>
    <w:unhideWhenUsed/>
    <w:rsid w:val="00C36F16"/>
    <w:rPr>
      <w:rFonts w:cstheme="minorHAnsi"/>
      <w:b/>
      <w:bCs/>
      <w:smallCaps/>
      <w:sz w:val="22"/>
      <w:szCs w:val="22"/>
    </w:rPr>
  </w:style>
  <w:style w:type="paragraph" w:styleId="TOC3">
    <w:name w:val="toc 3"/>
    <w:basedOn w:val="Normal"/>
    <w:next w:val="Normal"/>
    <w:autoRedefine/>
    <w:uiPriority w:val="39"/>
    <w:semiHidden/>
    <w:unhideWhenUsed/>
    <w:rsid w:val="00C36F16"/>
    <w:rPr>
      <w:rFonts w:cstheme="minorHAnsi"/>
      <w:smallCaps/>
      <w:sz w:val="22"/>
      <w:szCs w:val="22"/>
    </w:rPr>
  </w:style>
  <w:style w:type="paragraph" w:styleId="TOC4">
    <w:name w:val="toc 4"/>
    <w:basedOn w:val="Normal"/>
    <w:next w:val="Normal"/>
    <w:autoRedefine/>
    <w:uiPriority w:val="39"/>
    <w:semiHidden/>
    <w:unhideWhenUsed/>
    <w:rsid w:val="00C36F16"/>
    <w:rPr>
      <w:rFonts w:cstheme="minorHAnsi"/>
      <w:sz w:val="22"/>
      <w:szCs w:val="22"/>
    </w:rPr>
  </w:style>
  <w:style w:type="paragraph" w:styleId="TOC5">
    <w:name w:val="toc 5"/>
    <w:basedOn w:val="Normal"/>
    <w:next w:val="Normal"/>
    <w:autoRedefine/>
    <w:uiPriority w:val="39"/>
    <w:semiHidden/>
    <w:unhideWhenUsed/>
    <w:rsid w:val="00C36F16"/>
    <w:rPr>
      <w:rFonts w:cstheme="minorHAnsi"/>
      <w:sz w:val="22"/>
      <w:szCs w:val="22"/>
    </w:rPr>
  </w:style>
  <w:style w:type="paragraph" w:styleId="TOC6">
    <w:name w:val="toc 6"/>
    <w:basedOn w:val="Normal"/>
    <w:next w:val="Normal"/>
    <w:autoRedefine/>
    <w:uiPriority w:val="39"/>
    <w:semiHidden/>
    <w:unhideWhenUsed/>
    <w:rsid w:val="00C36F16"/>
    <w:rPr>
      <w:rFonts w:cstheme="minorHAnsi"/>
      <w:sz w:val="22"/>
      <w:szCs w:val="22"/>
    </w:rPr>
  </w:style>
  <w:style w:type="paragraph" w:styleId="TOC7">
    <w:name w:val="toc 7"/>
    <w:basedOn w:val="Normal"/>
    <w:next w:val="Normal"/>
    <w:autoRedefine/>
    <w:uiPriority w:val="39"/>
    <w:semiHidden/>
    <w:unhideWhenUsed/>
    <w:rsid w:val="00C36F16"/>
    <w:rPr>
      <w:rFonts w:cstheme="minorHAnsi"/>
      <w:sz w:val="22"/>
      <w:szCs w:val="22"/>
    </w:rPr>
  </w:style>
  <w:style w:type="paragraph" w:styleId="TOC8">
    <w:name w:val="toc 8"/>
    <w:basedOn w:val="Normal"/>
    <w:next w:val="Normal"/>
    <w:autoRedefine/>
    <w:uiPriority w:val="39"/>
    <w:semiHidden/>
    <w:unhideWhenUsed/>
    <w:rsid w:val="00C36F16"/>
    <w:rPr>
      <w:rFonts w:cstheme="minorHAnsi"/>
      <w:sz w:val="22"/>
      <w:szCs w:val="22"/>
    </w:rPr>
  </w:style>
  <w:style w:type="paragraph" w:styleId="TOC9">
    <w:name w:val="toc 9"/>
    <w:basedOn w:val="Normal"/>
    <w:next w:val="Normal"/>
    <w:autoRedefine/>
    <w:uiPriority w:val="39"/>
    <w:semiHidden/>
    <w:unhideWhenUsed/>
    <w:rsid w:val="00C36F16"/>
    <w:rPr>
      <w:rFonts w:cstheme="minorHAnsi"/>
      <w:sz w:val="22"/>
      <w:szCs w:val="22"/>
    </w:rPr>
  </w:style>
  <w:style w:type="paragraph" w:styleId="NormalWeb">
    <w:name w:val="Normal (Web)"/>
    <w:basedOn w:val="Normal"/>
    <w:uiPriority w:val="99"/>
    <w:unhideWhenUsed/>
    <w:rsid w:val="0031118D"/>
    <w:pPr>
      <w:spacing w:before="100" w:beforeAutospacing="1" w:after="100" w:afterAutospacing="1"/>
    </w:pPr>
  </w:style>
  <w:style w:type="table" w:styleId="TableGrid">
    <w:name w:val="Table Grid"/>
    <w:basedOn w:val="TableNormal"/>
    <w:uiPriority w:val="39"/>
    <w:rsid w:val="00253A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D2D91"/>
    <w:rPr>
      <w:sz w:val="18"/>
      <w:szCs w:val="18"/>
    </w:rPr>
  </w:style>
  <w:style w:type="character" w:customStyle="1" w:styleId="BalloonTextChar">
    <w:name w:val="Balloon Text Char"/>
    <w:basedOn w:val="DefaultParagraphFont"/>
    <w:link w:val="BalloonText"/>
    <w:uiPriority w:val="99"/>
    <w:semiHidden/>
    <w:rsid w:val="000D2D91"/>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0D2D91"/>
    <w:rPr>
      <w:sz w:val="16"/>
      <w:szCs w:val="16"/>
    </w:rPr>
  </w:style>
  <w:style w:type="paragraph" w:styleId="CommentText">
    <w:name w:val="annotation text"/>
    <w:basedOn w:val="Normal"/>
    <w:link w:val="CommentTextChar"/>
    <w:uiPriority w:val="99"/>
    <w:semiHidden/>
    <w:unhideWhenUsed/>
    <w:rsid w:val="000D2D91"/>
    <w:rPr>
      <w:sz w:val="20"/>
      <w:szCs w:val="20"/>
    </w:rPr>
  </w:style>
  <w:style w:type="character" w:customStyle="1" w:styleId="CommentTextChar">
    <w:name w:val="Comment Text Char"/>
    <w:basedOn w:val="DefaultParagraphFont"/>
    <w:link w:val="CommentText"/>
    <w:uiPriority w:val="99"/>
    <w:semiHidden/>
    <w:rsid w:val="000D2D91"/>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6680B"/>
    <w:rPr>
      <w:color w:val="605E5C"/>
      <w:shd w:val="clear" w:color="auto" w:fill="E1DFDD"/>
    </w:rPr>
  </w:style>
  <w:style w:type="paragraph" w:styleId="NoSpacing">
    <w:name w:val="No Spacing"/>
    <w:link w:val="NoSpacingChar"/>
    <w:uiPriority w:val="1"/>
    <w:qFormat/>
    <w:rsid w:val="0092005A"/>
    <w:rPr>
      <w:rFonts w:eastAsiaTheme="minorEastAsia"/>
      <w:sz w:val="22"/>
      <w:szCs w:val="22"/>
      <w:lang w:val="en-US" w:eastAsia="zh-CN"/>
    </w:rPr>
  </w:style>
  <w:style w:type="character" w:customStyle="1" w:styleId="NoSpacingChar">
    <w:name w:val="No Spacing Char"/>
    <w:basedOn w:val="DefaultParagraphFont"/>
    <w:link w:val="NoSpacing"/>
    <w:uiPriority w:val="1"/>
    <w:rsid w:val="0092005A"/>
    <w:rPr>
      <w:rFonts w:eastAsiaTheme="minorEastAsia"/>
      <w:sz w:val="22"/>
      <w:szCs w:val="22"/>
      <w:lang w:val="en-US" w:eastAsia="zh-CN"/>
    </w:rPr>
  </w:style>
  <w:style w:type="character" w:customStyle="1" w:styleId="apple-converted-space">
    <w:name w:val="apple-converted-space"/>
    <w:basedOn w:val="DefaultParagraphFont"/>
    <w:rsid w:val="00343863"/>
  </w:style>
  <w:style w:type="character" w:styleId="FollowedHyperlink">
    <w:name w:val="FollowedHyperlink"/>
    <w:basedOn w:val="DefaultParagraphFont"/>
    <w:uiPriority w:val="99"/>
    <w:semiHidden/>
    <w:unhideWhenUsed/>
    <w:rsid w:val="00F206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19327">
      <w:bodyDiv w:val="1"/>
      <w:marLeft w:val="0"/>
      <w:marRight w:val="0"/>
      <w:marTop w:val="0"/>
      <w:marBottom w:val="0"/>
      <w:divBdr>
        <w:top w:val="none" w:sz="0" w:space="0" w:color="auto"/>
        <w:left w:val="none" w:sz="0" w:space="0" w:color="auto"/>
        <w:bottom w:val="none" w:sz="0" w:space="0" w:color="auto"/>
        <w:right w:val="none" w:sz="0" w:space="0" w:color="auto"/>
      </w:divBdr>
    </w:div>
    <w:div w:id="83960663">
      <w:bodyDiv w:val="1"/>
      <w:marLeft w:val="0"/>
      <w:marRight w:val="0"/>
      <w:marTop w:val="0"/>
      <w:marBottom w:val="0"/>
      <w:divBdr>
        <w:top w:val="none" w:sz="0" w:space="0" w:color="auto"/>
        <w:left w:val="none" w:sz="0" w:space="0" w:color="auto"/>
        <w:bottom w:val="none" w:sz="0" w:space="0" w:color="auto"/>
        <w:right w:val="none" w:sz="0" w:space="0" w:color="auto"/>
      </w:divBdr>
    </w:div>
    <w:div w:id="94904003">
      <w:bodyDiv w:val="1"/>
      <w:marLeft w:val="0"/>
      <w:marRight w:val="0"/>
      <w:marTop w:val="0"/>
      <w:marBottom w:val="0"/>
      <w:divBdr>
        <w:top w:val="none" w:sz="0" w:space="0" w:color="auto"/>
        <w:left w:val="none" w:sz="0" w:space="0" w:color="auto"/>
        <w:bottom w:val="none" w:sz="0" w:space="0" w:color="auto"/>
        <w:right w:val="none" w:sz="0" w:space="0" w:color="auto"/>
      </w:divBdr>
    </w:div>
    <w:div w:id="248389879">
      <w:bodyDiv w:val="1"/>
      <w:marLeft w:val="0"/>
      <w:marRight w:val="0"/>
      <w:marTop w:val="0"/>
      <w:marBottom w:val="0"/>
      <w:divBdr>
        <w:top w:val="none" w:sz="0" w:space="0" w:color="auto"/>
        <w:left w:val="none" w:sz="0" w:space="0" w:color="auto"/>
        <w:bottom w:val="none" w:sz="0" w:space="0" w:color="auto"/>
        <w:right w:val="none" w:sz="0" w:space="0" w:color="auto"/>
      </w:divBdr>
    </w:div>
    <w:div w:id="322513308">
      <w:bodyDiv w:val="1"/>
      <w:marLeft w:val="0"/>
      <w:marRight w:val="0"/>
      <w:marTop w:val="0"/>
      <w:marBottom w:val="0"/>
      <w:divBdr>
        <w:top w:val="none" w:sz="0" w:space="0" w:color="auto"/>
        <w:left w:val="none" w:sz="0" w:space="0" w:color="auto"/>
        <w:bottom w:val="none" w:sz="0" w:space="0" w:color="auto"/>
        <w:right w:val="none" w:sz="0" w:space="0" w:color="auto"/>
      </w:divBdr>
      <w:divsChild>
        <w:div w:id="2131782874">
          <w:marLeft w:val="0"/>
          <w:marRight w:val="0"/>
          <w:marTop w:val="0"/>
          <w:marBottom w:val="0"/>
          <w:divBdr>
            <w:top w:val="none" w:sz="0" w:space="0" w:color="auto"/>
            <w:left w:val="none" w:sz="0" w:space="0" w:color="auto"/>
            <w:bottom w:val="none" w:sz="0" w:space="0" w:color="auto"/>
            <w:right w:val="none" w:sz="0" w:space="0" w:color="auto"/>
          </w:divBdr>
          <w:divsChild>
            <w:div w:id="2111123379">
              <w:marLeft w:val="0"/>
              <w:marRight w:val="0"/>
              <w:marTop w:val="0"/>
              <w:marBottom w:val="0"/>
              <w:divBdr>
                <w:top w:val="none" w:sz="0" w:space="0" w:color="auto"/>
                <w:left w:val="none" w:sz="0" w:space="0" w:color="auto"/>
                <w:bottom w:val="none" w:sz="0" w:space="0" w:color="auto"/>
                <w:right w:val="none" w:sz="0" w:space="0" w:color="auto"/>
              </w:divBdr>
              <w:divsChild>
                <w:div w:id="15751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130322">
      <w:bodyDiv w:val="1"/>
      <w:marLeft w:val="0"/>
      <w:marRight w:val="0"/>
      <w:marTop w:val="0"/>
      <w:marBottom w:val="0"/>
      <w:divBdr>
        <w:top w:val="none" w:sz="0" w:space="0" w:color="auto"/>
        <w:left w:val="none" w:sz="0" w:space="0" w:color="auto"/>
        <w:bottom w:val="none" w:sz="0" w:space="0" w:color="auto"/>
        <w:right w:val="none" w:sz="0" w:space="0" w:color="auto"/>
      </w:divBdr>
    </w:div>
    <w:div w:id="574899314">
      <w:bodyDiv w:val="1"/>
      <w:marLeft w:val="0"/>
      <w:marRight w:val="0"/>
      <w:marTop w:val="0"/>
      <w:marBottom w:val="0"/>
      <w:divBdr>
        <w:top w:val="none" w:sz="0" w:space="0" w:color="auto"/>
        <w:left w:val="none" w:sz="0" w:space="0" w:color="auto"/>
        <w:bottom w:val="none" w:sz="0" w:space="0" w:color="auto"/>
        <w:right w:val="none" w:sz="0" w:space="0" w:color="auto"/>
      </w:divBdr>
    </w:div>
    <w:div w:id="622734340">
      <w:bodyDiv w:val="1"/>
      <w:marLeft w:val="0"/>
      <w:marRight w:val="0"/>
      <w:marTop w:val="0"/>
      <w:marBottom w:val="0"/>
      <w:divBdr>
        <w:top w:val="none" w:sz="0" w:space="0" w:color="auto"/>
        <w:left w:val="none" w:sz="0" w:space="0" w:color="auto"/>
        <w:bottom w:val="none" w:sz="0" w:space="0" w:color="auto"/>
        <w:right w:val="none" w:sz="0" w:space="0" w:color="auto"/>
      </w:divBdr>
      <w:divsChild>
        <w:div w:id="1946696032">
          <w:marLeft w:val="0"/>
          <w:marRight w:val="0"/>
          <w:marTop w:val="0"/>
          <w:marBottom w:val="0"/>
          <w:divBdr>
            <w:top w:val="none" w:sz="0" w:space="0" w:color="auto"/>
            <w:left w:val="none" w:sz="0" w:space="0" w:color="auto"/>
            <w:bottom w:val="none" w:sz="0" w:space="0" w:color="auto"/>
            <w:right w:val="none" w:sz="0" w:space="0" w:color="auto"/>
          </w:divBdr>
          <w:divsChild>
            <w:div w:id="1467356968">
              <w:marLeft w:val="0"/>
              <w:marRight w:val="0"/>
              <w:marTop w:val="0"/>
              <w:marBottom w:val="0"/>
              <w:divBdr>
                <w:top w:val="none" w:sz="0" w:space="0" w:color="auto"/>
                <w:left w:val="none" w:sz="0" w:space="0" w:color="auto"/>
                <w:bottom w:val="none" w:sz="0" w:space="0" w:color="auto"/>
                <w:right w:val="none" w:sz="0" w:space="0" w:color="auto"/>
              </w:divBdr>
              <w:divsChild>
                <w:div w:id="155434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115491">
      <w:bodyDiv w:val="1"/>
      <w:marLeft w:val="0"/>
      <w:marRight w:val="0"/>
      <w:marTop w:val="0"/>
      <w:marBottom w:val="0"/>
      <w:divBdr>
        <w:top w:val="none" w:sz="0" w:space="0" w:color="auto"/>
        <w:left w:val="none" w:sz="0" w:space="0" w:color="auto"/>
        <w:bottom w:val="none" w:sz="0" w:space="0" w:color="auto"/>
        <w:right w:val="none" w:sz="0" w:space="0" w:color="auto"/>
      </w:divBdr>
    </w:div>
    <w:div w:id="962079184">
      <w:bodyDiv w:val="1"/>
      <w:marLeft w:val="0"/>
      <w:marRight w:val="0"/>
      <w:marTop w:val="0"/>
      <w:marBottom w:val="0"/>
      <w:divBdr>
        <w:top w:val="none" w:sz="0" w:space="0" w:color="auto"/>
        <w:left w:val="none" w:sz="0" w:space="0" w:color="auto"/>
        <w:bottom w:val="none" w:sz="0" w:space="0" w:color="auto"/>
        <w:right w:val="none" w:sz="0" w:space="0" w:color="auto"/>
      </w:divBdr>
    </w:div>
    <w:div w:id="1105537529">
      <w:bodyDiv w:val="1"/>
      <w:marLeft w:val="0"/>
      <w:marRight w:val="0"/>
      <w:marTop w:val="0"/>
      <w:marBottom w:val="0"/>
      <w:divBdr>
        <w:top w:val="none" w:sz="0" w:space="0" w:color="auto"/>
        <w:left w:val="none" w:sz="0" w:space="0" w:color="auto"/>
        <w:bottom w:val="none" w:sz="0" w:space="0" w:color="auto"/>
        <w:right w:val="none" w:sz="0" w:space="0" w:color="auto"/>
      </w:divBdr>
    </w:div>
    <w:div w:id="1127621062">
      <w:bodyDiv w:val="1"/>
      <w:marLeft w:val="0"/>
      <w:marRight w:val="0"/>
      <w:marTop w:val="0"/>
      <w:marBottom w:val="0"/>
      <w:divBdr>
        <w:top w:val="none" w:sz="0" w:space="0" w:color="auto"/>
        <w:left w:val="none" w:sz="0" w:space="0" w:color="auto"/>
        <w:bottom w:val="none" w:sz="0" w:space="0" w:color="auto"/>
        <w:right w:val="none" w:sz="0" w:space="0" w:color="auto"/>
      </w:divBdr>
    </w:div>
    <w:div w:id="1214344580">
      <w:bodyDiv w:val="1"/>
      <w:marLeft w:val="0"/>
      <w:marRight w:val="0"/>
      <w:marTop w:val="0"/>
      <w:marBottom w:val="0"/>
      <w:divBdr>
        <w:top w:val="none" w:sz="0" w:space="0" w:color="auto"/>
        <w:left w:val="none" w:sz="0" w:space="0" w:color="auto"/>
        <w:bottom w:val="none" w:sz="0" w:space="0" w:color="auto"/>
        <w:right w:val="none" w:sz="0" w:space="0" w:color="auto"/>
      </w:divBdr>
    </w:div>
    <w:div w:id="1478184494">
      <w:bodyDiv w:val="1"/>
      <w:marLeft w:val="0"/>
      <w:marRight w:val="0"/>
      <w:marTop w:val="0"/>
      <w:marBottom w:val="0"/>
      <w:divBdr>
        <w:top w:val="none" w:sz="0" w:space="0" w:color="auto"/>
        <w:left w:val="none" w:sz="0" w:space="0" w:color="auto"/>
        <w:bottom w:val="none" w:sz="0" w:space="0" w:color="auto"/>
        <w:right w:val="none" w:sz="0" w:space="0" w:color="auto"/>
      </w:divBdr>
    </w:div>
    <w:div w:id="160727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3.jpeg"/><Relationship Id="rId42" Type="http://schemas.openxmlformats.org/officeDocument/2006/relationships/image" Target="media/image34.jpeg"/><Relationship Id="rId47" Type="http://schemas.openxmlformats.org/officeDocument/2006/relationships/diagramColors" Target="diagrams/colors1.xml"/><Relationship Id="rId63" Type="http://schemas.openxmlformats.org/officeDocument/2006/relationships/hyperlink" Target="https://www.forbes.com/sites/margueritacheng/2019/06/19/8-characteristics-of-millennials-that-support-sustainable-development-goals-sdgs/" TargetMode="External"/><Relationship Id="rId68" Type="http://schemas.openxmlformats.org/officeDocument/2006/relationships/hyperlink" Target="https://www2.deloitte.com/content/dam/Deloitte/global/Documents/HumanCapital/dttl-humancapital-trends6-open-talent-next-no-exp.pdf" TargetMode="External"/><Relationship Id="rId84" Type="http://schemas.openxmlformats.org/officeDocument/2006/relationships/hyperlink" Target="https://www.mindtools.com/pages/article/newTMC_09.htm" TargetMode="External"/><Relationship Id="rId89" Type="http://schemas.openxmlformats.org/officeDocument/2006/relationships/hyperlink" Target="https://www.theguardian.com/business/2020/aug/18/coronavirus-marks-spencer-to-cut-7000-jobs-over-three-months" TargetMode="External"/><Relationship Id="rId16" Type="http://schemas.openxmlformats.org/officeDocument/2006/relationships/image" Target="media/image8.jpeg"/><Relationship Id="rId11" Type="http://schemas.openxmlformats.org/officeDocument/2006/relationships/image" Target="media/image4.pn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38.png"/><Relationship Id="rId58" Type="http://schemas.openxmlformats.org/officeDocument/2006/relationships/hyperlink" Target="https://positivepsychology.com/self-determination-theory/" TargetMode="External"/><Relationship Id="rId74" Type="http://schemas.openxmlformats.org/officeDocument/2006/relationships/hyperlink" Target="https://www.forbes.com/companies/apple/" TargetMode="External"/><Relationship Id="rId79" Type="http://schemas.openxmlformats.org/officeDocument/2006/relationships/hyperlink" Target="https://www.ft.com/content/f3550890-f501-4a2a-9cc5-a4d292d3c64e" TargetMode="External"/><Relationship Id="rId5" Type="http://schemas.openxmlformats.org/officeDocument/2006/relationships/webSettings" Target="webSettings.xml"/><Relationship Id="rId90" Type="http://schemas.openxmlformats.org/officeDocument/2006/relationships/hyperlink" Target="https://www.pwc.com/gx/en/services/people-organisation/workforce-of-the-future/workforce-of-the-future-the-competing-forces-shaping-2030-pwc.pdf" TargetMode="External"/><Relationship Id="rId95" Type="http://schemas.openxmlformats.org/officeDocument/2006/relationships/hyperlink" Target="https://assets.kpmg/content/dam/kpmg/xx/pdf/2019/11/future-of-hr-2020.pdf" TargetMode="External"/><Relationship Id="rId22" Type="http://schemas.openxmlformats.org/officeDocument/2006/relationships/image" Target="media/image14.jpeg"/><Relationship Id="rId27" Type="http://schemas.openxmlformats.org/officeDocument/2006/relationships/image" Target="media/image19.jpeg"/><Relationship Id="rId43" Type="http://schemas.openxmlformats.org/officeDocument/2006/relationships/image" Target="media/image35.png"/><Relationship Id="rId48" Type="http://schemas.microsoft.com/office/2007/relationships/diagramDrawing" Target="diagrams/drawing1.xml"/><Relationship Id="rId64" Type="http://schemas.openxmlformats.org/officeDocument/2006/relationships/hyperlink" Target="https://eur01.safelinks.protection.outlook.com/?url=https%3A%2F%2Fwww.consultancy.uk%2Fnews%2F22506%2Ffive-top-trends-impacting-the-food-and-beverage-industries&amp;data=02%7C01%7C%7C40aa3a0511984033aec308d853f14aaf%7C4e0f11f9046e45059cb8db2152311e21%7C0%7C0%7C637351643083989266&amp;sdata=2bqQDQ8tSeyxA7mMx7lVmEqOndv8%2BdI14PwyzwxulMo%3D&amp;reserved=0" TargetMode="External"/><Relationship Id="rId69" Type="http://schemas.openxmlformats.org/officeDocument/2006/relationships/hyperlink" Target="https://deloitte.wsj.com/cfo/2014/10/22/improving-economy-may-make-attracting-retaining-talent-tougher/" TargetMode="External"/><Relationship Id="rId80" Type="http://schemas.openxmlformats.org/officeDocument/2006/relationships/hyperlink" Target="https://eur01.safelinks.protection.outlook.com/?url=https%3A%2F%2Fwww.burges-salmon.com%2Fnews-and-insight%2Flegal-updates%2Femployment-law-updates%2F&amp;data=02%7C01%7C%7C40aa3a0511984033aec308d853f14aaf%7C4e0f11f9046e45059cb8db2152311e21%7C0%7C0%7C637351643084009250&amp;sdata=RApcfPYstTcSgqHpMeL3XmddpxWFjtTc1GRwhZK6RPU%3D&amp;reserved=0" TargetMode="External"/><Relationship Id="rId85" Type="http://schemas.openxmlformats.org/officeDocument/2006/relationships/hyperlink" Target="https://www.weforum.org/agenda/2020/04/gig-workers-hardest-hit-coronavirus-pandemic/" TargetMode="Externa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diagramQuickStyle" Target="diagrams/quickStyle1.xml"/><Relationship Id="rId59" Type="http://schemas.openxmlformats.org/officeDocument/2006/relationships/hyperlink" Target="https://eur01.safelinks.protection.outlook.com/?url=https%3A%2F%2Fwww.theguardian.com%2Fbusiness%2F2020%2Fmar%2F14%2Famazon-open-store-without-checkouts-uk&amp;data=02%7C01%7C%7C40aa3a0511984033aec308d853f14aaf%7C4e0f11f9046e45059cb8db2152311e21%7C0%7C0%7C637351643083999256&amp;sdata=HUWEmbHZqcgwNVDSKOItXjCSvlZ1ch5J9u%2BKYT7PkAI%3D&amp;reserved=0" TargetMode="External"/><Relationship Id="rId67" Type="http://schemas.openxmlformats.org/officeDocument/2006/relationships/hyperlink" Target="https://www.delawarenorth.com/about" TargetMode="External"/><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image" Target="media/image39.png"/><Relationship Id="rId62" Type="http://schemas.openxmlformats.org/officeDocument/2006/relationships/hyperlink" Target="https://www.cipd.co.uk/Images/7904-atypical-working-guide-web_tcm18-61555.pdf" TargetMode="External"/><Relationship Id="rId70" Type="http://schemas.openxmlformats.org/officeDocument/2006/relationships/hyperlink" Target="https://www.delawarenorth.com/about" TargetMode="External"/><Relationship Id="rId75" Type="http://schemas.openxmlformats.org/officeDocument/2006/relationships/hyperlink" Target="https://www.cipd.co.uk/news-views/changing-work-views/future-work/thought-pieces/covid-19-change-work" TargetMode="External"/><Relationship Id="rId83" Type="http://schemas.openxmlformats.org/officeDocument/2006/relationships/hyperlink" Target="https://www.mckinsey.com/business-functions/marketing-and-sales/our-insights/understanding-and-shaping-consumer-behavior-in-the-next-normal" TargetMode="External"/><Relationship Id="rId88" Type="http://schemas.openxmlformats.org/officeDocument/2006/relationships/hyperlink" Target="https://www.oecd.org/trade/understanding-the-global-trading-system/why-open-markets-matter/" TargetMode="External"/><Relationship Id="rId91" Type="http://schemas.openxmlformats.org/officeDocument/2006/relationships/hyperlink" Target="https://www.pwc.com/us/en/library/workforce-of-the-future/hr-tech-survey.html" TargetMode="External"/><Relationship Id="rId96" Type="http://schemas.openxmlformats.org/officeDocument/2006/relationships/hyperlink" Target="https://www.fdf.org.uk/publicgeneral/fdsc-workforce-skills-report.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footer" Target="footer1.xml"/><Relationship Id="rId57" Type="http://schemas.openxmlformats.org/officeDocument/2006/relationships/image" Target="media/image42.png"/><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diagramData" Target="diagrams/data1.xml"/><Relationship Id="rId52" Type="http://schemas.openxmlformats.org/officeDocument/2006/relationships/image" Target="media/image37.png"/><Relationship Id="rId60" Type="http://schemas.openxmlformats.org/officeDocument/2006/relationships/hyperlink" Target="https://www.cipd.co.uk/Images/zero-hours-contracts_2013-myth-reality_tcm18-10710.pdf" TargetMode="External"/><Relationship Id="rId65" Type="http://schemas.openxmlformats.org/officeDocument/2006/relationships/hyperlink" Target="https://www.cipd.co.uk/knowledge/work/trends/economy-labour-market-factsheet" TargetMode="External"/><Relationship Id="rId73" Type="http://schemas.openxmlformats.org/officeDocument/2006/relationships/hyperlink" Target="https://www.mckinsey.com/business-functions/marketing-and-sales/our-insights/meet-the-next-normal-consumer" TargetMode="External"/><Relationship Id="rId78" Type="http://schemas.openxmlformats.org/officeDocument/2006/relationships/hyperlink" Target="https://assets.kpmg/content/dam/kpmg/uk/pdf/2020/08/uk-economic-outlook-sep-2020.pdf" TargetMode="External"/><Relationship Id="rId81" Type="http://schemas.openxmlformats.org/officeDocument/2006/relationships/hyperlink" Target="https://www.mayerbrown.com/-/media/files/perspectives-events/publications/2020/03/managing-hr-through-covid19.pdf" TargetMode="External"/><Relationship Id="rId86" Type="http://schemas.openxmlformats.org/officeDocument/2006/relationships/hyperlink" Target="https://www.toolshero.com/problem-solving/soft-systems-methodology-ssm/" TargetMode="External"/><Relationship Id="rId94" Type="http://schemas.openxmlformats.org/officeDocument/2006/relationships/hyperlink" Target="https://voxeu.org/article/covid-19-inequality-and-gig-economy-workers" TargetMode="External"/><Relationship Id="rId99" Type="http://schemas.openxmlformats.org/officeDocument/2006/relationships/hyperlink" Target="https://blogs.lse.ac.uk/management/2020/05/01/where-next-for-the-gig-economy-and-precarious-work-post-covid-19/" TargetMode="Externa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youtube.com/watch?v=-HGHdVU0uoA" TargetMode="External"/><Relationship Id="rId18" Type="http://schemas.openxmlformats.org/officeDocument/2006/relationships/image" Target="media/image10.jpeg"/><Relationship Id="rId39" Type="http://schemas.openxmlformats.org/officeDocument/2006/relationships/image" Target="media/image31.jpeg"/><Relationship Id="rId34" Type="http://schemas.openxmlformats.org/officeDocument/2006/relationships/image" Target="media/image26.jpeg"/><Relationship Id="rId50" Type="http://schemas.openxmlformats.org/officeDocument/2006/relationships/footer" Target="footer2.xml"/><Relationship Id="rId55" Type="http://schemas.openxmlformats.org/officeDocument/2006/relationships/image" Target="media/image40.png"/><Relationship Id="rId76" Type="http://schemas.openxmlformats.org/officeDocument/2006/relationships/hyperlink" Target="https://assets.publishing.service.gov.uk/media/5eb96e8e86650c278b077616/working-safely-during-covid-19-restaurants-pubs-takeaway-services-200812.pdf" TargetMode="External"/><Relationship Id="rId97" Type="http://schemas.openxmlformats.org/officeDocument/2006/relationships/hyperlink" Target="https://www.gov.uk/guidance/vat-reduced-rate-for-hospitality-holiday-accommodation-and-attractions" TargetMode="External"/><Relationship Id="rId7" Type="http://schemas.openxmlformats.org/officeDocument/2006/relationships/endnotes" Target="endnotes.xml"/><Relationship Id="rId71" Type="http://schemas.openxmlformats.org/officeDocument/2006/relationships/hyperlink" Target="https://assets.publishing.service.gov.uk/government/uploads/system/uploads/attachment_data/file/687553/The_characteristics_of_those_in_the_gig_economy.pdf" TargetMode="External"/><Relationship Id="rId92" Type="http://schemas.openxmlformats.org/officeDocument/2006/relationships/hyperlink" Target="https://www.weforum.org/agenda/2015/09/welcome-to-the-era-of-the-open-economy/" TargetMode="External"/><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6.jpeg"/><Relationship Id="rId40" Type="http://schemas.openxmlformats.org/officeDocument/2006/relationships/image" Target="media/image32.jpeg"/><Relationship Id="rId45" Type="http://schemas.openxmlformats.org/officeDocument/2006/relationships/diagramLayout" Target="diagrams/layout1.xml"/><Relationship Id="rId66" Type="http://schemas.openxmlformats.org/officeDocument/2006/relationships/hyperlink" Target="https://www.globaltimes.cn/content/1125167.shtml" TargetMode="External"/><Relationship Id="rId87" Type="http://schemas.openxmlformats.org/officeDocument/2006/relationships/hyperlink" Target="https://www.theguardian.com/careers/2018/feb/02/why-giving-back-is-the-best-way-forward-for-businesses" TargetMode="External"/><Relationship Id="rId61" Type="http://schemas.openxmlformats.org/officeDocument/2006/relationships/hyperlink" Target="https://www.cipd.co.uk/knowledge/work/trends/gig-economy-report%20" TargetMode="External"/><Relationship Id="rId82" Type="http://schemas.openxmlformats.org/officeDocument/2006/relationships/hyperlink" Target="https://www.mckinsey.com/business-functions/risk/our-insights/covid-19-implications-for-business" TargetMode="External"/><Relationship Id="rId19" Type="http://schemas.openxmlformats.org/officeDocument/2006/relationships/image" Target="media/image11.jpe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jpeg"/><Relationship Id="rId56" Type="http://schemas.openxmlformats.org/officeDocument/2006/relationships/image" Target="media/image41.png"/><Relationship Id="rId77" Type="http://schemas.openxmlformats.org/officeDocument/2006/relationships/hyperlink" Target="https://www.mckinsey.com/business-functions/organization/our-insights/attracting-and-retaining-the-right-talent"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hyperlink" Target="https://assets.publishing.service.gov.uk/government/uploads/system/uploads/attachment_data/file/827952/Hospitality_and_Tourism_Workforce_Landscape.pdf" TargetMode="External"/><Relationship Id="rId93" Type="http://schemas.openxmlformats.org/officeDocument/2006/relationships/hyperlink" Target="https://www.weforum.org/agenda/2016/01/the-fourth-industrial-revolution-what-it-means-and-how-to-respond/" TargetMode="External"/><Relationship Id="rId98" Type="http://schemas.openxmlformats.org/officeDocument/2006/relationships/hyperlink" Target="https://www.ukhospitality.org.uk/page/FutureofPayments"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7F3713-A3B4-234B-B117-BA6530271D6A}" type="doc">
      <dgm:prSet loTypeId="urn:microsoft.com/office/officeart/2005/8/layout/vList3" loCatId="" qsTypeId="urn:microsoft.com/office/officeart/2005/8/quickstyle/simple1" qsCatId="simple" csTypeId="urn:microsoft.com/office/officeart/2005/8/colors/accent1_2" csCatId="accent1" phldr="1"/>
      <dgm:spPr/>
    </dgm:pt>
    <dgm:pt modelId="{0F0775C2-0720-D540-9E32-F2609A8EEA8C}">
      <dgm:prSet phldrT="[Text]" custT="1"/>
      <dgm:spPr>
        <a:solidFill>
          <a:schemeClr val="accent2">
            <a:lumMod val="75000"/>
          </a:schemeClr>
        </a:solidFill>
      </dgm:spPr>
      <dgm:t>
        <a:bodyPr/>
        <a:lstStyle/>
        <a:p>
          <a:r>
            <a:rPr lang="en-GB" sz="1400">
              <a:latin typeface="Arial" panose="020B0604020202020204" pitchFamily="34" charset="0"/>
              <a:cs typeface="Arial" panose="020B0604020202020204" pitchFamily="34" charset="0"/>
            </a:rPr>
            <a:t>There are too many types of workers grouped in narrow categorise - would it be all efficient to evaluate a number of issues in detailed by that general groupping method (Pollert, 2016)</a:t>
          </a:r>
        </a:p>
      </dgm:t>
    </dgm:pt>
    <dgm:pt modelId="{DC54860A-33FF-A341-8DCA-72A333ACE4F9}" type="parTrans" cxnId="{EA8B7C31-4D8D-D145-B865-9B8BEC537BD9}">
      <dgm:prSet/>
      <dgm:spPr/>
      <dgm:t>
        <a:bodyPr/>
        <a:lstStyle/>
        <a:p>
          <a:endParaRPr lang="en-GB"/>
        </a:p>
      </dgm:t>
    </dgm:pt>
    <dgm:pt modelId="{1630AD4F-9B8E-0E43-B1B6-247A78B6AE1B}" type="sibTrans" cxnId="{EA8B7C31-4D8D-D145-B865-9B8BEC537BD9}">
      <dgm:prSet/>
      <dgm:spPr/>
      <dgm:t>
        <a:bodyPr/>
        <a:lstStyle/>
        <a:p>
          <a:endParaRPr lang="en-GB"/>
        </a:p>
      </dgm:t>
    </dgm:pt>
    <dgm:pt modelId="{0657FA53-8C83-1446-B8C4-646C1E0BC56F}">
      <dgm:prSet phldrT="[Text]" custT="1"/>
      <dgm:spPr>
        <a:solidFill>
          <a:schemeClr val="accent2">
            <a:lumMod val="50000"/>
          </a:schemeClr>
        </a:solidFill>
      </dgm:spPr>
      <dgm:t>
        <a:bodyPr/>
        <a:lstStyle/>
        <a:p>
          <a:pPr algn="ctr"/>
          <a:r>
            <a:rPr lang="en-GB" sz="1400">
              <a:latin typeface="Arial" panose="020B0604020202020204" pitchFamily="34" charset="0"/>
              <a:cs typeface="Arial" panose="020B0604020202020204" pitchFamily="34" charset="0"/>
            </a:rPr>
            <a:t>Were all the aspects regarding 'financial flexibility' compeletely touched (for example: 'profit-related pay' for the workers)? (Pollert, 2016 - p284)</a:t>
          </a:r>
        </a:p>
        <a:p>
          <a:pPr algn="l"/>
          <a:r>
            <a:rPr lang="en-GB" sz="1400">
              <a:latin typeface="Arial" panose="020B0604020202020204" pitchFamily="34" charset="0"/>
              <a:cs typeface="Arial" panose="020B0604020202020204" pitchFamily="34" charset="0"/>
            </a:rPr>
            <a:t>Case of Amazon: Although this company had recruited 100,000 workers in less than a month time (in March 2020), however, they had to adjust an increase by 2 U.S dollars per hour for the workers globally which led to the increase in the cost of 500 million U.S dollars compare with the exptected number of 350 million US dollars (Lee &amp; Gray 2020) -&gt; Can it be considered as financial flexibility?</a:t>
          </a:r>
        </a:p>
        <a:p>
          <a:pPr algn="ctr"/>
          <a:endParaRPr lang="en-GB" sz="1000"/>
        </a:p>
      </dgm:t>
    </dgm:pt>
    <dgm:pt modelId="{8E800438-4C06-AB41-B8AC-2C6D08B520A2}" type="parTrans" cxnId="{55B1A073-6146-E445-B995-763B4CAA5676}">
      <dgm:prSet/>
      <dgm:spPr/>
      <dgm:t>
        <a:bodyPr/>
        <a:lstStyle/>
        <a:p>
          <a:endParaRPr lang="en-GB"/>
        </a:p>
      </dgm:t>
    </dgm:pt>
    <dgm:pt modelId="{1B90927A-9B9B-8441-9E52-62519BAA33AD}" type="sibTrans" cxnId="{55B1A073-6146-E445-B995-763B4CAA5676}">
      <dgm:prSet/>
      <dgm:spPr/>
      <dgm:t>
        <a:bodyPr/>
        <a:lstStyle/>
        <a:p>
          <a:endParaRPr lang="en-GB"/>
        </a:p>
      </dgm:t>
    </dgm:pt>
    <dgm:pt modelId="{D6AF8D48-6DE8-7947-AD9E-7AB5842F4C51}">
      <dgm:prSet phldrT="[Text]"/>
      <dgm:spPr>
        <a:solidFill>
          <a:schemeClr val="accent2">
            <a:lumMod val="75000"/>
          </a:schemeClr>
        </a:solidFill>
      </dgm:spPr>
      <dgm:t>
        <a:bodyPr/>
        <a:lstStyle/>
        <a:p>
          <a:r>
            <a:rPr lang="en-GB">
              <a:latin typeface="Arial" panose="020B0604020202020204" pitchFamily="34" charset="0"/>
              <a:cs typeface="Arial" panose="020B0604020202020204" pitchFamily="34" charset="0"/>
            </a:rPr>
            <a:t>In term of 'gig economy' worker and temporary worker in the peripheral group, would the high labour turnover lead to the detrimental impacts on employee's engagement, commitment and loyalty? (Di Cintio &amp; Grassi, 2017)</a:t>
          </a:r>
        </a:p>
      </dgm:t>
    </dgm:pt>
    <dgm:pt modelId="{C38517BD-8432-ED47-BCAB-4B79C8077A5B}" type="parTrans" cxnId="{517A2D0D-3AFB-A943-A265-9240A125CCD6}">
      <dgm:prSet/>
      <dgm:spPr/>
      <dgm:t>
        <a:bodyPr/>
        <a:lstStyle/>
        <a:p>
          <a:endParaRPr lang="en-GB"/>
        </a:p>
      </dgm:t>
    </dgm:pt>
    <dgm:pt modelId="{86967765-983D-474F-9BF1-0BDC466A459D}" type="sibTrans" cxnId="{517A2D0D-3AFB-A943-A265-9240A125CCD6}">
      <dgm:prSet/>
      <dgm:spPr/>
      <dgm:t>
        <a:bodyPr/>
        <a:lstStyle/>
        <a:p>
          <a:endParaRPr lang="en-GB"/>
        </a:p>
      </dgm:t>
    </dgm:pt>
    <dgm:pt modelId="{CD2C4F5E-6BFC-2448-99C6-BDB85BF4402D}" type="pres">
      <dgm:prSet presAssocID="{2F7F3713-A3B4-234B-B117-BA6530271D6A}" presName="linearFlow" presStyleCnt="0">
        <dgm:presLayoutVars>
          <dgm:dir/>
          <dgm:resizeHandles val="exact"/>
        </dgm:presLayoutVars>
      </dgm:prSet>
      <dgm:spPr/>
    </dgm:pt>
    <dgm:pt modelId="{6956722F-1B65-5543-B3E3-9AD668F1D08C}" type="pres">
      <dgm:prSet presAssocID="{0F0775C2-0720-D540-9E32-F2609A8EEA8C}" presName="composite" presStyleCnt="0"/>
      <dgm:spPr/>
    </dgm:pt>
    <dgm:pt modelId="{A1AB6A24-5D80-664A-AB88-D86980008ED0}" type="pres">
      <dgm:prSet presAssocID="{0F0775C2-0720-D540-9E32-F2609A8EEA8C}" presName="imgShp" presStyleLbl="fgImgPlace1" presStyleIdx="0" presStyleCnt="3" custScaleX="51526" custScaleY="28827" custLinFactNeighborX="-47698" custLinFactNeighborY="-77"/>
      <dgm:spPr/>
    </dgm:pt>
    <dgm:pt modelId="{9891A93D-064A-6F4C-90D2-A5DB44574A3B}" type="pres">
      <dgm:prSet presAssocID="{0F0775C2-0720-D540-9E32-F2609A8EEA8C}" presName="txShp" presStyleLbl="node1" presStyleIdx="0" presStyleCnt="3" custScaleX="135578">
        <dgm:presLayoutVars>
          <dgm:bulletEnabled val="1"/>
        </dgm:presLayoutVars>
      </dgm:prSet>
      <dgm:spPr/>
    </dgm:pt>
    <dgm:pt modelId="{33295318-E42F-4D49-9825-17317D2172B0}" type="pres">
      <dgm:prSet presAssocID="{1630AD4F-9B8E-0E43-B1B6-247A78B6AE1B}" presName="spacing" presStyleCnt="0"/>
      <dgm:spPr/>
    </dgm:pt>
    <dgm:pt modelId="{0390F986-CDF0-8547-B9CB-AD3D6ED192A9}" type="pres">
      <dgm:prSet presAssocID="{0657FA53-8C83-1446-B8C4-646C1E0BC56F}" presName="composite" presStyleCnt="0"/>
      <dgm:spPr/>
    </dgm:pt>
    <dgm:pt modelId="{D935526E-41D6-EC4A-9EA4-245C90A79145}" type="pres">
      <dgm:prSet presAssocID="{0657FA53-8C83-1446-B8C4-646C1E0BC56F}" presName="imgShp" presStyleLbl="fgImgPlace1" presStyleIdx="1" presStyleCnt="3" custScaleX="55386" custScaleY="32507" custLinFactNeighborX="-51989" custLinFactNeighborY="-1060"/>
      <dgm:spPr/>
    </dgm:pt>
    <dgm:pt modelId="{CE13A3B9-81ED-E34C-8988-984BDEBAF01A}" type="pres">
      <dgm:prSet presAssocID="{0657FA53-8C83-1446-B8C4-646C1E0BC56F}" presName="txShp" presStyleLbl="node1" presStyleIdx="1" presStyleCnt="3" custScaleX="134803" custScaleY="244298">
        <dgm:presLayoutVars>
          <dgm:bulletEnabled val="1"/>
        </dgm:presLayoutVars>
      </dgm:prSet>
      <dgm:spPr/>
    </dgm:pt>
    <dgm:pt modelId="{F3DDCC94-957B-AD4C-941F-2DBE22B1A857}" type="pres">
      <dgm:prSet presAssocID="{1B90927A-9B9B-8441-9E52-62519BAA33AD}" presName="spacing" presStyleCnt="0"/>
      <dgm:spPr/>
    </dgm:pt>
    <dgm:pt modelId="{FFFA973A-1F38-6246-A0DE-033557B969A4}" type="pres">
      <dgm:prSet presAssocID="{D6AF8D48-6DE8-7947-AD9E-7AB5842F4C51}" presName="composite" presStyleCnt="0"/>
      <dgm:spPr/>
    </dgm:pt>
    <dgm:pt modelId="{26C9EDB0-1092-CE41-80AE-DF7E2B594A3A}" type="pres">
      <dgm:prSet presAssocID="{D6AF8D48-6DE8-7947-AD9E-7AB5842F4C51}" presName="imgShp" presStyleLbl="fgImgPlace1" presStyleIdx="2" presStyleCnt="3" custScaleX="49216" custScaleY="34500" custLinFactNeighborX="-62581" custLinFactNeighborY="-825"/>
      <dgm:spPr/>
    </dgm:pt>
    <dgm:pt modelId="{D185AE65-8A01-BF4F-989A-AF531C75805B}" type="pres">
      <dgm:prSet presAssocID="{D6AF8D48-6DE8-7947-AD9E-7AB5842F4C51}" presName="txShp" presStyleLbl="node1" presStyleIdx="2" presStyleCnt="3" custScaleX="134803">
        <dgm:presLayoutVars>
          <dgm:bulletEnabled val="1"/>
        </dgm:presLayoutVars>
      </dgm:prSet>
      <dgm:spPr/>
    </dgm:pt>
  </dgm:ptLst>
  <dgm:cxnLst>
    <dgm:cxn modelId="{517A2D0D-3AFB-A943-A265-9240A125CCD6}" srcId="{2F7F3713-A3B4-234B-B117-BA6530271D6A}" destId="{D6AF8D48-6DE8-7947-AD9E-7AB5842F4C51}" srcOrd="2" destOrd="0" parTransId="{C38517BD-8432-ED47-BCAB-4B79C8077A5B}" sibTransId="{86967765-983D-474F-9BF1-0BDC466A459D}"/>
    <dgm:cxn modelId="{FE13FF28-D7CB-124C-8182-75AE2D6485FD}" type="presOf" srcId="{0F0775C2-0720-D540-9E32-F2609A8EEA8C}" destId="{9891A93D-064A-6F4C-90D2-A5DB44574A3B}" srcOrd="0" destOrd="0" presId="urn:microsoft.com/office/officeart/2005/8/layout/vList3"/>
    <dgm:cxn modelId="{EA8B7C31-4D8D-D145-B865-9B8BEC537BD9}" srcId="{2F7F3713-A3B4-234B-B117-BA6530271D6A}" destId="{0F0775C2-0720-D540-9E32-F2609A8EEA8C}" srcOrd="0" destOrd="0" parTransId="{DC54860A-33FF-A341-8DCA-72A333ACE4F9}" sibTransId="{1630AD4F-9B8E-0E43-B1B6-247A78B6AE1B}"/>
    <dgm:cxn modelId="{F3D5F236-4911-6F4A-97C2-EBAF7405B27F}" type="presOf" srcId="{D6AF8D48-6DE8-7947-AD9E-7AB5842F4C51}" destId="{D185AE65-8A01-BF4F-989A-AF531C75805B}" srcOrd="0" destOrd="0" presId="urn:microsoft.com/office/officeart/2005/8/layout/vList3"/>
    <dgm:cxn modelId="{55B1A073-6146-E445-B995-763B4CAA5676}" srcId="{2F7F3713-A3B4-234B-B117-BA6530271D6A}" destId="{0657FA53-8C83-1446-B8C4-646C1E0BC56F}" srcOrd="1" destOrd="0" parTransId="{8E800438-4C06-AB41-B8AC-2C6D08B520A2}" sibTransId="{1B90927A-9B9B-8441-9E52-62519BAA33AD}"/>
    <dgm:cxn modelId="{12FE0B78-5115-934A-8B28-8EFBFF3072C4}" type="presOf" srcId="{0657FA53-8C83-1446-B8C4-646C1E0BC56F}" destId="{CE13A3B9-81ED-E34C-8988-984BDEBAF01A}" srcOrd="0" destOrd="0" presId="urn:microsoft.com/office/officeart/2005/8/layout/vList3"/>
    <dgm:cxn modelId="{5966E783-DAE1-D841-836C-EFF5D7D02CCB}" type="presOf" srcId="{2F7F3713-A3B4-234B-B117-BA6530271D6A}" destId="{CD2C4F5E-6BFC-2448-99C6-BDB85BF4402D}" srcOrd="0" destOrd="0" presId="urn:microsoft.com/office/officeart/2005/8/layout/vList3"/>
    <dgm:cxn modelId="{9D618D29-44A2-D741-9148-AD91EA4F70B5}" type="presParOf" srcId="{CD2C4F5E-6BFC-2448-99C6-BDB85BF4402D}" destId="{6956722F-1B65-5543-B3E3-9AD668F1D08C}" srcOrd="0" destOrd="0" presId="urn:microsoft.com/office/officeart/2005/8/layout/vList3"/>
    <dgm:cxn modelId="{93B59829-ECA5-D34A-A9C9-2A1155AD44C2}" type="presParOf" srcId="{6956722F-1B65-5543-B3E3-9AD668F1D08C}" destId="{A1AB6A24-5D80-664A-AB88-D86980008ED0}" srcOrd="0" destOrd="0" presId="urn:microsoft.com/office/officeart/2005/8/layout/vList3"/>
    <dgm:cxn modelId="{4616C946-3A07-BC4F-9EF8-6B37E5C496E0}" type="presParOf" srcId="{6956722F-1B65-5543-B3E3-9AD668F1D08C}" destId="{9891A93D-064A-6F4C-90D2-A5DB44574A3B}" srcOrd="1" destOrd="0" presId="urn:microsoft.com/office/officeart/2005/8/layout/vList3"/>
    <dgm:cxn modelId="{FE311D70-EC61-064D-8092-350A3280BDC2}" type="presParOf" srcId="{CD2C4F5E-6BFC-2448-99C6-BDB85BF4402D}" destId="{33295318-E42F-4D49-9825-17317D2172B0}" srcOrd="1" destOrd="0" presId="urn:microsoft.com/office/officeart/2005/8/layout/vList3"/>
    <dgm:cxn modelId="{37CBC0BC-1006-FA41-998C-3B571A0AC676}" type="presParOf" srcId="{CD2C4F5E-6BFC-2448-99C6-BDB85BF4402D}" destId="{0390F986-CDF0-8547-B9CB-AD3D6ED192A9}" srcOrd="2" destOrd="0" presId="urn:microsoft.com/office/officeart/2005/8/layout/vList3"/>
    <dgm:cxn modelId="{D2B0B1DC-5A2B-3744-95A3-750265399758}" type="presParOf" srcId="{0390F986-CDF0-8547-B9CB-AD3D6ED192A9}" destId="{D935526E-41D6-EC4A-9EA4-245C90A79145}" srcOrd="0" destOrd="0" presId="urn:microsoft.com/office/officeart/2005/8/layout/vList3"/>
    <dgm:cxn modelId="{71091BC1-19D8-B045-AAF9-8C67D0DBA6B8}" type="presParOf" srcId="{0390F986-CDF0-8547-B9CB-AD3D6ED192A9}" destId="{CE13A3B9-81ED-E34C-8988-984BDEBAF01A}" srcOrd="1" destOrd="0" presId="urn:microsoft.com/office/officeart/2005/8/layout/vList3"/>
    <dgm:cxn modelId="{79E1216B-5B29-F043-BCAE-CD2FFB7ABCB0}" type="presParOf" srcId="{CD2C4F5E-6BFC-2448-99C6-BDB85BF4402D}" destId="{F3DDCC94-957B-AD4C-941F-2DBE22B1A857}" srcOrd="3" destOrd="0" presId="urn:microsoft.com/office/officeart/2005/8/layout/vList3"/>
    <dgm:cxn modelId="{DB630F87-C783-C241-9E6D-E4E6753F35BF}" type="presParOf" srcId="{CD2C4F5E-6BFC-2448-99C6-BDB85BF4402D}" destId="{FFFA973A-1F38-6246-A0DE-033557B969A4}" srcOrd="4" destOrd="0" presId="urn:microsoft.com/office/officeart/2005/8/layout/vList3"/>
    <dgm:cxn modelId="{C905D384-7BF5-2942-A59D-E7203F7A4834}" type="presParOf" srcId="{FFFA973A-1F38-6246-A0DE-033557B969A4}" destId="{26C9EDB0-1092-CE41-80AE-DF7E2B594A3A}" srcOrd="0" destOrd="0" presId="urn:microsoft.com/office/officeart/2005/8/layout/vList3"/>
    <dgm:cxn modelId="{21B21811-A5FE-5848-BD6A-AE2E18D895D5}" type="presParOf" srcId="{FFFA973A-1F38-6246-A0DE-033557B969A4}" destId="{D185AE65-8A01-BF4F-989A-AF531C75805B}" srcOrd="1" destOrd="0" presId="urn:microsoft.com/office/officeart/2005/8/layout/vList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1A93D-064A-6F4C-90D2-A5DB44574A3B}">
      <dsp:nvSpPr>
        <dsp:cNvPr id="0" name=""/>
        <dsp:cNvSpPr/>
      </dsp:nvSpPr>
      <dsp:spPr>
        <a:xfrm rot="10800000">
          <a:off x="301004" y="1186"/>
          <a:ext cx="5515580" cy="964655"/>
        </a:xfrm>
        <a:prstGeom prst="homePlat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5386"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There are too many types of workers grouped in narrow categorise - would it be all efficient to evaluate a number of issues in detailed by that general groupping method (Pollert, 2016)</a:t>
          </a:r>
        </a:p>
      </dsp:txBody>
      <dsp:txXfrm rot="10800000">
        <a:off x="542168" y="1186"/>
        <a:ext cx="5274416" cy="964655"/>
      </dsp:txXfrm>
    </dsp:sp>
    <dsp:sp modelId="{A1AB6A24-5D80-664A-AB88-D86980008ED0}">
      <dsp:nvSpPr>
        <dsp:cNvPr id="0" name=""/>
        <dsp:cNvSpPr/>
      </dsp:nvSpPr>
      <dsp:spPr>
        <a:xfrm>
          <a:off x="316050" y="343730"/>
          <a:ext cx="497048" cy="278081"/>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E13A3B9-81ED-E34C-8988-984BDEBAF01A}">
      <dsp:nvSpPr>
        <dsp:cNvPr id="0" name=""/>
        <dsp:cNvSpPr/>
      </dsp:nvSpPr>
      <dsp:spPr>
        <a:xfrm rot="10800000">
          <a:off x="316768" y="1253798"/>
          <a:ext cx="5484052" cy="2356634"/>
        </a:xfrm>
        <a:prstGeom prst="homePlate">
          <a:avLst/>
        </a:prstGeom>
        <a:solidFill>
          <a:schemeClr val="accent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5386"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Were all the aspects regarding 'financial flexibility' compeletely touched (for example: 'profit-related pay' for the workers)? (Pollert, 2016 - p284)</a:t>
          </a:r>
        </a:p>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Case of Amazon: Although this company had recruited 100,000 workers in less than a month time (in March 2020), however, they had to adjust an increase by 2 U.S dollars per hour for the workers globally which led to the increase in the cost of 500 million U.S dollars compare with the exptected number of 350 million US dollars (Lee &amp; Gray 2020) -&gt; Can it be considered as financial flexibility?</a:t>
          </a:r>
        </a:p>
        <a:p>
          <a:pPr marL="0" lvl="0" indent="0" algn="ctr" defTabSz="622300">
            <a:lnSpc>
              <a:spcPct val="90000"/>
            </a:lnSpc>
            <a:spcBef>
              <a:spcPct val="0"/>
            </a:spcBef>
            <a:spcAft>
              <a:spcPct val="35000"/>
            </a:spcAft>
            <a:buNone/>
          </a:pPr>
          <a:endParaRPr lang="en-GB" sz="1000" kern="1200"/>
        </a:p>
      </dsp:txBody>
      <dsp:txXfrm rot="10800000">
        <a:off x="905926" y="1253798"/>
        <a:ext cx="4894894" cy="2356634"/>
      </dsp:txXfrm>
    </dsp:sp>
    <dsp:sp modelId="{D935526E-41D6-EC4A-9EA4-245C90A79145}">
      <dsp:nvSpPr>
        <dsp:cNvPr id="0" name=""/>
        <dsp:cNvSpPr/>
      </dsp:nvSpPr>
      <dsp:spPr>
        <a:xfrm>
          <a:off x="256039" y="2265099"/>
          <a:ext cx="534284" cy="313580"/>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185AE65-8A01-BF4F-989A-AF531C75805B}">
      <dsp:nvSpPr>
        <dsp:cNvPr id="0" name=""/>
        <dsp:cNvSpPr/>
      </dsp:nvSpPr>
      <dsp:spPr>
        <a:xfrm rot="10800000">
          <a:off x="316768" y="3898389"/>
          <a:ext cx="5484052" cy="964655"/>
        </a:xfrm>
        <a:prstGeom prst="homePlat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5386"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In term of 'gig economy' worker and temporary worker in the peripheral group, would the high labour turnover lead to the detrimental impacts on employee's engagement, commitment and loyalty? (Di Cintio &amp; Grassi, 2017)</a:t>
          </a:r>
        </a:p>
      </dsp:txBody>
      <dsp:txXfrm rot="10800000">
        <a:off x="557932" y="3898389"/>
        <a:ext cx="5242888" cy="964655"/>
      </dsp:txXfrm>
    </dsp:sp>
    <dsp:sp modelId="{26C9EDB0-1092-CE41-80AE-DF7E2B594A3A}">
      <dsp:nvSpPr>
        <dsp:cNvPr id="0" name=""/>
        <dsp:cNvSpPr/>
      </dsp:nvSpPr>
      <dsp:spPr>
        <a:xfrm>
          <a:off x="183622" y="4206355"/>
          <a:ext cx="474764" cy="332806"/>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BFEC0-404B-3146-9398-B58BE11DB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69</Pages>
  <Words>9336</Words>
  <Characters>53220</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Portfolio</vt:lpstr>
    </vt:vector>
  </TitlesOfParts>
  <Company>DBA course – February 2020 intake</Company>
  <LinksUpToDate>false</LinksUpToDate>
  <CharactersWithSpaces>62432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Resilience, talent and technology                                           (7 academic evidences)</dc:subject>
  <dc:creator>Thu Hang Le (2000465)</dc:creator>
  <cp:keywords/>
  <dc:description/>
  <cp:lastModifiedBy>Thu Le (2000465)</cp:lastModifiedBy>
  <cp:revision>174</cp:revision>
  <dcterms:created xsi:type="dcterms:W3CDTF">2020-08-18T14:27:00Z</dcterms:created>
  <dcterms:modified xsi:type="dcterms:W3CDTF">2020-10-21T01:43:00Z</dcterms:modified>
</cp:coreProperties>
</file>