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6EB27448" w:rsidR="00530E16" w:rsidRDefault="004468F8">
                            <w:pPr>
                              <w:spacing w:before="120" w:line="277" w:lineRule="auto"/>
                              <w:textDirection w:val="btLr"/>
                            </w:pPr>
                            <w:r>
                              <w:rPr>
                                <w:color w:val="404040"/>
                                <w:sz w:val="36"/>
                              </w:rPr>
                              <w:t xml:space="preserve">Student name: </w:t>
                            </w:r>
                            <w:r w:rsidR="001B582C">
                              <w:rPr>
                                <w:color w:val="404040"/>
                                <w:sz w:val="36"/>
                              </w:rPr>
                              <w:t>Nazish Mushtaq</w:t>
                            </w:r>
                          </w:p>
                          <w:p w14:paraId="07714B75" w14:textId="5A51E45E" w:rsidR="00530E16" w:rsidRDefault="004468F8">
                            <w:pPr>
                              <w:spacing w:before="120" w:line="277" w:lineRule="auto"/>
                              <w:textDirection w:val="btLr"/>
                            </w:pPr>
                            <w:r>
                              <w:rPr>
                                <w:color w:val="404040"/>
                                <w:sz w:val="36"/>
                              </w:rPr>
                              <w:t>Student ID:</w:t>
                            </w:r>
                            <w:r w:rsidR="001B582C">
                              <w:rPr>
                                <w:color w:val="404040"/>
                                <w:sz w:val="36"/>
                              </w:rPr>
                              <w:t>2545279</w:t>
                            </w:r>
                          </w:p>
                          <w:p w14:paraId="20688A91" w14:textId="2F6BE3A0" w:rsidR="00530E16" w:rsidRDefault="004468F8">
                            <w:pPr>
                              <w:spacing w:before="120" w:line="277" w:lineRule="auto"/>
                              <w:textDirection w:val="btLr"/>
                            </w:pPr>
                            <w:r>
                              <w:rPr>
                                <w:color w:val="404040"/>
                                <w:sz w:val="36"/>
                              </w:rPr>
                              <w:t xml:space="preserve">Lecturer’s Name: </w:t>
                            </w:r>
                            <w:r w:rsidR="001B582C">
                              <w:rPr>
                                <w:color w:val="404040"/>
                                <w:sz w:val="36"/>
                              </w:rPr>
                              <w:t>Koushik Modak</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6EB27448" w:rsidR="00530E16" w:rsidRDefault="004468F8">
                      <w:pPr>
                        <w:spacing w:before="120" w:line="277" w:lineRule="auto"/>
                        <w:textDirection w:val="btLr"/>
                      </w:pPr>
                      <w:r>
                        <w:rPr>
                          <w:color w:val="404040"/>
                          <w:sz w:val="36"/>
                        </w:rPr>
                        <w:t xml:space="preserve">Student name: </w:t>
                      </w:r>
                      <w:r w:rsidR="001B582C">
                        <w:rPr>
                          <w:color w:val="404040"/>
                          <w:sz w:val="36"/>
                        </w:rPr>
                        <w:t>Nazish Mushtaq</w:t>
                      </w:r>
                    </w:p>
                    <w:p w14:paraId="07714B75" w14:textId="5A51E45E" w:rsidR="00530E16" w:rsidRDefault="004468F8">
                      <w:pPr>
                        <w:spacing w:before="120" w:line="277" w:lineRule="auto"/>
                        <w:textDirection w:val="btLr"/>
                      </w:pPr>
                      <w:r>
                        <w:rPr>
                          <w:color w:val="404040"/>
                          <w:sz w:val="36"/>
                        </w:rPr>
                        <w:t>Student ID:</w:t>
                      </w:r>
                      <w:r w:rsidR="001B582C">
                        <w:rPr>
                          <w:color w:val="404040"/>
                          <w:sz w:val="36"/>
                        </w:rPr>
                        <w:t>2545279</w:t>
                      </w:r>
                    </w:p>
                    <w:p w14:paraId="20688A91" w14:textId="2F6BE3A0" w:rsidR="00530E16" w:rsidRDefault="004468F8">
                      <w:pPr>
                        <w:spacing w:before="120" w:line="277" w:lineRule="auto"/>
                        <w:textDirection w:val="btLr"/>
                      </w:pPr>
                      <w:r>
                        <w:rPr>
                          <w:color w:val="404040"/>
                          <w:sz w:val="36"/>
                        </w:rPr>
                        <w:t xml:space="preserve">Lecturer’s Name: </w:t>
                      </w:r>
                      <w:r w:rsidR="001B582C">
                        <w:rPr>
                          <w:color w:val="404040"/>
                          <w:sz w:val="36"/>
                        </w:rPr>
                        <w:t>Koushik Modak</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4503C221" w14:textId="77777777" w:rsidR="00530E16" w:rsidRDefault="004468F8">
      <w:pPr>
        <w:pStyle w:val="Heading1"/>
      </w:pPr>
      <w:bookmarkStart w:id="0" w:name="_Toc203606109"/>
      <w:r>
        <w:lastRenderedPageBreak/>
        <w:t>Section 1: Introducing the Research Paper and Topic Development</w:t>
      </w:r>
      <w:bookmarkEnd w:id="0"/>
    </w:p>
    <w:p w14:paraId="48E16877" w14:textId="5003F67A" w:rsidR="00530E16" w:rsidRPr="00DD31E8" w:rsidRDefault="00210D5A" w:rsidP="00E10231">
      <w:pPr>
        <w:spacing w:line="360" w:lineRule="auto"/>
        <w:jc w:val="both"/>
        <w:rPr>
          <w:color w:val="002060"/>
          <w:sz w:val="32"/>
          <w:szCs w:val="32"/>
        </w:rPr>
      </w:pPr>
      <w:bookmarkStart w:id="1" w:name="_Toc203606110"/>
      <w:r w:rsidRPr="00DD31E8">
        <w:rPr>
          <w:color w:val="002060"/>
          <w:sz w:val="32"/>
          <w:szCs w:val="32"/>
        </w:rPr>
        <w:t>1.1 Paper</w:t>
      </w:r>
      <w:r w:rsidR="004468F8" w:rsidRPr="00DD31E8">
        <w:rPr>
          <w:color w:val="002060"/>
          <w:sz w:val="32"/>
          <w:szCs w:val="32"/>
        </w:rPr>
        <w:t xml:space="preserve"> Details (Title, Author(s) and Year of Publication)</w:t>
      </w:r>
      <w:bookmarkEnd w:id="1"/>
    </w:p>
    <w:p w14:paraId="30FB5D43" w14:textId="7A18F799" w:rsidR="004468F8" w:rsidRPr="00DD31E8" w:rsidRDefault="00DD31E8">
      <w:pPr>
        <w:spacing w:line="360" w:lineRule="auto"/>
        <w:jc w:val="both"/>
        <w:rPr>
          <w:rFonts w:ascii="Arial" w:eastAsia="Arial" w:hAnsi="Arial" w:cs="Arial"/>
          <w:color w:val="000000" w:themeColor="text1"/>
          <w:sz w:val="22"/>
          <w:szCs w:val="22"/>
        </w:rPr>
      </w:pPr>
      <w:r w:rsidRPr="00DD31E8">
        <w:rPr>
          <w:rFonts w:ascii="Arial" w:eastAsia="Arial" w:hAnsi="Arial" w:cs="Arial"/>
          <w:color w:val="000000" w:themeColor="text1"/>
          <w:sz w:val="22"/>
          <w:szCs w:val="22"/>
        </w:rPr>
        <w:t>McDonald, Lester and Michelson (2023) authored an article titled ‘She didn’t know how to go back’: School attendance problems in the context of the COVID-19 pandemic. A multiple stakeholder qualitative study with parents and professionals. This research was published in the British Journal of Educational Psychology because the authors wanted to investigate a difficult issue occurring after the global health crisis. Experts claim that primary-aged students faced many difficulties when they tried to enter their educational institution again after the closures. The report was written so that families and educational institutions could learn to respond with more success.</w:t>
      </w:r>
    </w:p>
    <w:p w14:paraId="3635A443" w14:textId="54191883" w:rsidR="00530E16" w:rsidRDefault="00E10231">
      <w:pPr>
        <w:pStyle w:val="Heading2"/>
        <w:jc w:val="both"/>
      </w:pPr>
      <w:bookmarkStart w:id="2" w:name="_Toc203606111"/>
      <w:r>
        <w:t>1.2 Main</w:t>
      </w:r>
      <w:r w:rsidR="004468F8">
        <w:t xml:space="preserve"> Topic or Problem Explored in the Paper</w:t>
      </w:r>
      <w:bookmarkEnd w:id="2"/>
    </w:p>
    <w:p w14:paraId="480EFF4A" w14:textId="77777777" w:rsidR="00DD31E8" w:rsidRDefault="00DD31E8" w:rsidP="00DD31E8">
      <w:pPr>
        <w:spacing w:after="200" w:line="360" w:lineRule="auto"/>
      </w:pPr>
      <w:bookmarkStart w:id="3" w:name="_Toc203606112"/>
      <w:r>
        <w:rPr>
          <w:rFonts w:ascii="Arial" w:eastAsia="Arial" w:hAnsi="Arial" w:cs="Arial"/>
          <w:sz w:val="22"/>
          <w:szCs w:val="22"/>
        </w:rPr>
        <w:t>School attendance problems (SAPs) represent the primary difficulty discussed, particularly when absence is linked with anxiety, special educational needs (SEN), and family stress. It has been observed that school attendance problems are often connected to broken routines and difficult relationships between the home and the educational institution. Although the article sits within educational psychology, school attendance problems are significant for health and social care. Poor attendance is seen to impact the mental well-being of young individuals while also affecting how families access help. McDonald et al. (2023) state that the pandemic did not create a new issue but instead made existing weaknesses in the system much worse.</w:t>
      </w:r>
    </w:p>
    <w:p w14:paraId="6D821233" w14:textId="62E0F415" w:rsidR="00530E16" w:rsidRDefault="00E10231">
      <w:pPr>
        <w:pStyle w:val="Heading2"/>
        <w:jc w:val="both"/>
      </w:pPr>
      <w:r>
        <w:t>1.3 Who</w:t>
      </w:r>
      <w:r w:rsidR="004468F8">
        <w:t xml:space="preserve"> Is the Research About?</w:t>
      </w:r>
      <w:bookmarkEnd w:id="3"/>
    </w:p>
    <w:p w14:paraId="0E99C752" w14:textId="77777777" w:rsidR="00DD31E8" w:rsidRPr="00DD31E8" w:rsidRDefault="00DD31E8" w:rsidP="00DD31E8">
      <w:r w:rsidRPr="00DD31E8">
        <w:t>Parents of children who go to state-funded primary educational institutions in Sussex are the primary focus of this study. These individuals dealt with school attendance problems during the 2020–2021 academic year while individuals in professional working positions and other workers were also interviewed. Because school attendance problems are not solved by a single individual, this dual perspective is very helpful. It is argued by researchers that the needs of the child and the actions of the parents both play a role. Local authority rules and the way an educational institution operates also influence how school attendance problems develop.</w:t>
      </w:r>
    </w:p>
    <w:p w14:paraId="389C4A65" w14:textId="77777777" w:rsidR="00DD31E8" w:rsidRPr="00DD31E8" w:rsidRDefault="00DD31E8" w:rsidP="00DD31E8"/>
    <w:p w14:paraId="06A36977" w14:textId="174ECD6F" w:rsidR="00530E16" w:rsidRDefault="00E10231">
      <w:pPr>
        <w:pStyle w:val="Heading2"/>
        <w:jc w:val="both"/>
      </w:pPr>
      <w:bookmarkStart w:id="4" w:name="_Toc203606113"/>
      <w:r>
        <w:lastRenderedPageBreak/>
        <w:t>1.4 Why</w:t>
      </w:r>
      <w:r w:rsidR="004468F8">
        <w:t xml:space="preserve"> Is This Topic Important in UK Health and Social Care?</w:t>
      </w:r>
      <w:bookmarkEnd w:id="4"/>
    </w:p>
    <w:p w14:paraId="3E4C1A22" w14:textId="77777777" w:rsidR="00DD31E8" w:rsidRPr="00DD31E8" w:rsidRDefault="00DD31E8" w:rsidP="00DD31E8">
      <w:pPr>
        <w:spacing w:line="360" w:lineRule="auto"/>
        <w:jc w:val="both"/>
        <w:rPr>
          <w:rFonts w:ascii="Arial" w:eastAsia="Arial" w:hAnsi="Arial" w:cs="Arial"/>
          <w:sz w:val="22"/>
          <w:szCs w:val="22"/>
        </w:rPr>
      </w:pPr>
      <w:r w:rsidRPr="00DD31E8">
        <w:rPr>
          <w:rFonts w:ascii="Arial" w:eastAsia="Arial" w:hAnsi="Arial" w:cs="Arial"/>
          <w:sz w:val="22"/>
          <w:szCs w:val="22"/>
        </w:rPr>
        <w:t>Within the UK, school attendance problems are significant because staying away from the educational institution leads to lower grades and less contact with friends (Kearney and Graczyk, 2014; Gubbels, van der Put and Assink, 2019). Experts claim that families often need help from health and social care workers when school attendance problems occur alongside mental health issues. A major benefit of this article is that school attendance problems are viewed as a complex ecological issue rather than just a refusal to follow rules. Even though the study is useful, the findings are limited because the group of people studied lived in one area and were mostly mothers, which means the findings may not apply to all UK families.</w:t>
      </w:r>
    </w:p>
    <w:p w14:paraId="6EDF5A18" w14:textId="77777777" w:rsidR="004468F8" w:rsidRDefault="004468F8">
      <w:pPr>
        <w:spacing w:line="360" w:lineRule="auto"/>
        <w:jc w:val="both"/>
        <w:rPr>
          <w:rFonts w:ascii="Arial" w:eastAsia="Arial" w:hAnsi="Arial" w:cs="Arial"/>
          <w:sz w:val="22"/>
          <w:szCs w:val="22"/>
        </w:rPr>
      </w:pPr>
    </w:p>
    <w:p w14:paraId="7EC53AFE" w14:textId="11335A39" w:rsidR="004468F8" w:rsidRPr="00DD31E8" w:rsidRDefault="004468F8" w:rsidP="00DD31E8">
      <w:pPr>
        <w:pStyle w:val="Heading1"/>
        <w:jc w:val="both"/>
      </w:pPr>
      <w:bookmarkStart w:id="5" w:name="_Toc203606114"/>
      <w:r>
        <w:t>Section 2: Understanding the Purpose and Research Question</w:t>
      </w:r>
      <w:bookmarkEnd w:id="5"/>
    </w:p>
    <w:p w14:paraId="6F7529E4" w14:textId="04CF172D" w:rsidR="004468F8" w:rsidRDefault="00210D5A">
      <w:pPr>
        <w:pStyle w:val="Heading2"/>
        <w:jc w:val="both"/>
      </w:pPr>
      <w:bookmarkStart w:id="6" w:name="_Toc203606115"/>
      <w:r>
        <w:t>2.1 Research</w:t>
      </w:r>
      <w:r w:rsidR="004468F8">
        <w:t xml:space="preserve"> Question(s) or Objectives</w:t>
      </w:r>
      <w:bookmarkEnd w:id="6"/>
    </w:p>
    <w:p w14:paraId="259FC6AC" w14:textId="6D1569B0" w:rsidR="00DD31E8" w:rsidRDefault="00DD31E8" w:rsidP="00DD31E8">
      <w:r w:rsidRPr="00DD31E8">
        <w:t>Understanding how school attendance problems appeared for primary-aged children during the COVID-19 time was the main goal for the researchers. The study looked for types of support that different people thought would be helpful. Specifically, the factors that lead to school attendance problems were explored alongside the help that was already given. Many people believe that the effectiveness of this help must be studied to create better plans. Generating knowledge about the lives of families while making sure that support is available for children and their educational institution was the ultimate purpose (McDonald, Lester and Michelson, 2023).</w:t>
      </w:r>
    </w:p>
    <w:p w14:paraId="6007C806" w14:textId="77777777" w:rsidR="00DD31E8" w:rsidRPr="00DD31E8" w:rsidRDefault="00DD31E8" w:rsidP="00DD31E8"/>
    <w:p w14:paraId="63BD9E0B" w14:textId="69846452" w:rsidR="004468F8" w:rsidRPr="00DD31E8" w:rsidRDefault="004468F8" w:rsidP="00DD31E8">
      <w:pPr>
        <w:pStyle w:val="Heading1"/>
        <w:jc w:val="both"/>
      </w:pPr>
      <w:bookmarkStart w:id="7" w:name="_Toc203606116"/>
      <w:r>
        <w:t>Section 3: Understanding the Research Methods</w:t>
      </w:r>
      <w:bookmarkEnd w:id="7"/>
    </w:p>
    <w:p w14:paraId="7C64E5FB" w14:textId="25122959" w:rsidR="004468F8" w:rsidRDefault="00E10231">
      <w:pPr>
        <w:pStyle w:val="Heading2"/>
        <w:jc w:val="both"/>
      </w:pPr>
      <w:bookmarkStart w:id="8" w:name="_Toc203606117"/>
      <w:r>
        <w:t>3.1 Overview</w:t>
      </w:r>
      <w:r w:rsidR="004468F8">
        <w:t xml:space="preserve"> of Quantitative, Qualitative, and Mixed-Methods Research</w:t>
      </w:r>
      <w:bookmarkEnd w:id="8"/>
    </w:p>
    <w:p w14:paraId="67A9437E" w14:textId="26657FEC" w:rsidR="004468F8" w:rsidRPr="00DD31E8" w:rsidRDefault="00DD31E8" w:rsidP="00DD31E8">
      <w:pPr>
        <w:spacing w:after="200" w:line="360" w:lineRule="auto"/>
        <w:rPr>
          <w:rFonts w:ascii="Times New Roman" w:eastAsia="Times New Roman" w:hAnsi="Times New Roman" w:cs="Times New Roman"/>
          <w:sz w:val="20"/>
          <w:szCs w:val="20"/>
        </w:rPr>
      </w:pPr>
      <w:r w:rsidRPr="00DD31E8">
        <w:rPr>
          <w:rFonts w:ascii="Arial" w:eastAsia="Arial" w:hAnsi="Arial" w:cs="Arial"/>
          <w:sz w:val="22"/>
          <w:szCs w:val="22"/>
        </w:rPr>
        <w:t xml:space="preserve">Numerical data is utilized by Quantitative research when people want to measure patterns or the relationship between different variables. In the sectors of health and social care, individuals often perform a survey to measure scores of anxieties before a medical professional provides help. Many experts claim that the strength of this method is the ability to identify trends on a large scale. While Quantitative research shows these trends, the meaning within the experiences of people is often missed (Creswell and Creswell, 2018). </w:t>
      </w:r>
      <w:r w:rsidRPr="00DD31E8">
        <w:rPr>
          <w:rFonts w:ascii="Arial" w:eastAsia="Arial" w:hAnsi="Arial" w:cs="Arial"/>
          <w:sz w:val="22"/>
          <w:szCs w:val="22"/>
        </w:rPr>
        <w:lastRenderedPageBreak/>
        <w:t xml:space="preserve">Depth is sought by Qualitative research instead of focusing on measurement. Researchers conduct interviews, focus groups, or look at text responses because they want to explore how participants understand events. This method is particularly helpful when a medical professional wants to understand sensitive issues like parental blame or barriers to support (Creswell and </w:t>
      </w:r>
      <w:proofErr w:type="spellStart"/>
      <w:r w:rsidRPr="00DD31E8">
        <w:rPr>
          <w:rFonts w:ascii="Arial" w:eastAsia="Arial" w:hAnsi="Arial" w:cs="Arial"/>
          <w:sz w:val="22"/>
          <w:szCs w:val="22"/>
        </w:rPr>
        <w:t>Poth</w:t>
      </w:r>
      <w:proofErr w:type="spellEnd"/>
      <w:r w:rsidRPr="00DD31E8">
        <w:rPr>
          <w:rFonts w:ascii="Arial" w:eastAsia="Arial" w:hAnsi="Arial" w:cs="Arial"/>
          <w:sz w:val="22"/>
          <w:szCs w:val="22"/>
        </w:rPr>
        <w:t>, 2018). Mixed-methods research joins together the approaches of quantitative and qualitative work. An example of this occurs when records of presence are used to find patterns while interviews are used to explain the reason these patterns exist (Morse, 2010). A mixed-methods design is powerful when the different types of data are integrated together well.</w:t>
      </w:r>
    </w:p>
    <w:p w14:paraId="638F19CE" w14:textId="7F9093E6" w:rsidR="004468F8" w:rsidRDefault="00E10231">
      <w:pPr>
        <w:pStyle w:val="Heading2"/>
        <w:jc w:val="both"/>
      </w:pPr>
      <w:bookmarkStart w:id="9" w:name="_Toc203606118"/>
      <w:r>
        <w:t>3.2 Research</w:t>
      </w:r>
      <w:r w:rsidR="004468F8">
        <w:t xml:space="preserve"> Methodology Used in Your Chosen Paper and Why</w:t>
      </w:r>
      <w:bookmarkEnd w:id="9"/>
    </w:p>
    <w:p w14:paraId="7DFDEF7A" w14:textId="77777777" w:rsidR="00DD31E8" w:rsidRDefault="00DD31E8" w:rsidP="00DD31E8">
      <w:pPr>
        <w:spacing w:after="200" w:line="360" w:lineRule="auto"/>
      </w:pPr>
      <w:bookmarkStart w:id="10" w:name="_Toc203606119"/>
      <w:r>
        <w:rPr>
          <w:rFonts w:ascii="Arial" w:eastAsia="Arial" w:hAnsi="Arial" w:cs="Arial"/>
          <w:sz w:val="22"/>
          <w:szCs w:val="22"/>
        </w:rPr>
        <w:t>A qualitative, sequential design was utilized by McDonald et al. (2023) for their study. During Phase 1, open-text survey responses were gathered from 29 parents and 19 professionals. Phase 2 involved semi-structured interviews with 10 parents and 12 professionals because the findings of the survey helped inform the questions. It has been observed that the article calls the design qualitative and mixed method even though the study only used two qualitative methods. Because this study did not combine qualitative and quantitative data for one analysis, the study is not mixed methods in the strict way. Research Methodology focuses on words and accounts from stakeholders instead of testing statistics.</w:t>
      </w:r>
    </w:p>
    <w:p w14:paraId="11D915C2" w14:textId="77777777" w:rsidR="00DD31E8" w:rsidRDefault="00DD31E8" w:rsidP="00DD31E8">
      <w:pPr>
        <w:spacing w:after="200" w:line="360" w:lineRule="auto"/>
      </w:pPr>
      <w:r>
        <w:rPr>
          <w:rFonts w:ascii="Arial" w:eastAsia="Arial" w:hAnsi="Arial" w:cs="Arial"/>
          <w:sz w:val="22"/>
          <w:szCs w:val="22"/>
        </w:rPr>
        <w:t xml:space="preserve">The selected Research Methodology was appropriate because the questions of the study asked about what was occurring rather than asking how many children were affected. Since problems with presence at the educational institution involve how people interpret things, a parent might see absence as anxiety while a person at the educational institution sees the absence as avoidant </w:t>
      </w:r>
      <w:proofErr w:type="spellStart"/>
      <w:r>
        <w:rPr>
          <w:rFonts w:ascii="Arial" w:eastAsia="Arial" w:hAnsi="Arial" w:cs="Arial"/>
          <w:sz w:val="22"/>
          <w:szCs w:val="22"/>
        </w:rPr>
        <w:t>behavior</w:t>
      </w:r>
      <w:proofErr w:type="spellEnd"/>
      <w:r>
        <w:rPr>
          <w:rFonts w:ascii="Arial" w:eastAsia="Arial" w:hAnsi="Arial" w:cs="Arial"/>
          <w:sz w:val="22"/>
          <w:szCs w:val="22"/>
        </w:rPr>
        <w:t>. Many researchers believe that interviews and open-ended survey questions allow these different views to come forward. This approach gives the study a lot of richness which helps when people make recommendations for rebuilding relationships. Provision for individuals with special needs and peer support are improved when these tensions are understood through the Research Methodology.</w:t>
      </w:r>
    </w:p>
    <w:p w14:paraId="50245F75" w14:textId="77777777" w:rsidR="00DD31E8" w:rsidRDefault="00DD31E8" w:rsidP="00DD31E8">
      <w:pPr>
        <w:spacing w:after="200" w:line="360" w:lineRule="auto"/>
      </w:pPr>
      <w:r>
        <w:rPr>
          <w:rFonts w:ascii="Arial" w:eastAsia="Arial" w:hAnsi="Arial" w:cs="Arial"/>
          <w:sz w:val="22"/>
          <w:szCs w:val="22"/>
        </w:rPr>
        <w:t>Specific limitations are contained within the Research Methodology. Because recruitment happened through social media, parents who were very motivated to talk about their hard experiences were likely attracted to the study. A local network in Southern England was used to find professionals, which means the pressures in other regions of the UK might not be shown. It is argued by critics that the diversity of the study is weak because the sample of parents only had White British mothers. Fathers were excluded from the perspectives in the study. These limitations do not make the findings wrong, but the paper must be seen as an exploratory study instead of being the final evidence for all educational institutions in the UK.</w:t>
      </w:r>
    </w:p>
    <w:p w14:paraId="6B925483" w14:textId="18AC6F32" w:rsidR="004468F8" w:rsidRDefault="004468F8">
      <w:pPr>
        <w:pStyle w:val="Heading2"/>
        <w:jc w:val="both"/>
      </w:pPr>
      <w:r>
        <w:lastRenderedPageBreak/>
        <w:t>3.3 Primary and Secondary Data: Definitions, Differences, and Application to Your Paper</w:t>
      </w:r>
      <w:bookmarkEnd w:id="10"/>
    </w:p>
    <w:p w14:paraId="29B0F3E0" w14:textId="77777777" w:rsidR="00DD31E8" w:rsidRDefault="00DD31E8" w:rsidP="00DD31E8">
      <w:pPr>
        <w:spacing w:after="200" w:line="360" w:lineRule="auto"/>
      </w:pPr>
      <w:bookmarkStart w:id="11" w:name="_Toc203606120"/>
      <w:r>
        <w:rPr>
          <w:rFonts w:ascii="Arial" w:eastAsia="Arial" w:hAnsi="Arial" w:cs="Arial"/>
          <w:sz w:val="22"/>
          <w:szCs w:val="22"/>
        </w:rPr>
        <w:t>Researchers gather primary data directly when the purpose of a study requires specific information. Experts claim that secondary data represents existing information that was gathered by other people for different reasons, such as government statistics, previous research, or service records (Bryman, 2016). In McDonald et al. (2023), the main data remained primary because the researchers collected new survey responses and interview accounts from parents and professionals. This article also utilizes secondary sources within the literature review, which include previous studies and Department for Education attendance statistics, because these sources justify the research problem.</w:t>
      </w:r>
    </w:p>
    <w:p w14:paraId="04889153" w14:textId="77777777" w:rsidR="00DD31E8" w:rsidRDefault="00DD31E8" w:rsidP="00DD31E8">
      <w:pPr>
        <w:spacing w:after="200" w:line="360" w:lineRule="auto"/>
      </w:pPr>
      <w:r>
        <w:rPr>
          <w:rFonts w:ascii="Arial" w:eastAsia="Arial" w:hAnsi="Arial" w:cs="Arial"/>
          <w:sz w:val="22"/>
          <w:szCs w:val="22"/>
        </w:rPr>
        <w:t xml:space="preserve">Specific steps were followed during the data collection process. It has been observed that Phase 1 used six open-ended survey questions tailored separately to parents and professionals </w:t>
      </w:r>
      <w:r>
        <w:rPr>
          <w:rFonts w:ascii="Arial" w:eastAsia="Arial" w:hAnsi="Arial" w:cs="Arial"/>
          <w:b/>
          <w:bCs/>
          <w:sz w:val="22"/>
          <w:szCs w:val="22"/>
        </w:rPr>
        <w:t>(Braun et al., 2020)</w:t>
      </w:r>
      <w:r>
        <w:rPr>
          <w:rFonts w:ascii="Arial" w:eastAsia="Arial" w:hAnsi="Arial" w:cs="Arial"/>
          <w:sz w:val="22"/>
          <w:szCs w:val="22"/>
        </w:rPr>
        <w:t>. Key issues were identified through this initial map, such as COVID-related anxiety, disrupted routines, academic catch-up, poor communication, and support needs. Phase 2 subsequently used semi-structured interviews, lasting around 45–60 minutes, through telephone or zoom. This method was appropriate because interviews allow researchers to explore complex experiences in greater depth than survey boxes alone.</w:t>
      </w:r>
    </w:p>
    <w:p w14:paraId="063BD26E" w14:textId="77777777" w:rsidR="00DD31E8" w:rsidRDefault="00DD31E8" w:rsidP="00DD31E8">
      <w:pPr>
        <w:spacing w:after="200" w:line="360" w:lineRule="auto"/>
        <w:rPr>
          <w:rFonts w:ascii="Arial" w:eastAsia="Arial" w:hAnsi="Arial" w:cs="Arial"/>
          <w:sz w:val="22"/>
          <w:szCs w:val="22"/>
        </w:rPr>
      </w:pPr>
      <w:r>
        <w:rPr>
          <w:rFonts w:ascii="Arial" w:eastAsia="Arial" w:hAnsi="Arial" w:cs="Arial"/>
          <w:sz w:val="22"/>
          <w:szCs w:val="22"/>
        </w:rPr>
        <w:t xml:space="preserve">Thematic framework analysis was utilized for the analysis, because researchers wanted to combine deductive coding shaped by research questions with inductive coding derived from participants’ responses. Gale et al. (2013) describe framework analysis as a systematic and flexible method suited to multidisciplinary health research because this method organizes qualitative data into categories while preserving links to participants’ accounts. In the chosen paper, three broad thematic areas were produced: contributors to SAPs, responses to SAPs, and areas for additional support. Many people believe that transparency is a critical advantage because readers can see how practical recommendations were linked to recurring themes. Even though qualitative analysis still involves interpretation, the lead author’s background as a primary educational institution teacher may have strengthened contextual understanding. This background also required reflexivity so that the author could avoid over-identifying with </w:t>
      </w:r>
      <w:proofErr w:type="gramStart"/>
      <w:r>
        <w:rPr>
          <w:rFonts w:ascii="Arial" w:eastAsia="Arial" w:hAnsi="Arial" w:cs="Arial"/>
          <w:sz w:val="22"/>
          <w:szCs w:val="22"/>
        </w:rPr>
        <w:t>particular stakeholder</w:t>
      </w:r>
      <w:proofErr w:type="gramEnd"/>
      <w:r>
        <w:rPr>
          <w:rFonts w:ascii="Arial" w:eastAsia="Arial" w:hAnsi="Arial" w:cs="Arial"/>
          <w:sz w:val="22"/>
          <w:szCs w:val="22"/>
        </w:rPr>
        <w:t xml:space="preserve"> positions. The article addresses this situation by noting regular discussions among authors that challenge assumptions.</w:t>
      </w:r>
    </w:p>
    <w:p w14:paraId="6CF680F2" w14:textId="77777777" w:rsidR="00DD31E8" w:rsidRDefault="00DD31E8" w:rsidP="00DD31E8">
      <w:pPr>
        <w:spacing w:after="200" w:line="360" w:lineRule="auto"/>
      </w:pPr>
    </w:p>
    <w:p w14:paraId="5625A96E" w14:textId="77777777" w:rsidR="00530E16" w:rsidRDefault="004468F8">
      <w:pPr>
        <w:pStyle w:val="Heading1"/>
        <w:jc w:val="both"/>
      </w:pPr>
      <w:r>
        <w:lastRenderedPageBreak/>
        <w:t>Section 4: Conclusion</w:t>
      </w:r>
      <w:bookmarkEnd w:id="11"/>
    </w:p>
    <w:p w14:paraId="6D684319" w14:textId="77777777" w:rsidR="00DD31E8" w:rsidRDefault="00DD31E8" w:rsidP="00DD31E8">
      <w:pPr>
        <w:spacing w:after="200" w:line="360" w:lineRule="auto"/>
      </w:pPr>
      <w:r>
        <w:rPr>
          <w:rFonts w:ascii="Arial" w:eastAsia="Arial" w:hAnsi="Arial" w:cs="Arial"/>
          <w:sz w:val="22"/>
          <w:szCs w:val="22"/>
        </w:rPr>
        <w:t>McDonald, Lester and Michelson’s (2023) qualitative study regarding school attendance problems after COVID-19 was examined in this report. This research demonstrates that attendance difficulties among primary-aged children cannot be reduced to poor parenting or simple refusal. Instead, attendance difficulties are shaped by overlapping factors, including child anxiety, SEN, disrupted educational institution routines, family stress, statutory pressure, and the quality of home–school relationships. It has been observed that the study’s qualitative methodology was appropriate because this methodology allowed parents’ and professionals’ different interpretations to be explored in depth.</w:t>
      </w:r>
    </w:p>
    <w:p w14:paraId="53E2FF81" w14:textId="77777777" w:rsidR="00DD31E8" w:rsidRDefault="00DD31E8" w:rsidP="00DD31E8">
      <w:pPr>
        <w:spacing w:after="200" w:line="360" w:lineRule="auto"/>
      </w:pPr>
      <w:r>
        <w:rPr>
          <w:rFonts w:ascii="Arial" w:eastAsia="Arial" w:hAnsi="Arial" w:cs="Arial"/>
          <w:sz w:val="22"/>
          <w:szCs w:val="22"/>
        </w:rPr>
        <w:t>The report also explained quantitative, qualitative, and mixed-methods research, and primary qualitative data from surveys and interviews was used by the authors within the chosen article. Many people believe that the framework analysis was systematic and generated clear practice themes, but the study’s limited geographical and demographic range means that these findings should be applied cautiously. Research literacy involves judging whether the method fits the question, whether the sample is credible, and whether conclusions are supported by evidence. In health and social care, these skills are significant because decisions about children and families must be informed by both robust evidence and compassionate understanding.</w:t>
      </w:r>
    </w:p>
    <w:p w14:paraId="5860754A" w14:textId="03D742DF" w:rsidR="004468F8" w:rsidRPr="00E10231" w:rsidRDefault="004468F8">
      <w:pPr>
        <w:spacing w:line="360" w:lineRule="auto"/>
        <w:jc w:val="both"/>
        <w:rPr>
          <w:rFonts w:ascii="Arial" w:eastAsia="Arial" w:hAnsi="Arial" w:cs="Arial"/>
          <w:i/>
          <w:iCs/>
          <w:color w:val="FF0000"/>
          <w:sz w:val="22"/>
          <w:szCs w:val="22"/>
        </w:rPr>
      </w:pPr>
    </w:p>
    <w:p w14:paraId="07807D1D" w14:textId="77777777" w:rsidR="004468F8" w:rsidRDefault="004468F8">
      <w:pPr>
        <w:spacing w:line="360" w:lineRule="auto"/>
        <w:jc w:val="both"/>
        <w:rPr>
          <w:rFonts w:ascii="Arial" w:eastAsia="Arial" w:hAnsi="Arial" w:cs="Arial"/>
          <w:sz w:val="22"/>
          <w:szCs w:val="22"/>
        </w:rPr>
      </w:pPr>
    </w:p>
    <w:p w14:paraId="674C8438" w14:textId="77777777" w:rsidR="004468F8" w:rsidRDefault="004468F8">
      <w:pPr>
        <w:spacing w:line="360" w:lineRule="auto"/>
        <w:jc w:val="both"/>
        <w:rPr>
          <w:rFonts w:ascii="Arial" w:eastAsia="Arial" w:hAnsi="Arial" w:cs="Arial"/>
          <w:sz w:val="22"/>
          <w:szCs w:val="22"/>
        </w:rPr>
      </w:pPr>
    </w:p>
    <w:p w14:paraId="7D794B81" w14:textId="77777777" w:rsidR="004468F8" w:rsidRDefault="004468F8">
      <w:pPr>
        <w:spacing w:line="360" w:lineRule="auto"/>
        <w:jc w:val="both"/>
        <w:rPr>
          <w:rFonts w:ascii="Arial" w:eastAsia="Arial" w:hAnsi="Arial" w:cs="Arial"/>
          <w:sz w:val="22"/>
          <w:szCs w:val="22"/>
        </w:rPr>
      </w:pPr>
    </w:p>
    <w:p w14:paraId="31529B09" w14:textId="77777777" w:rsidR="004468F8" w:rsidRDefault="004468F8">
      <w:pPr>
        <w:spacing w:line="360" w:lineRule="auto"/>
        <w:jc w:val="both"/>
        <w:rPr>
          <w:rFonts w:ascii="Arial" w:eastAsia="Arial" w:hAnsi="Arial" w:cs="Arial"/>
          <w:sz w:val="22"/>
          <w:szCs w:val="22"/>
        </w:rPr>
      </w:pPr>
    </w:p>
    <w:p w14:paraId="491275D2" w14:textId="77777777" w:rsidR="004468F8" w:rsidRDefault="004468F8">
      <w:pPr>
        <w:spacing w:line="360" w:lineRule="auto"/>
        <w:jc w:val="both"/>
        <w:rPr>
          <w:rFonts w:ascii="Arial" w:eastAsia="Arial" w:hAnsi="Arial" w:cs="Arial"/>
          <w:sz w:val="22"/>
          <w:szCs w:val="22"/>
        </w:rPr>
      </w:pPr>
    </w:p>
    <w:p w14:paraId="643ED30D" w14:textId="77777777" w:rsidR="004468F8" w:rsidRDefault="004468F8">
      <w:pPr>
        <w:spacing w:line="360" w:lineRule="auto"/>
        <w:jc w:val="both"/>
        <w:rPr>
          <w:rFonts w:ascii="Arial" w:eastAsia="Arial" w:hAnsi="Arial" w:cs="Arial"/>
          <w:sz w:val="22"/>
          <w:szCs w:val="22"/>
        </w:rPr>
      </w:pPr>
    </w:p>
    <w:p w14:paraId="59338ACA" w14:textId="77777777" w:rsidR="004468F8" w:rsidRDefault="004468F8">
      <w:pPr>
        <w:spacing w:line="360" w:lineRule="auto"/>
        <w:jc w:val="both"/>
        <w:rPr>
          <w:rFonts w:ascii="Arial" w:eastAsia="Arial" w:hAnsi="Arial" w:cs="Arial"/>
          <w:sz w:val="22"/>
          <w:szCs w:val="22"/>
        </w:rPr>
      </w:pPr>
    </w:p>
    <w:p w14:paraId="296044E5" w14:textId="77777777" w:rsidR="004468F8" w:rsidRDefault="004468F8">
      <w:pPr>
        <w:spacing w:line="360" w:lineRule="auto"/>
        <w:jc w:val="both"/>
        <w:rPr>
          <w:rFonts w:ascii="Arial" w:eastAsia="Arial" w:hAnsi="Arial" w:cs="Arial"/>
          <w:sz w:val="22"/>
          <w:szCs w:val="22"/>
        </w:rPr>
      </w:pPr>
    </w:p>
    <w:p w14:paraId="6D3FD30A" w14:textId="77777777" w:rsidR="00530E16" w:rsidRDefault="004468F8">
      <w:pPr>
        <w:pStyle w:val="Heading1"/>
      </w:pPr>
      <w:bookmarkStart w:id="12" w:name="_Toc203606121"/>
      <w:r>
        <w:lastRenderedPageBreak/>
        <w:t>References</w:t>
      </w:r>
      <w:bookmarkEnd w:id="12"/>
    </w:p>
    <w:p w14:paraId="788E561F" w14:textId="77777777" w:rsidR="00DD31E8" w:rsidRDefault="00DD31E8" w:rsidP="00DD31E8">
      <w:pPr>
        <w:spacing w:line="360" w:lineRule="auto"/>
      </w:pPr>
      <w:r>
        <w:rPr>
          <w:rFonts w:ascii="Arial" w:eastAsia="Arial" w:hAnsi="Arial" w:cs="Arial"/>
          <w:sz w:val="22"/>
          <w:szCs w:val="22"/>
        </w:rPr>
        <w:t xml:space="preserve">Braun, V., Clarke, V., Boulton, E., Davey, L. and McEvoy, C. (2020) ‘The online survey as a qualitative research tool’, </w:t>
      </w:r>
      <w:r>
        <w:rPr>
          <w:rFonts w:ascii="Arial" w:eastAsia="Arial" w:hAnsi="Arial" w:cs="Arial"/>
          <w:i/>
          <w:iCs/>
          <w:sz w:val="22"/>
          <w:szCs w:val="22"/>
        </w:rPr>
        <w:t>International Journal of Social Research Methodology</w:t>
      </w:r>
      <w:r>
        <w:rPr>
          <w:rFonts w:ascii="Arial" w:eastAsia="Arial" w:hAnsi="Arial" w:cs="Arial"/>
          <w:sz w:val="22"/>
          <w:szCs w:val="22"/>
        </w:rPr>
        <w:t xml:space="preserve">, 24(6), pp. 641–654. </w:t>
      </w:r>
      <w:proofErr w:type="spellStart"/>
      <w:r>
        <w:rPr>
          <w:rFonts w:ascii="Arial" w:eastAsia="Arial" w:hAnsi="Arial" w:cs="Arial"/>
          <w:sz w:val="22"/>
          <w:szCs w:val="22"/>
        </w:rPr>
        <w:t>doi</w:t>
      </w:r>
      <w:proofErr w:type="spellEnd"/>
      <w:r>
        <w:rPr>
          <w:rFonts w:ascii="Arial" w:eastAsia="Arial" w:hAnsi="Arial" w:cs="Arial"/>
          <w:sz w:val="22"/>
          <w:szCs w:val="22"/>
        </w:rPr>
        <w:t>: 10.1080/13645579.2020.1805550.</w:t>
      </w:r>
    </w:p>
    <w:p w14:paraId="078AD60E" w14:textId="77777777" w:rsidR="00DD31E8" w:rsidRDefault="00DD31E8" w:rsidP="00DD31E8">
      <w:pPr>
        <w:spacing w:line="360" w:lineRule="auto"/>
      </w:pPr>
      <w:r>
        <w:rPr>
          <w:rFonts w:ascii="Arial" w:eastAsia="Arial" w:hAnsi="Arial" w:cs="Arial"/>
          <w:sz w:val="22"/>
          <w:szCs w:val="22"/>
        </w:rPr>
        <w:t xml:space="preserve">Bryman, A. (2016) </w:t>
      </w:r>
      <w:r>
        <w:rPr>
          <w:rFonts w:ascii="Arial" w:eastAsia="Arial" w:hAnsi="Arial" w:cs="Arial"/>
          <w:i/>
          <w:iCs/>
          <w:sz w:val="22"/>
          <w:szCs w:val="22"/>
        </w:rPr>
        <w:t>Social research methods</w:t>
      </w:r>
      <w:r>
        <w:rPr>
          <w:rFonts w:ascii="Arial" w:eastAsia="Arial" w:hAnsi="Arial" w:cs="Arial"/>
          <w:sz w:val="22"/>
          <w:szCs w:val="22"/>
        </w:rPr>
        <w:t xml:space="preserve">. 5th </w:t>
      </w:r>
      <w:proofErr w:type="spellStart"/>
      <w:r>
        <w:rPr>
          <w:rFonts w:ascii="Arial" w:eastAsia="Arial" w:hAnsi="Arial" w:cs="Arial"/>
          <w:sz w:val="22"/>
          <w:szCs w:val="22"/>
        </w:rPr>
        <w:t>edn</w:t>
      </w:r>
      <w:proofErr w:type="spellEnd"/>
      <w:r>
        <w:rPr>
          <w:rFonts w:ascii="Arial" w:eastAsia="Arial" w:hAnsi="Arial" w:cs="Arial"/>
          <w:sz w:val="22"/>
          <w:szCs w:val="22"/>
        </w:rPr>
        <w:t>. Oxford: Oxford University Press.</w:t>
      </w:r>
    </w:p>
    <w:p w14:paraId="7442950C" w14:textId="77777777" w:rsidR="00DD31E8" w:rsidRDefault="00DD31E8" w:rsidP="00DD31E8">
      <w:pPr>
        <w:spacing w:line="360" w:lineRule="auto"/>
      </w:pPr>
      <w:r>
        <w:rPr>
          <w:rFonts w:ascii="Arial" w:eastAsia="Arial" w:hAnsi="Arial" w:cs="Arial"/>
          <w:sz w:val="22"/>
          <w:szCs w:val="22"/>
        </w:rPr>
        <w:t xml:space="preserve">Creswell, J.W. and Creswell, J.D. (2018) </w:t>
      </w:r>
      <w:r>
        <w:rPr>
          <w:rFonts w:ascii="Arial" w:eastAsia="Arial" w:hAnsi="Arial" w:cs="Arial"/>
          <w:i/>
          <w:iCs/>
          <w:sz w:val="22"/>
          <w:szCs w:val="22"/>
        </w:rPr>
        <w:t xml:space="preserve">Research design: qualitative, quantitative, and mixed methods </w:t>
      </w:r>
      <w:proofErr w:type="gramStart"/>
      <w:r>
        <w:rPr>
          <w:rFonts w:ascii="Arial" w:eastAsia="Arial" w:hAnsi="Arial" w:cs="Arial"/>
          <w:i/>
          <w:iCs/>
          <w:sz w:val="22"/>
          <w:szCs w:val="22"/>
        </w:rPr>
        <w:t>approaches</w:t>
      </w:r>
      <w:proofErr w:type="gramEnd"/>
      <w:r>
        <w:rPr>
          <w:rFonts w:ascii="Arial" w:eastAsia="Arial" w:hAnsi="Arial" w:cs="Arial"/>
          <w:sz w:val="22"/>
          <w:szCs w:val="22"/>
        </w:rPr>
        <w:t xml:space="preserve">. 5th </w:t>
      </w:r>
      <w:proofErr w:type="spellStart"/>
      <w:r>
        <w:rPr>
          <w:rFonts w:ascii="Arial" w:eastAsia="Arial" w:hAnsi="Arial" w:cs="Arial"/>
          <w:sz w:val="22"/>
          <w:szCs w:val="22"/>
        </w:rPr>
        <w:t>edn</w:t>
      </w:r>
      <w:proofErr w:type="spellEnd"/>
      <w:r>
        <w:rPr>
          <w:rFonts w:ascii="Arial" w:eastAsia="Arial" w:hAnsi="Arial" w:cs="Arial"/>
          <w:sz w:val="22"/>
          <w:szCs w:val="22"/>
        </w:rPr>
        <w:t>. London: SAGE.</w:t>
      </w:r>
    </w:p>
    <w:p w14:paraId="395CF5E1" w14:textId="77777777" w:rsidR="00DD31E8" w:rsidRDefault="00DD31E8" w:rsidP="00DD31E8">
      <w:pPr>
        <w:spacing w:line="360" w:lineRule="auto"/>
      </w:pPr>
      <w:r>
        <w:rPr>
          <w:rFonts w:ascii="Arial" w:eastAsia="Arial" w:hAnsi="Arial" w:cs="Arial"/>
          <w:sz w:val="22"/>
          <w:szCs w:val="22"/>
        </w:rPr>
        <w:t xml:space="preserve">Creswell, J.W. and </w:t>
      </w:r>
      <w:proofErr w:type="spellStart"/>
      <w:r>
        <w:rPr>
          <w:rFonts w:ascii="Arial" w:eastAsia="Arial" w:hAnsi="Arial" w:cs="Arial"/>
          <w:sz w:val="22"/>
          <w:szCs w:val="22"/>
        </w:rPr>
        <w:t>Poth</w:t>
      </w:r>
      <w:proofErr w:type="spellEnd"/>
      <w:r>
        <w:rPr>
          <w:rFonts w:ascii="Arial" w:eastAsia="Arial" w:hAnsi="Arial" w:cs="Arial"/>
          <w:sz w:val="22"/>
          <w:szCs w:val="22"/>
        </w:rPr>
        <w:t xml:space="preserve">, C.N. (2018) </w:t>
      </w:r>
      <w:r>
        <w:rPr>
          <w:rFonts w:ascii="Arial" w:eastAsia="Arial" w:hAnsi="Arial" w:cs="Arial"/>
          <w:i/>
          <w:iCs/>
          <w:sz w:val="22"/>
          <w:szCs w:val="22"/>
        </w:rPr>
        <w:t>Qualitative inquiry and research design: choosing among five approaches</w:t>
      </w:r>
      <w:r>
        <w:rPr>
          <w:rFonts w:ascii="Arial" w:eastAsia="Arial" w:hAnsi="Arial" w:cs="Arial"/>
          <w:sz w:val="22"/>
          <w:szCs w:val="22"/>
        </w:rPr>
        <w:t xml:space="preserve">. 4th </w:t>
      </w:r>
      <w:proofErr w:type="spellStart"/>
      <w:r>
        <w:rPr>
          <w:rFonts w:ascii="Arial" w:eastAsia="Arial" w:hAnsi="Arial" w:cs="Arial"/>
          <w:sz w:val="22"/>
          <w:szCs w:val="22"/>
        </w:rPr>
        <w:t>edn</w:t>
      </w:r>
      <w:proofErr w:type="spellEnd"/>
      <w:r>
        <w:rPr>
          <w:rFonts w:ascii="Arial" w:eastAsia="Arial" w:hAnsi="Arial" w:cs="Arial"/>
          <w:sz w:val="22"/>
          <w:szCs w:val="22"/>
        </w:rPr>
        <w:t>. London: SAGE.</w:t>
      </w:r>
    </w:p>
    <w:p w14:paraId="3E5190C8" w14:textId="77777777" w:rsidR="00DD31E8" w:rsidRDefault="00DD31E8" w:rsidP="00DD31E8">
      <w:pPr>
        <w:spacing w:line="360" w:lineRule="auto"/>
      </w:pPr>
      <w:r>
        <w:rPr>
          <w:rFonts w:ascii="Arial" w:eastAsia="Arial" w:hAnsi="Arial" w:cs="Arial"/>
          <w:sz w:val="22"/>
          <w:szCs w:val="22"/>
        </w:rPr>
        <w:t xml:space="preserve">Gale, N.K., Heath, G., Cameron, E., Rashid, S. and Redwood, S. (2013) ‘Using the framework method for the analysis of qualitative data in multi-disciplinary health research’, </w:t>
      </w:r>
      <w:r>
        <w:rPr>
          <w:rFonts w:ascii="Arial" w:eastAsia="Arial" w:hAnsi="Arial" w:cs="Arial"/>
          <w:i/>
          <w:iCs/>
          <w:sz w:val="22"/>
          <w:szCs w:val="22"/>
        </w:rPr>
        <w:t>BMC Medical Research Methodology</w:t>
      </w:r>
      <w:r>
        <w:rPr>
          <w:rFonts w:ascii="Arial" w:eastAsia="Arial" w:hAnsi="Arial" w:cs="Arial"/>
          <w:sz w:val="22"/>
          <w:szCs w:val="22"/>
        </w:rPr>
        <w:t xml:space="preserve">, 13, p. 117. </w:t>
      </w:r>
      <w:proofErr w:type="spellStart"/>
      <w:r>
        <w:rPr>
          <w:rFonts w:ascii="Arial" w:eastAsia="Arial" w:hAnsi="Arial" w:cs="Arial"/>
          <w:sz w:val="22"/>
          <w:szCs w:val="22"/>
        </w:rPr>
        <w:t>doi</w:t>
      </w:r>
      <w:proofErr w:type="spellEnd"/>
      <w:r>
        <w:rPr>
          <w:rFonts w:ascii="Arial" w:eastAsia="Arial" w:hAnsi="Arial" w:cs="Arial"/>
          <w:sz w:val="22"/>
          <w:szCs w:val="22"/>
        </w:rPr>
        <w:t>: 10.1186/1471-2288-13-117.</w:t>
      </w:r>
    </w:p>
    <w:p w14:paraId="5A2C0C8A" w14:textId="77777777" w:rsidR="00DD31E8" w:rsidRDefault="00DD31E8" w:rsidP="00DD31E8">
      <w:pPr>
        <w:spacing w:line="360" w:lineRule="auto"/>
      </w:pPr>
      <w:r>
        <w:rPr>
          <w:rFonts w:ascii="Arial" w:eastAsia="Arial" w:hAnsi="Arial" w:cs="Arial"/>
          <w:sz w:val="22"/>
          <w:szCs w:val="22"/>
        </w:rPr>
        <w:t xml:space="preserve">Gubbels, J., van der Put, C.E. and Assink, M. (2019) ‘Risk factors for school absenteeism and dropout: a meta-analytic review’, </w:t>
      </w:r>
      <w:r>
        <w:rPr>
          <w:rFonts w:ascii="Arial" w:eastAsia="Arial" w:hAnsi="Arial" w:cs="Arial"/>
          <w:i/>
          <w:iCs/>
          <w:sz w:val="22"/>
          <w:szCs w:val="22"/>
        </w:rPr>
        <w:t>Journal of Youth and Adolescence</w:t>
      </w:r>
      <w:r>
        <w:rPr>
          <w:rFonts w:ascii="Arial" w:eastAsia="Arial" w:hAnsi="Arial" w:cs="Arial"/>
          <w:sz w:val="22"/>
          <w:szCs w:val="22"/>
        </w:rPr>
        <w:t xml:space="preserve">, 48(9), pp. 1637–1667. </w:t>
      </w:r>
      <w:proofErr w:type="spellStart"/>
      <w:r>
        <w:rPr>
          <w:rFonts w:ascii="Arial" w:eastAsia="Arial" w:hAnsi="Arial" w:cs="Arial"/>
          <w:sz w:val="22"/>
          <w:szCs w:val="22"/>
        </w:rPr>
        <w:t>doi</w:t>
      </w:r>
      <w:proofErr w:type="spellEnd"/>
      <w:r>
        <w:rPr>
          <w:rFonts w:ascii="Arial" w:eastAsia="Arial" w:hAnsi="Arial" w:cs="Arial"/>
          <w:sz w:val="22"/>
          <w:szCs w:val="22"/>
        </w:rPr>
        <w:t>: 10.1007/s10964-019-01072-5.</w:t>
      </w:r>
    </w:p>
    <w:p w14:paraId="66E9F9B3" w14:textId="77777777" w:rsidR="00DD31E8" w:rsidRDefault="00DD31E8" w:rsidP="00DD31E8">
      <w:pPr>
        <w:spacing w:line="360" w:lineRule="auto"/>
      </w:pPr>
      <w:r>
        <w:rPr>
          <w:rFonts w:ascii="Arial" w:eastAsia="Arial" w:hAnsi="Arial" w:cs="Arial"/>
          <w:sz w:val="22"/>
          <w:szCs w:val="22"/>
        </w:rPr>
        <w:t xml:space="preserve">Kearney, C.A. and Graczyk, P. (2014) ‘A response to intervention model to promote school attendance and decrease school absenteeism’, </w:t>
      </w:r>
      <w:r>
        <w:rPr>
          <w:rFonts w:ascii="Arial" w:eastAsia="Arial" w:hAnsi="Arial" w:cs="Arial"/>
          <w:i/>
          <w:iCs/>
          <w:sz w:val="22"/>
          <w:szCs w:val="22"/>
        </w:rPr>
        <w:t>Child and Youth Care Forum</w:t>
      </w:r>
      <w:r>
        <w:rPr>
          <w:rFonts w:ascii="Arial" w:eastAsia="Arial" w:hAnsi="Arial" w:cs="Arial"/>
          <w:sz w:val="22"/>
          <w:szCs w:val="22"/>
        </w:rPr>
        <w:t xml:space="preserve">, 43(1), pp. 1–25. </w:t>
      </w:r>
      <w:proofErr w:type="spellStart"/>
      <w:r>
        <w:rPr>
          <w:rFonts w:ascii="Arial" w:eastAsia="Arial" w:hAnsi="Arial" w:cs="Arial"/>
          <w:sz w:val="22"/>
          <w:szCs w:val="22"/>
        </w:rPr>
        <w:t>doi</w:t>
      </w:r>
      <w:proofErr w:type="spellEnd"/>
      <w:r>
        <w:rPr>
          <w:rFonts w:ascii="Arial" w:eastAsia="Arial" w:hAnsi="Arial" w:cs="Arial"/>
          <w:sz w:val="22"/>
          <w:szCs w:val="22"/>
        </w:rPr>
        <w:t>: 10.1007/s10566-013-9222-1.</w:t>
      </w:r>
    </w:p>
    <w:p w14:paraId="391D33A0" w14:textId="77777777" w:rsidR="00DD31E8" w:rsidRDefault="00DD31E8" w:rsidP="00DD31E8">
      <w:pPr>
        <w:spacing w:line="360" w:lineRule="auto"/>
      </w:pPr>
      <w:r>
        <w:rPr>
          <w:rFonts w:ascii="Arial" w:eastAsia="Arial" w:hAnsi="Arial" w:cs="Arial"/>
          <w:sz w:val="22"/>
          <w:szCs w:val="22"/>
        </w:rPr>
        <w:t xml:space="preserve">McDonald, B., Lester, K.J. and Michelson, D. (2023) ‘“She didn’t know how to go back”: School attendance problems in the context of the COVID-19 pandemic—A multiple stakeholder qualitative study with parents and professionals’, </w:t>
      </w:r>
      <w:r>
        <w:rPr>
          <w:rFonts w:ascii="Arial" w:eastAsia="Arial" w:hAnsi="Arial" w:cs="Arial"/>
          <w:i/>
          <w:iCs/>
          <w:sz w:val="22"/>
          <w:szCs w:val="22"/>
        </w:rPr>
        <w:t>British Journal of Educational Psychology</w:t>
      </w:r>
      <w:r>
        <w:rPr>
          <w:rFonts w:ascii="Arial" w:eastAsia="Arial" w:hAnsi="Arial" w:cs="Arial"/>
          <w:sz w:val="22"/>
          <w:szCs w:val="22"/>
        </w:rPr>
        <w:t xml:space="preserve">, 93(1), pp. 386–401. </w:t>
      </w:r>
      <w:proofErr w:type="spellStart"/>
      <w:r>
        <w:rPr>
          <w:rFonts w:ascii="Arial" w:eastAsia="Arial" w:hAnsi="Arial" w:cs="Arial"/>
          <w:sz w:val="22"/>
          <w:szCs w:val="22"/>
        </w:rPr>
        <w:t>doi</w:t>
      </w:r>
      <w:proofErr w:type="spellEnd"/>
      <w:r>
        <w:rPr>
          <w:rFonts w:ascii="Arial" w:eastAsia="Arial" w:hAnsi="Arial" w:cs="Arial"/>
          <w:sz w:val="22"/>
          <w:szCs w:val="22"/>
        </w:rPr>
        <w:t>: 10.1111/bjep.12562.</w:t>
      </w:r>
    </w:p>
    <w:p w14:paraId="50167541" w14:textId="305254AC" w:rsidR="00E10231" w:rsidRPr="00E10231" w:rsidRDefault="00DD31E8" w:rsidP="00DD31E8">
      <w:pPr>
        <w:spacing w:line="360" w:lineRule="auto"/>
        <w:jc w:val="both"/>
        <w:rPr>
          <w:rFonts w:ascii="Arial" w:eastAsia="Arial" w:hAnsi="Arial" w:cs="Arial"/>
          <w:i/>
          <w:iCs/>
          <w:color w:val="FF0000"/>
          <w:sz w:val="22"/>
          <w:szCs w:val="22"/>
        </w:rPr>
      </w:pPr>
      <w:r>
        <w:rPr>
          <w:rFonts w:ascii="Arial" w:eastAsia="Arial" w:hAnsi="Arial" w:cs="Arial"/>
          <w:sz w:val="22"/>
          <w:szCs w:val="22"/>
        </w:rPr>
        <w:t xml:space="preserve">Morse, J.M. (2010) ‘Simultaneous and sequential qualitative mixed method designs’, </w:t>
      </w:r>
      <w:r>
        <w:rPr>
          <w:rFonts w:ascii="Arial" w:eastAsia="Arial" w:hAnsi="Arial" w:cs="Arial"/>
          <w:i/>
          <w:iCs/>
          <w:sz w:val="22"/>
          <w:szCs w:val="22"/>
        </w:rPr>
        <w:t>Qualitative Inquiry</w:t>
      </w:r>
      <w:r>
        <w:rPr>
          <w:rFonts w:ascii="Arial" w:eastAsia="Arial" w:hAnsi="Arial" w:cs="Arial"/>
          <w:sz w:val="22"/>
          <w:szCs w:val="22"/>
        </w:rPr>
        <w:t xml:space="preserve">, 16(6), pp. 483–491. </w:t>
      </w:r>
      <w:proofErr w:type="spellStart"/>
      <w:r>
        <w:rPr>
          <w:rFonts w:ascii="Arial" w:eastAsia="Arial" w:hAnsi="Arial" w:cs="Arial"/>
          <w:sz w:val="22"/>
          <w:szCs w:val="22"/>
        </w:rPr>
        <w:t>doi</w:t>
      </w:r>
      <w:proofErr w:type="spellEnd"/>
      <w:r>
        <w:rPr>
          <w:rFonts w:ascii="Arial" w:eastAsia="Arial" w:hAnsi="Arial" w:cs="Arial"/>
          <w:sz w:val="22"/>
          <w:szCs w:val="22"/>
        </w:rPr>
        <w:t>: 10.1177/1077800410364741</w:t>
      </w:r>
    </w:p>
    <w:p w14:paraId="0296760F" w14:textId="77777777" w:rsidR="004468F8" w:rsidRDefault="004468F8">
      <w:pPr>
        <w:spacing w:line="360" w:lineRule="auto"/>
        <w:jc w:val="both"/>
        <w:rPr>
          <w:rFonts w:ascii="Arial" w:eastAsia="Arial" w:hAnsi="Arial" w:cs="Arial"/>
          <w:sz w:val="22"/>
          <w:szCs w:val="22"/>
        </w:rPr>
      </w:pPr>
    </w:p>
    <w:p w14:paraId="613BD4F8" w14:textId="77777777" w:rsidR="004468F8" w:rsidRDefault="004468F8">
      <w:pPr>
        <w:spacing w:line="360" w:lineRule="auto"/>
        <w:jc w:val="both"/>
        <w:rPr>
          <w:rFonts w:ascii="Arial" w:eastAsia="Arial" w:hAnsi="Arial" w:cs="Arial"/>
          <w:sz w:val="22"/>
          <w:szCs w:val="22"/>
        </w:rPr>
      </w:pPr>
    </w:p>
    <w:p w14:paraId="4F661ECA" w14:textId="77777777" w:rsidR="004468F8" w:rsidRDefault="004468F8">
      <w:pPr>
        <w:spacing w:line="360" w:lineRule="auto"/>
        <w:jc w:val="both"/>
        <w:rPr>
          <w:rFonts w:ascii="Arial" w:eastAsia="Arial" w:hAnsi="Arial" w:cs="Arial"/>
          <w:sz w:val="22"/>
          <w:szCs w:val="22"/>
        </w:rPr>
      </w:pPr>
    </w:p>
    <w:p w14:paraId="1BB7FD0F" w14:textId="77777777" w:rsidR="004468F8" w:rsidRDefault="004468F8">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AEA28" w14:textId="77777777" w:rsidR="00676800" w:rsidRDefault="00676800" w:rsidP="002A1842">
      <w:pPr>
        <w:spacing w:after="0" w:line="240" w:lineRule="auto"/>
      </w:pPr>
      <w:r>
        <w:separator/>
      </w:r>
    </w:p>
  </w:endnote>
  <w:endnote w:type="continuationSeparator" w:id="0">
    <w:p w14:paraId="44EBB026" w14:textId="77777777" w:rsidR="00676800" w:rsidRDefault="0067680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E4395" w14:textId="77777777" w:rsidR="00676800" w:rsidRDefault="00676800" w:rsidP="002A1842">
      <w:pPr>
        <w:spacing w:after="0" w:line="240" w:lineRule="auto"/>
      </w:pPr>
      <w:r>
        <w:separator/>
      </w:r>
    </w:p>
  </w:footnote>
  <w:footnote w:type="continuationSeparator" w:id="0">
    <w:p w14:paraId="28E887F8" w14:textId="77777777" w:rsidR="00676800" w:rsidRDefault="00676800"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172AD1"/>
    <w:rsid w:val="001813E7"/>
    <w:rsid w:val="001B582C"/>
    <w:rsid w:val="00210D5A"/>
    <w:rsid w:val="002A1842"/>
    <w:rsid w:val="002A46BB"/>
    <w:rsid w:val="004468F8"/>
    <w:rsid w:val="00516457"/>
    <w:rsid w:val="00530E16"/>
    <w:rsid w:val="00676800"/>
    <w:rsid w:val="00722EFE"/>
    <w:rsid w:val="007865A2"/>
    <w:rsid w:val="007A2630"/>
    <w:rsid w:val="00A75B15"/>
    <w:rsid w:val="00AE06EA"/>
    <w:rsid w:val="00BB42C9"/>
    <w:rsid w:val="00C87E2E"/>
    <w:rsid w:val="00CF650B"/>
    <w:rsid w:val="00DD31E8"/>
    <w:rsid w:val="00E10231"/>
    <w:rsid w:val="00F6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2213</Words>
  <Characters>12619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Nazish Mushtaq (2545279)</cp:lastModifiedBy>
  <cp:revision>2</cp:revision>
  <dcterms:created xsi:type="dcterms:W3CDTF">2026-08-18T01:05:00Z</dcterms:created>
  <dcterms:modified xsi:type="dcterms:W3CDTF">2026-08-18T01:05:00Z</dcterms:modified>
</cp:coreProperties>
</file>