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0B41DA74">
      <w:pPr>
        <w:pStyle w:val="style0"/>
        <w:jc w:val="center"/>
        <w:rPr>
          <w:rFonts w:ascii="Arial" w:cs="Arial" w:hAnsi="Arial"/>
        </w:rPr>
      </w:pPr>
      <w:r>
        <w:rPr>
          <w:rFonts w:ascii="Arial" w:cs="Arial" w:hAnsi="Arial"/>
        </w:rPr>
        <w:drawing>
          <wp:inline distL="0" distT="0" distB="0" distR="0">
            <wp:extent cx="2157211" cy="863432"/>
            <wp:effectExtent l="0" t="0" r="0" b="0"/>
            <wp:docPr id="1026" name="Picture 2" descr="A close up of a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157211" cy="863432"/>
                    </a:xfrm>
                    <a:prstGeom prst="rect"/>
                  </pic:spPr>
                </pic:pic>
              </a:graphicData>
            </a:graphic>
          </wp:inline>
        </w:drawing>
      </w:r>
    </w:p>
    <w:p w14:paraId="05ED748D">
      <w:pPr>
        <w:pStyle w:val="style0"/>
        <w:rPr>
          <w:rFonts w:ascii="Arial" w:cs="Arial" w:hAnsi="Arial"/>
        </w:rPr>
      </w:pPr>
    </w:p>
    <w:p w14:paraId="6607D9C6">
      <w:pPr>
        <w:pStyle w:val="style0"/>
        <w:jc w:val="right"/>
        <w:rPr>
          <w:rFonts w:ascii="Arial" w:cs="Arial" w:hAnsi="Arial"/>
          <w:szCs w:val="24"/>
        </w:rPr>
      </w:pPr>
    </w:p>
    <w:p w14:paraId="2983E7F0">
      <w:pPr>
        <w:pStyle w:val="style0"/>
        <w:jc w:val="center"/>
        <w:rPr>
          <w:rFonts w:ascii="Arial" w:cs="Arial" w:hAnsi="Arial"/>
          <w:szCs w:val="24"/>
        </w:rPr>
      </w:pPr>
      <w:r>
        <w:rPr>
          <w:rFonts w:ascii="Arial" w:cs="Arial" w:hAnsi="Arial"/>
          <w:sz w:val="40"/>
          <w:szCs w:val="40"/>
        </w:rPr>
        <w:t>Strategic Management (LCMB7003)</w:t>
      </w:r>
    </w:p>
    <w:p w14:paraId="0D1C3388">
      <w:pPr>
        <w:pStyle w:val="style0"/>
        <w:jc w:val="right"/>
        <w:rPr>
          <w:rFonts w:ascii="Arial" w:cs="Arial" w:hAnsi="Arial"/>
          <w:szCs w:val="24"/>
        </w:rPr>
      </w:pPr>
    </w:p>
    <w:p w14:paraId="46E46818">
      <w:pPr>
        <w:pStyle w:val="style0"/>
        <w:jc w:val="center"/>
        <w:rPr>
          <w:rFonts w:ascii="Arial" w:cs="Arial" w:hAnsi="Arial"/>
          <w:color w:val="ff0000"/>
          <w:sz w:val="40"/>
          <w:szCs w:val="40"/>
        </w:rPr>
      </w:pPr>
      <w:r>
        <w:rPr>
          <w:rFonts w:ascii="Arial" w:cs="Arial" w:hAnsi="Arial"/>
          <w:sz w:val="40"/>
          <w:szCs w:val="40"/>
        </w:rPr>
        <w:t xml:space="preserve">Strategic Analysis of </w:t>
      </w:r>
      <w:r>
        <w:rPr>
          <w:rFonts w:ascii="Arial" w:cs="Arial" w:hAnsi="Arial"/>
          <w:sz w:val="40"/>
          <w:szCs w:val="40"/>
        </w:rPr>
        <w:t xml:space="preserve"> </w:t>
      </w:r>
      <w:r>
        <w:rPr>
          <w:rFonts w:ascii="Arial" w:cs="Arial" w:hAnsi="Arial"/>
          <w:color w:val="ff0000"/>
          <w:sz w:val="40"/>
          <w:szCs w:val="40"/>
        </w:rPr>
        <w:t>Tesco Plc</w:t>
      </w:r>
      <w:r>
        <w:rPr>
          <w:rFonts w:ascii="Arial" w:cs="Arial" w:hAnsi="Arial"/>
          <w:color w:val="ff0000"/>
          <w:sz w:val="40"/>
          <w:szCs w:val="40"/>
        </w:rPr>
        <w:t xml:space="preserve"> </w:t>
      </w:r>
      <w:r>
        <w:rPr>
          <w:rFonts w:ascii="Arial" w:cs="Arial" w:hAnsi="Arial"/>
          <w:color w:val="ff0000"/>
          <w:sz w:val="40"/>
          <w:szCs w:val="40"/>
        </w:rPr>
        <w:t xml:space="preserve"> </w:t>
      </w:r>
    </w:p>
    <w:p w14:paraId="4B3CAAF3">
      <w:pPr>
        <w:pStyle w:val="style0"/>
        <w:jc w:val="center"/>
        <w:rPr>
          <w:rFonts w:ascii="Arial" w:cs="Arial" w:hAnsi="Arial"/>
          <w:sz w:val="40"/>
          <w:szCs w:val="40"/>
        </w:rPr>
      </w:pPr>
      <w:r>
        <w:rPr>
          <w:rFonts w:ascii="Arial" w:cs="Arial" w:eastAsia="Arial" w:hAnsi="Arial"/>
          <w:i/>
          <w:iCs/>
          <w:sz w:val="26"/>
          <w:szCs w:val="26"/>
        </w:rPr>
        <w:t>(UK Grocery Retail Market)</w:t>
      </w:r>
    </w:p>
    <w:p w14:paraId="2E24282A">
      <w:pPr>
        <w:pStyle w:val="style0"/>
        <w:jc w:val="center"/>
        <w:rPr>
          <w:rFonts w:ascii="Arial" w:cs="Arial" w:hAnsi="Arial"/>
          <w:szCs w:val="24"/>
        </w:rPr>
      </w:pPr>
      <w:r>
        <w:rPr>
          <w:rFonts w:ascii="Arial" w:cs="Arial" w:hAnsi="Arial"/>
        </w:rPr>
        <w:drawing>
          <wp:inline distL="0" distT="0" distB="0" distR="0">
            <wp:extent cx="3379313" cy="2254250"/>
            <wp:effectExtent l="95250" t="95250" r="107314" b="717550"/>
            <wp:docPr id="1027" name="Picture 1" descr="Download Tesco Logo in SVG Vector or PNG File Format - Logo.win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379313" cy="2254250"/>
                    </a:xfrm>
                    <a:prstGeom prst="roundRect">
                      <a:avLst>
                        <a:gd name="adj" fmla="val 4167"/>
                      </a:avLst>
                    </a:prstGeom>
                    <a:solidFill>
                      <a:srgbClr val="ffffff"/>
                    </a:solidFill>
                    <a:ln cmpd="sng" cap="sq" w="76200">
                      <a:solidFill>
                        <a:srgbClr val="292929"/>
                      </a:solidFill>
                      <a:prstDash val="solid"/>
                      <a:miter/>
                      <a:headEnd/>
                      <a:tailEnd/>
                    </a:ln>
                    <a:effectLst>
                      <a:reflection blurRad="12700" stA="28000" stPos="0" endA="0" endPos="28000" dist="5000" dir="5400000" fadeDir="5400000" sx="100000" sy="-100000" kx="0" ky="0" algn="bl" rotWithShape="false"/>
                    </a:effectLst>
                  </pic:spPr>
                </pic:pic>
              </a:graphicData>
            </a:graphic>
          </wp:inline>
        </w:drawing>
      </w:r>
    </w:p>
    <w:p w14:paraId="0B2C783E">
      <w:pPr>
        <w:pStyle w:val="style0"/>
        <w:jc w:val="right"/>
        <w:rPr>
          <w:rFonts w:ascii="Arial" w:cs="Arial" w:hAnsi="Arial"/>
          <w:szCs w:val="24"/>
        </w:rPr>
      </w:pPr>
    </w:p>
    <w:p w14:paraId="2276D3DB">
      <w:pPr>
        <w:pStyle w:val="style0"/>
        <w:rPr>
          <w:rFonts w:ascii="Arial" w:cs="Arial" w:hAnsi="Arial"/>
          <w:sz w:val="28"/>
          <w:szCs w:val="28"/>
        </w:rPr>
      </w:pPr>
      <w:r>
        <w:rPr>
          <w:rFonts w:ascii="Arial" w:cs="Arial" w:hAnsi="Arial"/>
          <w:sz w:val="28"/>
          <w:szCs w:val="28"/>
        </w:rPr>
        <w:t xml:space="preserve">Student name: </w:t>
      </w:r>
      <w:r>
        <w:rPr>
          <w:rFonts w:ascii="Arial" w:cs="Arial" w:hAnsi="Arial"/>
          <w:sz w:val="28"/>
          <w:szCs w:val="28"/>
          <w:lang w:val="en-US"/>
        </w:rPr>
        <w:t xml:space="preserve">Darshil Rakesh Vaddoriya </w:t>
      </w:r>
    </w:p>
    <w:p w14:paraId="43AA32A1">
      <w:pPr>
        <w:pStyle w:val="style0"/>
        <w:rPr>
          <w:rFonts w:ascii="Arial" w:cs="Arial" w:hAnsi="Arial"/>
          <w:sz w:val="28"/>
          <w:szCs w:val="28"/>
        </w:rPr>
      </w:pPr>
      <w:r>
        <w:rPr>
          <w:rFonts w:ascii="Arial" w:cs="Arial" w:hAnsi="Arial"/>
          <w:sz w:val="28"/>
          <w:szCs w:val="28"/>
        </w:rPr>
        <w:t xml:space="preserve">Student Number: </w:t>
      </w:r>
      <w:r>
        <w:rPr>
          <w:rFonts w:ascii="Arial" w:cs="Arial" w:hAnsi="Arial"/>
          <w:sz w:val="28"/>
          <w:szCs w:val="28"/>
          <w:lang w:val="en-US"/>
        </w:rPr>
        <w:t>2525507</w:t>
      </w:r>
    </w:p>
    <w:p w14:paraId="684B439B">
      <w:pPr>
        <w:pStyle w:val="style0"/>
        <w:rPr>
          <w:rFonts w:ascii="Arial" w:cs="Arial" w:hAnsi="Arial"/>
          <w:sz w:val="28"/>
          <w:szCs w:val="28"/>
        </w:rPr>
      </w:pPr>
      <w:r>
        <w:rPr>
          <w:rFonts w:ascii="Arial" w:cs="Arial" w:hAnsi="Arial"/>
          <w:sz w:val="28"/>
          <w:szCs w:val="28"/>
        </w:rPr>
        <w:t xml:space="preserve">Lecturer: </w:t>
      </w:r>
      <w:r>
        <w:rPr>
          <w:rFonts w:ascii="Arial" w:cs="Arial" w:hAnsi="Arial"/>
          <w:sz w:val="28"/>
          <w:szCs w:val="28"/>
          <w:lang w:val="en-US"/>
        </w:rPr>
        <w:t xml:space="preserve">Balendran kandasamy </w:t>
      </w:r>
    </w:p>
    <w:p w14:paraId="756BE285">
      <w:pPr>
        <w:pStyle w:val="style0"/>
        <w:rPr>
          <w:rFonts w:ascii="Arial" w:cs="Arial" w:hAnsi="Arial"/>
          <w:sz w:val="28"/>
          <w:szCs w:val="28"/>
        </w:rPr>
      </w:pPr>
      <w:r>
        <w:rPr>
          <w:rFonts w:ascii="Arial" w:cs="Arial" w:hAnsi="Arial"/>
          <w:sz w:val="28"/>
          <w:szCs w:val="28"/>
        </w:rPr>
        <w:t>Word count:</w:t>
      </w:r>
      <w:r>
        <w:rPr>
          <w:rFonts w:ascii="Arial" w:cs="Arial" w:hAnsi="Arial"/>
          <w:sz w:val="28"/>
          <w:szCs w:val="28"/>
          <w:lang w:val="en-US"/>
        </w:rPr>
        <w:t>5200</w:t>
      </w:r>
    </w:p>
    <w:p w14:paraId="748DB1B1">
      <w:pPr>
        <w:pStyle w:val="style0"/>
        <w:rPr>
          <w:rFonts w:ascii="Arial" w:cs="Arial" w:hAnsi="Arial"/>
          <w:sz w:val="28"/>
          <w:szCs w:val="28"/>
        </w:rPr>
      </w:pPr>
      <w:r>
        <w:rPr>
          <w:rFonts w:ascii="Arial" w:cs="Arial" w:hAnsi="Arial"/>
          <w:sz w:val="28"/>
          <w:szCs w:val="28"/>
        </w:rPr>
        <w:t xml:space="preserve">Submission Date: </w:t>
      </w:r>
      <w:r>
        <w:rPr>
          <w:rFonts w:ascii="Arial" w:cs="Arial" w:hAnsi="Arial"/>
          <w:sz w:val="28"/>
          <w:szCs w:val="28"/>
          <w:lang w:val="en-US"/>
        </w:rPr>
        <w:t>12th August,2026</w:t>
      </w:r>
    </w:p>
    <w:p w14:paraId="5378B2F3">
      <w:pPr>
        <w:pStyle w:val="style0"/>
        <w:rPr>
          <w:rFonts w:ascii="Arial" w:cs="Arial" w:hAnsi="Arial"/>
          <w:sz w:val="28"/>
          <w:szCs w:val="28"/>
        </w:rPr>
      </w:pPr>
      <w:r>
        <w:rPr>
          <w:rFonts w:ascii="Arial" w:cs="Arial" w:hAnsi="Arial"/>
          <w:sz w:val="28"/>
          <w:szCs w:val="28"/>
        </w:rPr>
        <w:br w:type="page"/>
      </w:r>
    </w:p>
    <w:p w14:paraId="168711C5">
      <w:pPr>
        <w:pStyle w:val="style266"/>
        <w:rPr>
          <w:rStyle w:val="style4098"/>
          <w:rFonts w:cs="Arial"/>
        </w:rPr>
      </w:pPr>
      <w:r>
        <w:rPr>
          <w:rStyle w:val="style4098"/>
          <w:rFonts w:cs="Arial"/>
        </w:rPr>
        <w:t>Table of Contents</w:t>
      </w:r>
    </w:p>
    <w:p w14:paraId="0CAEA8E6">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rFonts w:ascii="Arial" w:cs="Arial" w:hAnsi="Arial"/>
        </w:rPr>
        <w:fldChar w:fldCharType="begin"/>
      </w:r>
      <w:r>
        <w:rPr>
          <w:rFonts w:ascii="Arial" w:cs="Arial" w:hAnsi="Arial"/>
        </w:rPr>
        <w:instrText xml:space="preserve"> TOC \o "1-4" \h \z \u </w:instrText>
      </w:r>
      <w:r>
        <w:rPr>
          <w:rFonts w:ascii="Arial" w:cs="Arial" w:hAnsi="Arial"/>
        </w:rPr>
        <w:fldChar w:fldCharType="separate"/>
      </w:r>
      <w:r>
        <w:rPr/>
        <w:fldChar w:fldCharType="begin"/>
      </w:r>
      <w:r>
        <w:instrText xml:space="preserve"> HYPERLINK \l "_Toc237433627" </w:instrText>
      </w:r>
      <w:r>
        <w:rPr/>
        <w:fldChar w:fldCharType="separate"/>
      </w:r>
      <w:r>
        <w:rPr>
          <w:rStyle w:val="style85"/>
          <w:rFonts w:cs="Arial"/>
        </w:rPr>
        <w:t>Section 1: Strategic Analysis of Tesco PLC</w:t>
      </w:r>
      <w:r>
        <w:rPr>
          <w:webHidden/>
        </w:rPr>
        <w:tab/>
      </w:r>
      <w:r>
        <w:rPr>
          <w:webHidden/>
        </w:rPr>
        <w:fldChar w:fldCharType="begin"/>
      </w:r>
      <w:r>
        <w:rPr>
          <w:webHidden/>
        </w:rPr>
        <w:instrText xml:space="preserve"> PAGEREF _Toc237433627 \h </w:instrText>
      </w:r>
      <w:r>
        <w:rPr>
          <w:webHidden/>
        </w:rPr>
        <w:fldChar w:fldCharType="separate"/>
      </w:r>
      <w:r>
        <w:rPr>
          <w:webHidden/>
        </w:rPr>
        <w:t>2</w:t>
      </w:r>
      <w:r>
        <w:rPr>
          <w:webHidden/>
        </w:rPr>
        <w:fldChar w:fldCharType="end"/>
      </w:r>
      <w:r>
        <w:rPr/>
        <w:fldChar w:fldCharType="end"/>
      </w:r>
    </w:p>
    <w:p w14:paraId="2392392D">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"_Toc237433628" </w:instrText>
      </w:r>
      <w:r>
        <w:rPr/>
        <w:fldChar w:fldCharType="separate"/>
      </w:r>
      <w:r>
        <w:rPr>
          <w:rStyle w:val="style85"/>
          <w:rFonts w:cs="Arial"/>
        </w:rPr>
        <w:t>Introduction</w:t>
      </w:r>
      <w:r>
        <w:rPr>
          <w:webHidden/>
        </w:rPr>
        <w:tab/>
      </w:r>
      <w:r>
        <w:rPr>
          <w:webHidden/>
        </w:rPr>
        <w:fldChar w:fldCharType="begin"/>
      </w:r>
      <w:r>
        <w:rPr>
          <w:webHidden/>
        </w:rPr>
        <w:instrText xml:space="preserve"> PAGEREF _Toc237433628 \h </w:instrText>
      </w:r>
      <w:r>
        <w:rPr>
          <w:webHidden/>
        </w:rPr>
        <w:fldChar w:fldCharType="separate"/>
      </w:r>
      <w:r>
        <w:rPr>
          <w:webHidden/>
        </w:rPr>
        <w:t>2</w:t>
      </w:r>
      <w:r>
        <w:rPr>
          <w:webHidden/>
        </w:rPr>
        <w:fldChar w:fldCharType="end"/>
      </w:r>
      <w:r>
        <w:rPr/>
        <w:fldChar w:fldCharType="end"/>
      </w:r>
    </w:p>
    <w:p w14:paraId="3BA840F9">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"_Toc237433629" </w:instrText>
      </w:r>
      <w:r>
        <w:rPr/>
        <w:fldChar w:fldCharType="separate"/>
      </w:r>
      <w:r>
        <w:rPr>
          <w:rStyle w:val="style85"/>
          <w:rFonts w:cs="Arial"/>
        </w:rPr>
        <w:t>Company’s Background</w:t>
      </w:r>
      <w:r>
        <w:rPr>
          <w:webHidden/>
        </w:rPr>
        <w:tab/>
      </w:r>
      <w:r>
        <w:rPr>
          <w:webHidden/>
        </w:rPr>
        <w:fldChar w:fldCharType="begin"/>
      </w:r>
      <w:r>
        <w:rPr>
          <w:webHidden/>
        </w:rPr>
        <w:instrText xml:space="preserve"> PAGEREF _Toc237433629 \h </w:instrText>
      </w:r>
      <w:r>
        <w:rPr>
          <w:webHidden/>
        </w:rPr>
        <w:fldChar w:fldCharType="separate"/>
      </w:r>
      <w:r>
        <w:rPr>
          <w:webHidden/>
        </w:rPr>
        <w:t>2</w:t>
      </w:r>
      <w:r>
        <w:rPr>
          <w:webHidden/>
        </w:rPr>
        <w:fldChar w:fldCharType="end"/>
      </w:r>
      <w:r>
        <w:rPr/>
        <w:fldChar w:fldCharType="end"/>
      </w:r>
    </w:p>
    <w:p w14:paraId="40D17131">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"_Toc237433630" </w:instrText>
      </w:r>
      <w:r>
        <w:rPr/>
        <w:fldChar w:fldCharType="separate"/>
      </w:r>
      <w:r>
        <w:rPr>
          <w:rStyle w:val="style85"/>
          <w:rFonts w:cs="Arial"/>
        </w:rPr>
        <w:t xml:space="preserve">Company’s </w:t>
      </w:r>
      <w:r>
        <w:rPr>
          <w:rStyle w:val="style85"/>
        </w:rPr>
        <w:t>Mission and Objectives</w:t>
      </w:r>
      <w:r>
        <w:rPr>
          <w:webHidden/>
        </w:rPr>
        <w:tab/>
      </w:r>
      <w:r>
        <w:rPr>
          <w:webHidden/>
        </w:rPr>
        <w:fldChar w:fldCharType="begin"/>
      </w:r>
      <w:r>
        <w:rPr>
          <w:webHidden/>
        </w:rPr>
        <w:instrText xml:space="preserve"> PAGEREF _Toc237433630 \h </w:instrText>
      </w:r>
      <w:r>
        <w:rPr>
          <w:webHidden/>
        </w:rPr>
        <w:fldChar w:fldCharType="separate"/>
      </w:r>
      <w:r>
        <w:rPr>
          <w:webHidden/>
        </w:rPr>
        <w:t>3</w:t>
      </w:r>
      <w:r>
        <w:rPr>
          <w:webHidden/>
        </w:rPr>
        <w:fldChar w:fldCharType="end"/>
      </w:r>
      <w:r>
        <w:rPr/>
        <w:fldChar w:fldCharType="end"/>
      </w:r>
    </w:p>
    <w:p w14:paraId="3DF02B62">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"_Toc237433631" </w:instrText>
      </w:r>
      <w:r>
        <w:rPr/>
        <w:fldChar w:fldCharType="separate"/>
      </w:r>
      <w:r>
        <w:rPr>
          <w:rStyle w:val="style85"/>
          <w:rFonts w:cs="Arial"/>
        </w:rPr>
        <w:t>Industry, Competitors, and Market Position</w:t>
      </w:r>
      <w:r>
        <w:rPr>
          <w:webHidden/>
        </w:rPr>
        <w:tab/>
      </w:r>
      <w:r>
        <w:rPr>
          <w:webHidden/>
        </w:rPr>
        <w:fldChar w:fldCharType="begin"/>
      </w:r>
      <w:r>
        <w:rPr>
          <w:webHidden/>
        </w:rPr>
        <w:instrText xml:space="preserve"> PAGEREF _Toc237433631 \h </w:instrText>
      </w:r>
      <w:r>
        <w:rPr>
          <w:webHidden/>
        </w:rPr>
        <w:fldChar w:fldCharType="separate"/>
      </w:r>
      <w:r>
        <w:rPr>
          <w:webHidden/>
        </w:rPr>
        <w:t>3</w:t>
      </w:r>
      <w:r>
        <w:rPr>
          <w:webHidden/>
        </w:rPr>
        <w:fldChar w:fldCharType="end"/>
      </w:r>
      <w:r>
        <w:rPr/>
        <w:fldChar w:fldCharType="end"/>
      </w:r>
    </w:p>
    <w:p w14:paraId="41BD2C7D">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"_Toc237433632" </w:instrText>
      </w:r>
      <w:r>
        <w:rPr/>
        <w:fldChar w:fldCharType="separate"/>
      </w:r>
      <w:r>
        <w:rPr>
          <w:rStyle w:val="style85"/>
          <w:rFonts w:cs="Arial"/>
        </w:rPr>
        <w:t>Macro-Environment Analysis</w:t>
      </w:r>
      <w:r>
        <w:rPr>
          <w:webHidden/>
        </w:rPr>
        <w:tab/>
      </w:r>
      <w:r>
        <w:rPr>
          <w:webHidden/>
        </w:rPr>
        <w:fldChar w:fldCharType="begin"/>
      </w:r>
      <w:r>
        <w:rPr>
          <w:webHidden/>
        </w:rPr>
        <w:instrText xml:space="preserve"> PAGEREF _Toc237433632 \h </w:instrText>
      </w:r>
      <w:r>
        <w:rPr>
          <w:webHidden/>
        </w:rPr>
        <w:fldChar w:fldCharType="separate"/>
      </w:r>
      <w:r>
        <w:rPr>
          <w:webHidden/>
        </w:rPr>
        <w:t>4</w:t>
      </w:r>
      <w:r>
        <w:rPr>
          <w:webHidden/>
        </w:rPr>
        <w:fldChar w:fldCharType="end"/>
      </w:r>
      <w:r>
        <w:rPr/>
        <w:fldChar w:fldCharType="end"/>
      </w:r>
    </w:p>
    <w:p w14:paraId="116081BE">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"_Toc237433633" </w:instrText>
      </w:r>
      <w:r>
        <w:rPr/>
        <w:fldChar w:fldCharType="separate"/>
      </w:r>
      <w:r>
        <w:rPr>
          <w:rStyle w:val="style85"/>
          <w:rFonts w:cs="Arial"/>
        </w:rPr>
        <w:t>PESTEL Analysis</w:t>
      </w:r>
      <w:r>
        <w:rPr>
          <w:webHidden/>
        </w:rPr>
        <w:tab/>
      </w:r>
      <w:r>
        <w:rPr>
          <w:webHidden/>
        </w:rPr>
        <w:fldChar w:fldCharType="begin"/>
      </w:r>
      <w:r>
        <w:rPr>
          <w:webHidden/>
        </w:rPr>
        <w:instrText xml:space="preserve"> PAGEREF _Toc237433633 \h </w:instrText>
      </w:r>
      <w:r>
        <w:rPr>
          <w:webHidden/>
        </w:rPr>
        <w:fldChar w:fldCharType="separate"/>
      </w:r>
      <w:r>
        <w:rPr>
          <w:webHidden/>
        </w:rPr>
        <w:t>4</w:t>
      </w:r>
      <w:r>
        <w:rPr>
          <w:webHidden/>
        </w:rPr>
        <w:fldChar w:fldCharType="end"/>
      </w:r>
      <w:r>
        <w:rPr/>
        <w:fldChar w:fldCharType="end"/>
      </w:r>
    </w:p>
    <w:p w14:paraId="3E5E10B1">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"_Toc237433634" </w:instrText>
      </w:r>
      <w:r>
        <w:rPr/>
        <w:fldChar w:fldCharType="separate"/>
      </w:r>
      <w:r>
        <w:rPr>
          <w:rStyle w:val="style85"/>
          <w:rFonts w:cs="Arial"/>
        </w:rPr>
        <w:t>Micro-Environment Analysis</w:t>
      </w:r>
      <w:r>
        <w:rPr>
          <w:webHidden/>
        </w:rPr>
        <w:tab/>
      </w:r>
      <w:r>
        <w:rPr>
          <w:webHidden/>
        </w:rPr>
        <w:fldChar w:fldCharType="begin"/>
      </w:r>
      <w:r>
        <w:rPr>
          <w:webHidden/>
        </w:rPr>
        <w:instrText xml:space="preserve"> PAGEREF _Toc237433634 \h </w:instrText>
      </w:r>
      <w:r>
        <w:rPr>
          <w:webHidden/>
        </w:rPr>
        <w:fldChar w:fldCharType="separate"/>
      </w:r>
      <w:r>
        <w:rPr>
          <w:webHidden/>
        </w:rPr>
        <w:t>5</w:t>
      </w:r>
      <w:r>
        <w:rPr>
          <w:webHidden/>
        </w:rPr>
        <w:fldChar w:fldCharType="end"/>
      </w:r>
      <w:r>
        <w:rPr/>
        <w:fldChar w:fldCharType="end"/>
      </w:r>
    </w:p>
    <w:p w14:paraId="39B338C2">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"_Toc237433635" </w:instrText>
      </w:r>
      <w:r>
        <w:rPr/>
        <w:fldChar w:fldCharType="separate"/>
      </w:r>
      <w:r>
        <w:rPr>
          <w:rStyle w:val="style85"/>
          <w:rFonts w:cs="Arial"/>
        </w:rPr>
        <w:t>Industry Life Cycle</w:t>
      </w:r>
      <w:r>
        <w:rPr>
          <w:webHidden/>
        </w:rPr>
        <w:tab/>
      </w:r>
      <w:r>
        <w:rPr>
          <w:webHidden/>
        </w:rPr>
        <w:fldChar w:fldCharType="begin"/>
      </w:r>
      <w:r>
        <w:rPr>
          <w:webHidden/>
        </w:rPr>
        <w:instrText xml:space="preserve"> PAGEREF _Toc237433635 \h </w:instrText>
      </w:r>
      <w:r>
        <w:rPr>
          <w:webHidden/>
        </w:rPr>
        <w:fldChar w:fldCharType="separate"/>
      </w:r>
      <w:r>
        <w:rPr>
          <w:webHidden/>
        </w:rPr>
        <w:t>5</w:t>
      </w:r>
      <w:r>
        <w:rPr>
          <w:webHidden/>
        </w:rPr>
        <w:fldChar w:fldCharType="end"/>
      </w:r>
      <w:r>
        <w:rPr/>
        <w:fldChar w:fldCharType="end"/>
      </w:r>
    </w:p>
    <w:p w14:paraId="2B9537E1">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"_Toc237433636" </w:instrText>
      </w:r>
      <w:r>
        <w:rPr/>
        <w:fldChar w:fldCharType="separate"/>
      </w:r>
      <w:r>
        <w:rPr>
          <w:rStyle w:val="style85"/>
          <w:rFonts w:cs="Arial"/>
        </w:rPr>
        <w:t>Porter’s Industry Five Forces Analysis</w:t>
      </w:r>
      <w:r>
        <w:rPr>
          <w:webHidden/>
        </w:rPr>
        <w:tab/>
      </w:r>
      <w:r>
        <w:rPr>
          <w:webHidden/>
        </w:rPr>
        <w:fldChar w:fldCharType="begin"/>
      </w:r>
      <w:r>
        <w:rPr>
          <w:webHidden/>
        </w:rPr>
        <w:instrText xml:space="preserve"> PAGEREF _Toc237433636 \h </w:instrText>
      </w:r>
      <w:r>
        <w:rPr>
          <w:webHidden/>
        </w:rPr>
        <w:fldChar w:fldCharType="separate"/>
      </w:r>
      <w:r>
        <w:rPr>
          <w:webHidden/>
        </w:rPr>
        <w:t>7</w:t>
      </w:r>
      <w:r>
        <w:rPr>
          <w:webHidden/>
        </w:rPr>
        <w:fldChar w:fldCharType="end"/>
      </w:r>
      <w:r>
        <w:rPr/>
        <w:fldChar w:fldCharType="end"/>
      </w:r>
    </w:p>
    <w:p w14:paraId="168D7E92">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"_Toc237433637" </w:instrText>
      </w:r>
      <w:r>
        <w:rPr/>
        <w:fldChar w:fldCharType="separate"/>
      </w:r>
      <w:r>
        <w:rPr>
          <w:rStyle w:val="style85"/>
          <w:rFonts w:cs="Arial"/>
        </w:rPr>
        <w:t>Internal Analysis</w:t>
      </w:r>
      <w:r>
        <w:rPr>
          <w:webHidden/>
        </w:rPr>
        <w:tab/>
      </w:r>
      <w:r>
        <w:rPr>
          <w:webHidden/>
        </w:rPr>
        <w:fldChar w:fldCharType="begin"/>
      </w:r>
      <w:r>
        <w:rPr>
          <w:webHidden/>
        </w:rPr>
        <w:instrText xml:space="preserve"> PAGEREF _Toc237433637 \h </w:instrText>
      </w:r>
      <w:r>
        <w:rPr>
          <w:webHidden/>
        </w:rPr>
        <w:fldChar w:fldCharType="separate"/>
      </w:r>
      <w:r>
        <w:rPr>
          <w:webHidden/>
        </w:rPr>
        <w:t>8</w:t>
      </w:r>
      <w:r>
        <w:rPr>
          <w:webHidden/>
        </w:rPr>
        <w:fldChar w:fldCharType="end"/>
      </w:r>
      <w:r>
        <w:rPr/>
        <w:fldChar w:fldCharType="end"/>
      </w:r>
    </w:p>
    <w:p w14:paraId="4D3D539F">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"_Toc237433638" </w:instrText>
      </w:r>
      <w:r>
        <w:rPr/>
        <w:fldChar w:fldCharType="separate"/>
      </w:r>
      <w:r>
        <w:rPr>
          <w:rStyle w:val="style85"/>
          <w:rFonts w:cs="Arial"/>
        </w:rPr>
        <w:t>Tesco’s Strategic Resources and Capabilities</w:t>
      </w:r>
      <w:r>
        <w:rPr>
          <w:webHidden/>
        </w:rPr>
        <w:tab/>
      </w:r>
      <w:r>
        <w:rPr>
          <w:webHidden/>
        </w:rPr>
        <w:fldChar w:fldCharType="begin"/>
      </w:r>
      <w:r>
        <w:rPr>
          <w:webHidden/>
        </w:rPr>
        <w:instrText xml:space="preserve"> PAGEREF _Toc237433638 \h </w:instrText>
      </w:r>
      <w:r>
        <w:rPr>
          <w:webHidden/>
        </w:rPr>
        <w:fldChar w:fldCharType="separate"/>
      </w:r>
      <w:r>
        <w:rPr>
          <w:webHidden/>
        </w:rPr>
        <w:t>8</w:t>
      </w:r>
      <w:r>
        <w:rPr>
          <w:webHidden/>
        </w:rPr>
        <w:fldChar w:fldCharType="end"/>
      </w:r>
      <w:r>
        <w:rPr/>
        <w:fldChar w:fldCharType="end"/>
      </w:r>
    </w:p>
    <w:p w14:paraId="44BDD786">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"_Toc237433639" </w:instrText>
      </w:r>
      <w:r>
        <w:rPr/>
        <w:fldChar w:fldCharType="separate"/>
      </w:r>
      <w:r>
        <w:rPr>
          <w:rStyle w:val="style85"/>
          <w:rFonts w:cs="Arial"/>
        </w:rPr>
        <w:t>Value Chain Analysis</w:t>
      </w:r>
      <w:r>
        <w:rPr>
          <w:webHidden/>
        </w:rPr>
        <w:tab/>
      </w:r>
      <w:r>
        <w:rPr>
          <w:webHidden/>
        </w:rPr>
        <w:fldChar w:fldCharType="begin"/>
      </w:r>
      <w:r>
        <w:rPr>
          <w:webHidden/>
        </w:rPr>
        <w:instrText xml:space="preserve"> PAGEREF _Toc237433639 \h </w:instrText>
      </w:r>
      <w:r>
        <w:rPr>
          <w:webHidden/>
        </w:rPr>
        <w:fldChar w:fldCharType="separate"/>
      </w:r>
      <w:r>
        <w:rPr>
          <w:webHidden/>
        </w:rPr>
        <w:t>9</w:t>
      </w:r>
      <w:r>
        <w:rPr>
          <w:webHidden/>
        </w:rPr>
        <w:fldChar w:fldCharType="end"/>
      </w:r>
      <w:r>
        <w:rPr/>
        <w:fldChar w:fldCharType="end"/>
      </w:r>
    </w:p>
    <w:p w14:paraId="42020493">
      <w:pPr>
        <w:pStyle w:val="style21"/>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"_Toc237433640" </w:instrText>
      </w:r>
      <w:r>
        <w:rPr/>
        <w:fldChar w:fldCharType="separate"/>
      </w:r>
      <w:r>
        <w:rPr>
          <w:rStyle w:val="style85"/>
          <w:rFonts w:cs="Arial"/>
        </w:rPr>
        <w:t>Primary Activities</w:t>
      </w:r>
      <w:r>
        <w:rPr>
          <w:webHidden/>
        </w:rPr>
        <w:tab/>
      </w:r>
      <w:r>
        <w:rPr>
          <w:webHidden/>
        </w:rPr>
        <w:fldChar w:fldCharType="begin"/>
      </w:r>
      <w:r>
        <w:rPr>
          <w:webHidden/>
        </w:rPr>
        <w:instrText xml:space="preserve"> PAGEREF _Toc237433640 \h </w:instrText>
      </w:r>
      <w:r>
        <w:rPr>
          <w:webHidden/>
        </w:rPr>
        <w:fldChar w:fldCharType="separate"/>
      </w:r>
      <w:r>
        <w:rPr>
          <w:webHidden/>
        </w:rPr>
        <w:t>9</w:t>
      </w:r>
      <w:r>
        <w:rPr>
          <w:webHidden/>
        </w:rPr>
        <w:fldChar w:fldCharType="end"/>
      </w:r>
      <w:r>
        <w:rPr/>
        <w:fldChar w:fldCharType="end"/>
      </w:r>
    </w:p>
    <w:p w14:paraId="62764D86">
      <w:pPr>
        <w:pStyle w:val="style21"/>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"_Toc237433641" </w:instrText>
      </w:r>
      <w:r>
        <w:rPr/>
        <w:fldChar w:fldCharType="separate"/>
      </w:r>
      <w:r>
        <w:rPr>
          <w:rStyle w:val="style85"/>
          <w:rFonts w:cs="Arial"/>
        </w:rPr>
        <w:t>Secondary Activities</w:t>
      </w:r>
      <w:r>
        <w:rPr>
          <w:webHidden/>
        </w:rPr>
        <w:tab/>
      </w:r>
      <w:r>
        <w:rPr>
          <w:webHidden/>
        </w:rPr>
        <w:fldChar w:fldCharType="begin"/>
      </w:r>
      <w:r>
        <w:rPr>
          <w:webHidden/>
        </w:rPr>
        <w:instrText xml:space="preserve"> PAGEREF _Toc237433641 \h </w:instrText>
      </w:r>
      <w:r>
        <w:rPr>
          <w:webHidden/>
        </w:rPr>
        <w:fldChar w:fldCharType="separate"/>
      </w:r>
      <w:r>
        <w:rPr>
          <w:webHidden/>
        </w:rPr>
        <w:t>10</w:t>
      </w:r>
      <w:r>
        <w:rPr>
          <w:webHidden/>
        </w:rPr>
        <w:fldChar w:fldCharType="end"/>
      </w:r>
      <w:r>
        <w:rPr/>
        <w:fldChar w:fldCharType="end"/>
      </w:r>
    </w:p>
    <w:p w14:paraId="6F88EA83">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"_Toc237433642" </w:instrText>
      </w:r>
      <w:r>
        <w:rPr/>
        <w:fldChar w:fldCharType="separate"/>
      </w:r>
      <w:r>
        <w:rPr>
          <w:rStyle w:val="style85"/>
          <w:rFonts w:cs="Arial"/>
        </w:rPr>
        <w:t>VRIO Analysis of Distinctive Resources and Capabilities</w:t>
      </w:r>
      <w:r>
        <w:rPr>
          <w:webHidden/>
        </w:rPr>
        <w:tab/>
      </w:r>
      <w:r>
        <w:rPr>
          <w:webHidden/>
        </w:rPr>
        <w:fldChar w:fldCharType="begin"/>
      </w:r>
      <w:r>
        <w:rPr>
          <w:webHidden/>
        </w:rPr>
        <w:instrText xml:space="preserve"> PAGEREF _Toc237433642 \h </w:instrText>
      </w:r>
      <w:r>
        <w:rPr>
          <w:webHidden/>
        </w:rPr>
        <w:fldChar w:fldCharType="separate"/>
      </w:r>
      <w:r>
        <w:rPr>
          <w:webHidden/>
        </w:rPr>
        <w:t>10</w:t>
      </w:r>
      <w:r>
        <w:rPr>
          <w:webHidden/>
        </w:rPr>
        <w:fldChar w:fldCharType="end"/>
      </w:r>
      <w:r>
        <w:rPr/>
        <w:fldChar w:fldCharType="end"/>
      </w:r>
    </w:p>
    <w:p w14:paraId="7299A5D0">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"_Toc237433643" </w:instrText>
      </w:r>
      <w:r>
        <w:rPr/>
        <w:fldChar w:fldCharType="separate"/>
      </w:r>
      <w:r>
        <w:rPr>
          <w:rStyle w:val="style85"/>
          <w:rFonts w:cs="Arial"/>
        </w:rPr>
        <w:t>SWOT Analysis</w:t>
      </w:r>
      <w:r>
        <w:rPr>
          <w:webHidden/>
        </w:rPr>
        <w:tab/>
      </w:r>
      <w:r>
        <w:rPr>
          <w:webHidden/>
        </w:rPr>
        <w:fldChar w:fldCharType="begin"/>
      </w:r>
      <w:r>
        <w:rPr>
          <w:webHidden/>
        </w:rPr>
        <w:instrText xml:space="preserve"> PAGEREF _Toc237433643 \h </w:instrText>
      </w:r>
      <w:r>
        <w:rPr>
          <w:webHidden/>
        </w:rPr>
        <w:fldChar w:fldCharType="separate"/>
      </w:r>
      <w:r>
        <w:rPr>
          <w:webHidden/>
        </w:rPr>
        <w:t>10</w:t>
      </w:r>
      <w:r>
        <w:rPr>
          <w:webHidden/>
        </w:rPr>
        <w:fldChar w:fldCharType="end"/>
      </w:r>
      <w:r>
        <w:rPr/>
        <w:fldChar w:fldCharType="end"/>
      </w:r>
    </w:p>
    <w:p w14:paraId="0B7B1114">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"_Toc237433644" </w:instrText>
      </w:r>
      <w:r>
        <w:rPr/>
        <w:fldChar w:fldCharType="separate"/>
      </w:r>
      <w:r>
        <w:rPr>
          <w:rStyle w:val="style85"/>
          <w:rFonts w:cs="Arial"/>
        </w:rPr>
        <w:t>Strategies to Sustain Competitive Advantage</w:t>
      </w:r>
      <w:r>
        <w:rPr>
          <w:webHidden/>
        </w:rPr>
        <w:tab/>
      </w:r>
      <w:r>
        <w:rPr>
          <w:webHidden/>
        </w:rPr>
        <w:fldChar w:fldCharType="begin"/>
      </w:r>
      <w:r>
        <w:rPr>
          <w:webHidden/>
        </w:rPr>
        <w:instrText xml:space="preserve"> PAGEREF _Toc237433644 \h </w:instrText>
      </w:r>
      <w:r>
        <w:rPr>
          <w:webHidden/>
        </w:rPr>
        <w:fldChar w:fldCharType="separate"/>
      </w:r>
      <w:r>
        <w:rPr>
          <w:webHidden/>
        </w:rPr>
        <w:t>11</w:t>
      </w:r>
      <w:r>
        <w:rPr>
          <w:webHidden/>
        </w:rPr>
        <w:fldChar w:fldCharType="end"/>
      </w:r>
      <w:r>
        <w:rPr/>
        <w:fldChar w:fldCharType="end"/>
      </w:r>
    </w:p>
    <w:p w14:paraId="0B4AF121">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"_Toc237433645" </w:instrText>
      </w:r>
      <w:r>
        <w:rPr/>
        <w:fldChar w:fldCharType="separate"/>
      </w:r>
      <w:r>
        <w:rPr>
          <w:rStyle w:val="style85"/>
          <w:rFonts w:cs="Arial"/>
        </w:rPr>
        <w:t>Growth Strategies</w:t>
      </w:r>
      <w:r>
        <w:rPr>
          <w:webHidden/>
        </w:rPr>
        <w:tab/>
      </w:r>
      <w:r>
        <w:rPr>
          <w:webHidden/>
        </w:rPr>
        <w:fldChar w:fldCharType="begin"/>
      </w:r>
      <w:r>
        <w:rPr>
          <w:webHidden/>
        </w:rPr>
        <w:instrText xml:space="preserve"> PAGEREF _Toc237433645 \h </w:instrText>
      </w:r>
      <w:r>
        <w:rPr>
          <w:webHidden/>
        </w:rPr>
        <w:fldChar w:fldCharType="separate"/>
      </w:r>
      <w:r>
        <w:rPr>
          <w:webHidden/>
        </w:rPr>
        <w:t>12</w:t>
      </w:r>
      <w:r>
        <w:rPr>
          <w:webHidden/>
        </w:rPr>
        <w:fldChar w:fldCharType="end"/>
      </w:r>
      <w:r>
        <w:rPr/>
        <w:fldChar w:fldCharType="end"/>
      </w:r>
    </w:p>
    <w:p w14:paraId="55112FB1">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"_Toc237433646" </w:instrText>
      </w:r>
      <w:r>
        <w:rPr/>
        <w:fldChar w:fldCharType="separate"/>
      </w:r>
      <w:r>
        <w:rPr>
          <w:rStyle w:val="style85"/>
          <w:rFonts w:cs="Arial"/>
        </w:rPr>
        <w:t>Green Strategy and CSR</w:t>
      </w:r>
      <w:r>
        <w:rPr>
          <w:webHidden/>
        </w:rPr>
        <w:tab/>
      </w:r>
      <w:r>
        <w:rPr>
          <w:webHidden/>
        </w:rPr>
        <w:fldChar w:fldCharType="begin"/>
      </w:r>
      <w:r>
        <w:rPr>
          <w:webHidden/>
        </w:rPr>
        <w:instrText xml:space="preserve"> PAGEREF _Toc237433646 \h </w:instrText>
      </w:r>
      <w:r>
        <w:rPr>
          <w:webHidden/>
        </w:rPr>
        <w:fldChar w:fldCharType="separate"/>
      </w:r>
      <w:r>
        <w:rPr>
          <w:webHidden/>
        </w:rPr>
        <w:t>13</w:t>
      </w:r>
      <w:r>
        <w:rPr>
          <w:webHidden/>
        </w:rPr>
        <w:fldChar w:fldCharType="end"/>
      </w:r>
      <w:r>
        <w:rPr/>
        <w:fldChar w:fldCharType="end"/>
      </w:r>
    </w:p>
    <w:p w14:paraId="0F5F75B1">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"_Toc237433647" </w:instrText>
      </w:r>
      <w:r>
        <w:rPr/>
        <w:fldChar w:fldCharType="separate"/>
      </w:r>
      <w:r>
        <w:rPr>
          <w:rStyle w:val="style85"/>
          <w:rFonts w:cs="Arial"/>
        </w:rPr>
        <w:t>Conclusion</w:t>
      </w:r>
      <w:r>
        <w:rPr>
          <w:webHidden/>
        </w:rPr>
        <w:tab/>
      </w:r>
      <w:r>
        <w:rPr>
          <w:webHidden/>
        </w:rPr>
        <w:fldChar w:fldCharType="begin"/>
      </w:r>
      <w:r>
        <w:rPr>
          <w:webHidden/>
        </w:rPr>
        <w:instrText xml:space="preserve"> PAGEREF _Toc237433647 \h </w:instrText>
      </w:r>
      <w:r>
        <w:rPr>
          <w:webHidden/>
        </w:rPr>
        <w:fldChar w:fldCharType="separate"/>
      </w:r>
      <w:r>
        <w:rPr>
          <w:webHidden/>
        </w:rPr>
        <w:t>16</w:t>
      </w:r>
      <w:r>
        <w:rPr>
          <w:webHidden/>
        </w:rPr>
        <w:fldChar w:fldCharType="end"/>
      </w:r>
      <w:r>
        <w:rPr/>
        <w:fldChar w:fldCharType="end"/>
      </w:r>
    </w:p>
    <w:p w14:paraId="5C32B95A">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"_Toc237433648" </w:instrText>
      </w:r>
      <w:r>
        <w:rPr/>
        <w:fldChar w:fldCharType="separate"/>
      </w:r>
      <w:r>
        <w:rPr>
          <w:rStyle w:val="style85"/>
          <w:rFonts w:cs="Arial"/>
        </w:rPr>
        <w:t>Recommendation</w:t>
      </w:r>
      <w:r>
        <w:rPr>
          <w:webHidden/>
        </w:rPr>
        <w:tab/>
      </w:r>
      <w:r>
        <w:rPr>
          <w:webHidden/>
        </w:rPr>
        <w:fldChar w:fldCharType="begin"/>
      </w:r>
      <w:r>
        <w:rPr>
          <w:webHidden/>
        </w:rPr>
        <w:instrText xml:space="preserve"> PAGEREF _Toc237433648 \h </w:instrText>
      </w:r>
      <w:r>
        <w:rPr>
          <w:webHidden/>
        </w:rPr>
        <w:fldChar w:fldCharType="separate"/>
      </w:r>
      <w:r>
        <w:rPr>
          <w:webHidden/>
        </w:rPr>
        <w:t>16</w:t>
      </w:r>
      <w:r>
        <w:rPr>
          <w:webHidden/>
        </w:rPr>
        <w:fldChar w:fldCharType="end"/>
      </w:r>
      <w:r>
        <w:rPr/>
        <w:fldChar w:fldCharType="end"/>
      </w:r>
    </w:p>
    <w:p w14:paraId="20FD986D">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"_Toc237433649" </w:instrText>
      </w:r>
      <w:r>
        <w:rPr/>
        <w:fldChar w:fldCharType="separate"/>
      </w:r>
      <w:r>
        <w:rPr>
          <w:rStyle w:val="style85"/>
        </w:rPr>
        <w:t>Section 2: Reflection</w:t>
      </w:r>
      <w:r>
        <w:rPr>
          <w:webHidden/>
        </w:rPr>
        <w:tab/>
      </w:r>
      <w:r>
        <w:rPr>
          <w:webHidden/>
        </w:rPr>
        <w:fldChar w:fldCharType="begin"/>
      </w:r>
      <w:r>
        <w:rPr>
          <w:webHidden/>
        </w:rPr>
        <w:instrText xml:space="preserve"> PAGEREF _Toc237433649 \h </w:instrText>
      </w:r>
      <w:r>
        <w:rPr>
          <w:webHidden/>
        </w:rPr>
        <w:fldChar w:fldCharType="separate"/>
      </w:r>
      <w:r>
        <w:rPr>
          <w:webHidden/>
        </w:rPr>
        <w:t>17</w:t>
      </w:r>
      <w:r>
        <w:rPr>
          <w:webHidden/>
        </w:rPr>
        <w:fldChar w:fldCharType="end"/>
      </w:r>
      <w:r>
        <w:rPr/>
        <w:fldChar w:fldCharType="end"/>
      </w:r>
    </w:p>
    <w:p w14:paraId="3BCD4233">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"_Toc237433650" </w:instrText>
      </w:r>
      <w:r>
        <w:rPr/>
        <w:fldChar w:fldCharType="separate"/>
      </w:r>
      <w:r>
        <w:rPr>
          <w:rStyle w:val="style85"/>
          <w:rFonts w:cs="Arial"/>
        </w:rPr>
        <w:t>References</w:t>
      </w:r>
      <w:r>
        <w:rPr>
          <w:webHidden/>
        </w:rPr>
        <w:tab/>
      </w:r>
      <w:r>
        <w:rPr>
          <w:webHidden/>
        </w:rPr>
        <w:fldChar w:fldCharType="begin"/>
      </w:r>
      <w:r>
        <w:rPr>
          <w:webHidden/>
        </w:rPr>
        <w:instrText xml:space="preserve"> PAGEREF _Toc237433650 \h </w:instrText>
      </w:r>
      <w:r>
        <w:rPr>
          <w:webHidden/>
        </w:rPr>
        <w:fldChar w:fldCharType="separate"/>
      </w:r>
      <w:r>
        <w:rPr>
          <w:webHidden/>
        </w:rPr>
        <w:t>21</w:t>
      </w:r>
      <w:r>
        <w:rPr>
          <w:webHidden/>
        </w:rPr>
        <w:fldChar w:fldCharType="end"/>
      </w:r>
      <w:r>
        <w:rPr/>
        <w:fldChar w:fldCharType="end"/>
      </w:r>
    </w:p>
    <w:p w14:paraId="4C7165A2">
      <w:pPr>
        <w:pStyle w:val="style19"/>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"_Toc237433651" </w:instrText>
      </w:r>
      <w:r>
        <w:rPr/>
        <w:fldChar w:fldCharType="separate"/>
      </w:r>
      <w:r>
        <w:rPr>
          <w:rStyle w:val="style85"/>
          <w:rFonts w:cs="Arial"/>
        </w:rPr>
        <w:t>Appendix</w:t>
      </w:r>
      <w:r>
        <w:rPr>
          <w:webHidden/>
        </w:rPr>
        <w:tab/>
      </w:r>
      <w:r>
        <w:rPr>
          <w:webHidden/>
        </w:rPr>
        <w:fldChar w:fldCharType="begin"/>
      </w:r>
      <w:r>
        <w:rPr>
          <w:webHidden/>
        </w:rPr>
        <w:instrText xml:space="preserve"> PAGEREF _Toc237433651 \h </w:instrText>
      </w:r>
      <w:r>
        <w:rPr>
          <w:webHidden/>
        </w:rPr>
        <w:fldChar w:fldCharType="separate"/>
      </w:r>
      <w:r>
        <w:rPr>
          <w:webHidden/>
        </w:rPr>
        <w:t>25</w:t>
      </w:r>
      <w:r>
        <w:rPr>
          <w:webHidden/>
        </w:rPr>
        <w:fldChar w:fldCharType="end"/>
      </w:r>
      <w:r>
        <w:rPr/>
        <w:fldChar w:fldCharType="end"/>
      </w:r>
    </w:p>
    <w:p w14:paraId="3554E027">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"_Toc237433652" </w:instrText>
      </w:r>
      <w:r>
        <w:rPr/>
        <w:fldChar w:fldCharType="separate"/>
      </w:r>
      <w:r>
        <w:rPr>
          <w:rStyle w:val="style85"/>
          <w:rFonts w:cs="Arial"/>
        </w:rPr>
        <w:t>Appendix 1: VIRO ANALYSIS TABLE</w:t>
      </w:r>
      <w:r>
        <w:rPr>
          <w:webHidden/>
        </w:rPr>
        <w:tab/>
      </w:r>
      <w:r>
        <w:rPr>
          <w:webHidden/>
        </w:rPr>
        <w:fldChar w:fldCharType="begin"/>
      </w:r>
      <w:r>
        <w:rPr>
          <w:webHidden/>
        </w:rPr>
        <w:instrText xml:space="preserve"> PAGEREF _Toc237433652 \h </w:instrText>
      </w:r>
      <w:r>
        <w:rPr>
          <w:webHidden/>
        </w:rPr>
        <w:fldChar w:fldCharType="separate"/>
      </w:r>
      <w:r>
        <w:rPr>
          <w:webHidden/>
        </w:rPr>
        <w:t>25</w:t>
      </w:r>
      <w:r>
        <w:rPr>
          <w:webHidden/>
        </w:rPr>
        <w:fldChar w:fldCharType="end"/>
      </w:r>
      <w:r>
        <w:rPr/>
        <w:fldChar w:fldCharType="end"/>
      </w:r>
    </w:p>
    <w:p w14:paraId="14280C04">
      <w:pPr>
        <w:pStyle w:val="style20"/>
        <w:tabs>
          <w:tab w:val="right" w:leader="dot" w:pos="9016"/>
        </w:tabs>
        <w:rPr>
          <w:rFonts w:ascii="Calibri" w:eastAsia="宋体" w:hAnsi="Calibri"/>
          <w:kern w:val="2"/>
          <w:szCs w:val="24"/>
          <w:lang w:val="en-IN" w:eastAsia="en-IN"/>
          <w14:ligatures xmlns:w14="http://schemas.microsoft.com/office/word/2010/wordml" w14:val="standardContextual"/>
        </w:rPr>
      </w:pPr>
      <w:r>
        <w:rPr/>
        <w:fldChar w:fldCharType="begin"/>
      </w:r>
      <w:r>
        <w:instrText xml:space="preserve"> HYPERLINK \l "_Toc237433653" </w:instrText>
      </w:r>
      <w:r>
        <w:rPr/>
        <w:fldChar w:fldCharType="separate"/>
      </w:r>
      <w:r>
        <w:rPr>
          <w:rStyle w:val="style85"/>
          <w:rFonts w:cs="Arial"/>
        </w:rPr>
        <w:t>Appendix 2: Balanced Scorecard (Kaplan &amp; Norton, 1992) - Tesco PLC</w:t>
      </w:r>
      <w:r>
        <w:rPr>
          <w:webHidden/>
        </w:rPr>
        <w:tab/>
      </w:r>
      <w:r>
        <w:rPr>
          <w:webHidden/>
        </w:rPr>
        <w:fldChar w:fldCharType="begin"/>
      </w:r>
      <w:r>
        <w:rPr>
          <w:webHidden/>
        </w:rPr>
        <w:instrText xml:space="preserve"> PAGEREF _Toc237433653 \h </w:instrText>
      </w:r>
      <w:r>
        <w:rPr>
          <w:webHidden/>
        </w:rPr>
        <w:fldChar w:fldCharType="separate"/>
      </w:r>
      <w:r>
        <w:rPr>
          <w:webHidden/>
        </w:rPr>
        <w:t>26</w:t>
      </w:r>
      <w:r>
        <w:rPr>
          <w:webHidden/>
        </w:rPr>
        <w:fldChar w:fldCharType="end"/>
      </w:r>
      <w:r>
        <w:rPr/>
        <w:fldChar w:fldCharType="end"/>
      </w:r>
    </w:p>
    <w:p w14:paraId="1A711368">
      <w:pPr>
        <w:pStyle w:val="style0"/>
        <w:rPr>
          <w:rFonts w:ascii="Arial" w:cs="Arial" w:hAnsi="Arial"/>
        </w:rPr>
      </w:pPr>
      <w:r>
        <w:rPr>
          <w:rFonts w:ascii="Arial" w:cs="Arial" w:hAnsi="Arial"/>
        </w:rPr>
        <w:fldChar w:fldCharType="end"/>
      </w:r>
    </w:p>
    <w:p w14:paraId="6C7B7FB5">
      <w:pPr>
        <w:pStyle w:val="style0"/>
        <w:rPr>
          <w:rFonts w:ascii="Arial" w:cs="Arial" w:hAnsi="Arial"/>
        </w:rPr>
      </w:pPr>
      <w:r>
        <w:rPr>
          <w:rFonts w:ascii="Arial" w:cs="Arial" w:hAnsi="Arial"/>
        </w:rPr>
        <w:t xml:space="preserve"> </w:t>
      </w:r>
    </w:p>
    <w:p w14:paraId="508F2385">
      <w:pPr>
        <w:pStyle w:val="style0"/>
        <w:rPr>
          <w:rFonts w:ascii="Arial" w:cs="Arial" w:eastAsia="宋体" w:hAnsi="Arial"/>
          <w:b/>
          <w:bCs/>
          <w:color w:val="17365d"/>
          <w:szCs w:val="24"/>
          <w:lang w:eastAsia="ja-JP"/>
        </w:rPr>
      </w:pPr>
      <w:r>
        <w:rPr>
          <w:rFonts w:ascii="Arial" w:cs="Arial" w:hAnsi="Arial"/>
        </w:rPr>
        <w:br w:type="page"/>
      </w:r>
    </w:p>
    <w:bookmarkStart w:id="0" w:name="_Toc237433627"/>
    <w:p w14:paraId="6DC70FAE">
      <w:pPr>
        <w:pStyle w:val="style1"/>
        <w:rPr>
          <w:rFonts w:cs="Arial"/>
        </w:rPr>
      </w:pPr>
      <w:r>
        <w:rPr>
          <w:rFonts w:cs="Arial"/>
        </w:rPr>
        <w:t>Section 1: Strategic Analysis of Tesco PLC</w:t>
      </w:r>
      <w:bookmarkEnd w:id="0"/>
    </w:p>
    <w:bookmarkStart w:id="1" w:name="_Toc237433628"/>
    <w:p w14:paraId="4C92C859">
      <w:pPr>
        <w:pStyle w:val="style1"/>
        <w:rPr>
          <w:rFonts w:cs="Arial"/>
        </w:rPr>
      </w:pPr>
      <w:r>
        <w:rPr>
          <w:rFonts w:cs="Arial"/>
        </w:rPr>
        <w:t>Introduction</w:t>
      </w:r>
      <w:bookmarkEnd w:id="1"/>
    </w:p>
    <w:p w14:paraId="56B520D2">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 xml:space="preserve">Strategic management allows an organisation to put in place elements that will give </w:t>
      </w:r>
      <w:r>
        <w:rPr>
          <w:rFonts w:ascii="Arial" w:cs="Arial" w:hAnsi="Arial"/>
          <w:szCs w:val="24"/>
        </w:rPr>
        <w:t>it</w:t>
      </w:r>
      <w:r>
        <w:rPr>
          <w:rFonts w:ascii="Arial" w:cs="Arial" w:hAnsi="Arial"/>
          <w:szCs w:val="24"/>
        </w:rPr>
        <w:t xml:space="preserve"> a competitive advantage in a changing external environment. UK grocery companies face strong competition, digital transformation, evolving consumer habits and growing sustainability requirements, making it essential to constantly evolve to stay competitive. The report offers a critical assessment of the strategic position of Tesco PLC in the UK grocery retail market using some classic strategic management frameworks alongside up-to-date industry evidence. PESTEL analysis and the Industry Life Cycle </w:t>
      </w:r>
      <w:r>
        <w:rPr>
          <w:rFonts w:ascii="Arial" w:cs="Arial" w:hAnsi="Arial"/>
          <w:szCs w:val="24"/>
        </w:rPr>
        <w:t>are</w:t>
      </w:r>
      <w:r>
        <w:rPr>
          <w:rFonts w:ascii="Arial" w:cs="Arial" w:hAnsi="Arial"/>
          <w:szCs w:val="24"/>
        </w:rPr>
        <w:t xml:space="preserve"> used to examine the external environment</w:t>
      </w:r>
      <w:r>
        <w:rPr>
          <w:rFonts w:ascii="Arial" w:cs="Arial" w:hAnsi="Arial"/>
          <w:szCs w:val="24"/>
        </w:rPr>
        <w:t>,</w:t>
      </w:r>
      <w:r>
        <w:rPr>
          <w:rFonts w:ascii="Arial" w:cs="Arial" w:hAnsi="Arial"/>
          <w:szCs w:val="24"/>
        </w:rPr>
        <w:t xml:space="preserve"> while Value Chain, VRIO</w:t>
      </w:r>
      <w:r>
        <w:rPr>
          <w:rFonts w:ascii="Arial" w:cs="Arial" w:hAnsi="Arial"/>
          <w:szCs w:val="24"/>
        </w:rPr>
        <w:t>,</w:t>
      </w:r>
      <w:r>
        <w:rPr>
          <w:rFonts w:ascii="Arial" w:cs="Arial" w:hAnsi="Arial"/>
          <w:szCs w:val="24"/>
        </w:rPr>
        <w:t xml:space="preserve"> and SWOT analysis are used to analyse the capability of Tesco in the external environment.</w:t>
      </w:r>
      <w:r>
        <w:rPr>
          <w:rFonts w:ascii="Arial" w:cs="Arial" w:hAnsi="Arial"/>
          <w:szCs w:val="24"/>
        </w:rPr>
        <w:t xml:space="preserve"> </w:t>
      </w:r>
      <w:r>
        <w:rPr>
          <w:rFonts w:ascii="Arial" w:cs="Arial" w:hAnsi="Arial"/>
          <w:szCs w:val="24"/>
        </w:rPr>
        <w:t xml:space="preserve">The report also explores how the company leverages its key competitive strategy, growth efforts, and environmental, social, and governance (ESG) commitments in order to assess their individual roles in </w:t>
      </w:r>
      <w:r>
        <w:rPr>
          <w:rFonts w:ascii="Arial" w:cs="Arial" w:hAnsi="Arial"/>
          <w:szCs w:val="24"/>
        </w:rPr>
        <w:t>its</w:t>
      </w:r>
      <w:r>
        <w:rPr>
          <w:rFonts w:ascii="Arial" w:cs="Arial" w:hAnsi="Arial"/>
          <w:szCs w:val="24"/>
        </w:rPr>
        <w:t xml:space="preserve"> long-term competitive advantage. </w:t>
      </w:r>
    </w:p>
    <w:bookmarkStart w:id="2" w:name="_Toc237433629"/>
    <w:p w14:paraId="2504C235">
      <w:pPr>
        <w:pStyle w:val="style1"/>
        <w:rPr>
          <w:rFonts w:cs="Arial"/>
        </w:rPr>
      </w:pPr>
      <w:r>
        <w:rPr>
          <w:rFonts w:cs="Arial"/>
        </w:rPr>
        <w:t>Company’s</w:t>
      </w:r>
      <w:r>
        <w:rPr>
          <w:rFonts w:cs="Arial"/>
        </w:rPr>
        <w:t xml:space="preserve"> Background</w:t>
      </w:r>
      <w:bookmarkEnd w:id="2"/>
    </w:p>
    <w:p w14:paraId="16916103">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 xml:space="preserve">Tesco PLC is an international supermarket chain that operates in general merchandise retail, and its headquarters </w:t>
      </w:r>
      <w:r>
        <w:rPr>
          <w:rFonts w:ascii="Arial" w:cs="Arial" w:hAnsi="Arial"/>
          <w:szCs w:val="24"/>
        </w:rPr>
        <w:t>are</w:t>
      </w:r>
      <w:r>
        <w:rPr>
          <w:rFonts w:ascii="Arial" w:cs="Arial" w:hAnsi="Arial"/>
          <w:szCs w:val="24"/>
        </w:rPr>
        <w:t xml:space="preserve"> in Welwyn Garden City, England. It is one of the most researched examples of organic and acquisitive growth of a retail company in the UK (</w:t>
      </w:r>
      <w:r>
        <w:rPr>
          <w:rFonts w:ascii="Arial" w:cs="Arial" w:hAnsi="Arial"/>
        </w:rPr>
        <w:t>Salmon,</w:t>
      </w:r>
      <w:r>
        <w:rPr>
          <w:rFonts w:ascii="Arial" w:cs="Arial" w:hAnsi="Arial"/>
        </w:rPr>
        <w:t xml:space="preserve"> </w:t>
      </w:r>
      <w:r>
        <w:rPr>
          <w:rFonts w:ascii="Arial" w:cs="Arial" w:hAnsi="Arial"/>
        </w:rPr>
        <w:t>and Godley,</w:t>
      </w:r>
      <w:r>
        <w:rPr>
          <w:rFonts w:ascii="Arial" w:cs="Arial" w:hAnsi="Arial"/>
        </w:rPr>
        <w:t xml:space="preserve"> 2025</w:t>
      </w:r>
      <w:r>
        <w:rPr>
          <w:rFonts w:ascii="Arial" w:cs="Arial" w:hAnsi="Arial"/>
          <w:szCs w:val="24"/>
        </w:rPr>
        <w:t xml:space="preserve">). </w:t>
      </w:r>
      <w:r>
        <w:rPr>
          <w:rFonts w:ascii="Arial" w:cs="Arial" w:hAnsi="Arial"/>
          <w:szCs w:val="24"/>
        </w:rPr>
        <w:t>T</w:t>
      </w:r>
      <w:r>
        <w:rPr>
          <w:rFonts w:ascii="Arial" w:cs="Arial" w:hAnsi="Arial"/>
          <w:szCs w:val="24"/>
        </w:rPr>
        <w:t>he first Tesco store was opened in 1929 in Edgware; the Tesco shares went public at the London Stock Exchange in 1947 (</w:t>
      </w:r>
      <w:r>
        <w:rPr>
          <w:rFonts w:ascii="Arial" w:cs="Arial" w:hAnsi="Arial"/>
        </w:rPr>
        <w:t>Salmon, and Godley,</w:t>
      </w:r>
      <w:r>
        <w:rPr>
          <w:rFonts w:ascii="Arial" w:cs="Arial" w:hAnsi="Arial"/>
        </w:rPr>
        <w:t xml:space="preserve"> 2025</w:t>
      </w:r>
      <w:r>
        <w:rPr>
          <w:rFonts w:ascii="Arial" w:cs="Arial" w:hAnsi="Arial"/>
          <w:szCs w:val="24"/>
        </w:rPr>
        <w:t xml:space="preserve">; </w:t>
      </w:r>
      <w:r>
        <w:rPr>
          <w:rFonts w:ascii="Arial" w:cs="Arial" w:hAnsi="Arial"/>
          <w:szCs w:val="24"/>
        </w:rPr>
        <w:t>Fu, 2024).</w:t>
      </w:r>
    </w:p>
    <w:p w14:paraId="0B653CCB">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The Group focuses on the UK, the Republic of Ireland and Central Europe (Czechia, Slovakia and Hungary) following the decision to exit the United States market in 2013 and the Asian market, which includes Thailand, Malaysia and South Korea, from 2020 (Tesco PLC, 2025). In addition to food retailing, Tesco's business approach has evolved to include financial services, mobile telecommunications, and</w:t>
      </w:r>
      <w:r>
        <w:rPr>
          <w:rFonts w:ascii="Arial" w:cs="Arial" w:hAnsi="Arial"/>
          <w:szCs w:val="24"/>
        </w:rPr>
        <w:t>,</w:t>
      </w:r>
      <w:r>
        <w:rPr>
          <w:rFonts w:ascii="Arial" w:cs="Arial" w:hAnsi="Arial"/>
          <w:szCs w:val="24"/>
        </w:rPr>
        <w:t xml:space="preserve"> most recently</w:t>
      </w:r>
      <w:r>
        <w:rPr>
          <w:rFonts w:ascii="Arial" w:cs="Arial" w:hAnsi="Arial"/>
          <w:szCs w:val="24"/>
        </w:rPr>
        <w:t>,</w:t>
      </w:r>
      <w:r>
        <w:rPr>
          <w:rFonts w:ascii="Arial" w:cs="Arial" w:hAnsi="Arial"/>
          <w:szCs w:val="24"/>
        </w:rPr>
        <w:t xml:space="preserve"> the increasingly important retail-media business based on Clubcard data, rather than focusing on a single transaction (Fu, 2024).</w:t>
      </w:r>
    </w:p>
    <w:bookmarkStart w:id="3" w:name="_Toc237433630"/>
    <w:p w14:paraId="347BE205">
      <w:pPr>
        <w:pStyle w:val="style2"/>
        <w:rPr>
          <w:rFonts w:cs="Arial"/>
        </w:rPr>
      </w:pPr>
      <w:r>
        <w:rPr>
          <w:rFonts w:cs="Arial"/>
        </w:rPr>
        <w:t>Company</w:t>
      </w:r>
      <w:r>
        <w:rPr>
          <w:rFonts w:cs="Arial"/>
        </w:rPr>
        <w:t xml:space="preserve">’s </w:t>
      </w:r>
      <w:r>
        <w:t xml:space="preserve">Mission and </w:t>
      </w:r>
      <w:r>
        <w:t>Objectives</w:t>
      </w:r>
      <w:bookmarkEnd w:id="3"/>
    </w:p>
    <w:p w14:paraId="4597A06B">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 xml:space="preserve">Tesco PLC (2025) describes its mission as being a champion for customers, serving them every day with affordable, healthy and sustainable food, underpinned by the ambition to be easily the most convenient retailer for its customers. This purpose is realised through the Group's strategic priorities- Magnetic Value for Customers and Easily the Most Convenient, with a view </w:t>
      </w:r>
      <w:r>
        <w:rPr>
          <w:rFonts w:ascii="Arial" w:cs="Arial" w:hAnsi="Arial"/>
          <w:szCs w:val="24"/>
        </w:rPr>
        <w:t>to</w:t>
      </w:r>
      <w:r>
        <w:rPr>
          <w:rFonts w:ascii="Arial" w:cs="Arial" w:hAnsi="Arial"/>
          <w:szCs w:val="24"/>
        </w:rPr>
        <w:t xml:space="preserve"> leveraging the scale on behalf of the communities and the environment; all of which are interdependent with everyday pricing, digital convenience</w:t>
      </w:r>
      <w:r>
        <w:rPr>
          <w:rFonts w:ascii="Arial" w:cs="Arial" w:hAnsi="Arial"/>
          <w:szCs w:val="24"/>
        </w:rPr>
        <w:t>,</w:t>
      </w:r>
      <w:r>
        <w:rPr>
          <w:rFonts w:ascii="Arial" w:cs="Arial" w:hAnsi="Arial"/>
          <w:szCs w:val="24"/>
        </w:rPr>
        <w:t xml:space="preserve"> and sustainability commitments, which inform the Board's decisions on capital allocation (Tesco PLC, 2025).</w:t>
      </w:r>
    </w:p>
    <w:bookmarkStart w:id="4" w:name="_Toc237433631"/>
    <w:p w14:paraId="70BECD08">
      <w:pPr>
        <w:pStyle w:val="style2"/>
        <w:rPr>
          <w:rFonts w:cs="Arial"/>
        </w:rPr>
      </w:pPr>
      <w:r>
        <w:rPr>
          <w:rFonts w:cs="Arial"/>
        </w:rPr>
        <w:t>Industry, Competitors</w:t>
      </w:r>
      <w:r>
        <w:rPr>
          <w:rFonts w:cs="Arial"/>
        </w:rPr>
        <w:t>,</w:t>
      </w:r>
      <w:r>
        <w:rPr>
          <w:rFonts w:cs="Arial"/>
        </w:rPr>
        <w:t xml:space="preserve"> and Market Position</w:t>
      </w:r>
      <w:bookmarkEnd w:id="4"/>
    </w:p>
    <w:p w14:paraId="1BD8A955">
      <w:pPr>
        <w:pStyle w:val="style0"/>
        <w:keepNext/>
        <w:spacing w:lineRule="auto" w:line="360"/>
        <w:jc w:val="center"/>
        <w:rPr/>
      </w:pPr>
      <w:r>
        <w:rPr>
          <w:rFonts w:ascii="Arial" w:cs="Arial" w:hAnsi="Arial"/>
          <w:szCs w:val="24"/>
        </w:rPr>
        <w:drawing>
          <wp:inline distL="0" distT="0" distB="0" distR="0">
            <wp:extent cx="5731510" cy="2289175"/>
            <wp:effectExtent l="0" t="0" r="2540" b="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731510" cy="2289175"/>
                    </a:xfrm>
                    <a:prstGeom prst="rect"/>
                  </pic:spPr>
                </pic:pic>
              </a:graphicData>
            </a:graphic>
          </wp:inline>
        </w:drawing>
      </w:r>
    </w:p>
    <w:p w14:paraId="797B2BAC">
      <w:pPr>
        <w:pStyle w:val="style34"/>
        <w:jc w:val="center"/>
        <w:rPr>
          <w:rFonts w:ascii="Arial" w:cs="Arial" w:hAnsi="Arial"/>
          <w:szCs w:val="24"/>
        </w:rPr>
      </w:pPr>
      <w:r>
        <w:t xml:space="preserve">Figure </w:t>
      </w:r>
      <w:r>
        <w:rPr/>
        <w:fldChar w:fldCharType="begin"/>
      </w:r>
      <w:r>
        <w:instrText xml:space="preserve"> SEQ Figure \* ARABIC </w:instrText>
      </w:r>
      <w:r>
        <w:rPr/>
        <w:fldChar w:fldCharType="separate"/>
      </w:r>
      <w:r>
        <w:t>1</w:t>
      </w:r>
      <w:r>
        <w:rPr/>
        <w:fldChar w:fldCharType="end"/>
      </w:r>
      <w:r>
        <w:t>: Value capitalization</w:t>
      </w:r>
    </w:p>
    <w:p w14:paraId="695FFBE7">
      <w:pPr>
        <w:pStyle w:val="style0"/>
        <w:spacing w:lineRule="auto" w:line="360"/>
        <w:jc w:val="center"/>
        <w:rPr>
          <w:rFonts w:ascii="Arial" w:cs="Arial" w:hAnsi="Arial"/>
          <w:szCs w:val="24"/>
        </w:rPr>
      </w:pPr>
      <w:r>
        <w:rPr>
          <w:rFonts w:ascii="Arial" w:cs="Arial" w:hAnsi="Arial"/>
          <w:szCs w:val="24"/>
        </w:rPr>
        <w:t xml:space="preserve">Source: </w:t>
      </w:r>
      <w:r>
        <w:rPr/>
        <w:fldChar w:fldCharType="begin"/>
      </w:r>
      <w:r>
        <w:instrText xml:space="preserve"> HYPERLINK "https://companiesmarketcap.com/tesco/marketcap/" </w:instrText>
      </w:r>
      <w:r>
        <w:rPr/>
        <w:fldChar w:fldCharType="separate"/>
      </w:r>
      <w:r>
        <w:rPr>
          <w:rStyle w:val="style85"/>
          <w:rFonts w:ascii="Arial" w:cs="Arial" w:hAnsi="Arial"/>
          <w:szCs w:val="24"/>
        </w:rPr>
        <w:t>https://companiesmarketcap.com/tesco/marketcap/</w:t>
      </w:r>
      <w:r>
        <w:rPr/>
        <w:fldChar w:fldCharType="end"/>
      </w:r>
      <w:r>
        <w:rPr>
          <w:rFonts w:ascii="Arial" w:cs="Arial" w:hAnsi="Arial"/>
          <w:szCs w:val="24"/>
        </w:rPr>
        <w:t xml:space="preserve"> </w:t>
      </w:r>
    </w:p>
    <w:p w14:paraId="22CF72D3">
      <w:pPr>
        <w:pStyle w:val="style0"/>
        <w:spacing w:lineRule="auto" w:line="360"/>
        <w:ind w:firstLine="720"/>
        <w:jc w:val="both"/>
        <w:rPr>
          <w:rFonts w:ascii="Arial" w:cs="Arial" w:hAnsi="Arial"/>
          <w:szCs w:val="24"/>
        </w:rPr>
      </w:pPr>
      <w:r>
        <w:rPr>
          <w:rFonts w:ascii="Arial" w:cs="Arial" w:hAnsi="Arial"/>
          <w:szCs w:val="24"/>
        </w:rPr>
        <w:t xml:space="preserve">Tesco operates in the grocery retail sector in the United Kingdom, and traditionally dominated by the ‘Big Four’ full-line grocery retailers, namely Tesco, Sainsbury's, Asda and Morrisons, though their share of the market has dropped to about 65% from circa 73% as the German discounters Aldi and Lidl have been growing </w:t>
      </w:r>
      <w:r>
        <w:rPr>
          <w:rFonts w:ascii="Arial" w:cs="Arial" w:hAnsi="Arial"/>
          <w:szCs w:val="24"/>
        </w:rPr>
        <w:t>aggressively</w:t>
      </w:r>
      <w:r>
        <w:rPr>
          <w:rFonts w:ascii="Arial" w:cs="Arial" w:hAnsi="Arial"/>
          <w:szCs w:val="24"/>
        </w:rPr>
        <w:t xml:space="preserve"> (Kantar, 2026). Tesco also controlled the top spot in the Great Britain grocery market for the Christmas 2025 trading, achieving 28.7%, the highest level seen since March 2015, on top of its rivals Sainsbury's (16.3%), Asda (11.4%) and Aldi (10.1%) (Kantar, 2026).</w:t>
      </w:r>
      <w:r>
        <w:rPr>
          <w:rFonts w:ascii="Arial" w:cs="Arial" w:hAnsi="Arial"/>
          <w:szCs w:val="24"/>
        </w:rPr>
        <w:t xml:space="preserve"> Heps </w:t>
      </w:r>
      <w:r>
        <w:rPr>
          <w:rFonts w:ascii="Arial" w:cs="Arial" w:hAnsi="Arial"/>
          <w:szCs w:val="24"/>
        </w:rPr>
        <w:t>helps</w:t>
      </w:r>
      <w:r>
        <w:rPr>
          <w:rFonts w:ascii="Arial" w:cs="Arial" w:hAnsi="Arial"/>
          <w:szCs w:val="24"/>
        </w:rPr>
        <w:t xml:space="preserve"> </w:t>
      </w:r>
      <w:r>
        <w:rPr>
          <w:rFonts w:ascii="Arial" w:cs="Arial" w:hAnsi="Arial"/>
          <w:szCs w:val="24"/>
        </w:rPr>
        <w:t xml:space="preserve">Tesco </w:t>
      </w:r>
      <w:r>
        <w:rPr>
          <w:rFonts w:ascii="Arial" w:cs="Arial" w:hAnsi="Arial"/>
          <w:szCs w:val="24"/>
        </w:rPr>
        <w:t xml:space="preserve">differentiate itself </w:t>
      </w:r>
      <w:r>
        <w:rPr>
          <w:rFonts w:ascii="Arial" w:cs="Arial" w:hAnsi="Arial"/>
          <w:szCs w:val="24"/>
        </w:rPr>
        <w:t>from its discount-motivated challengers through convenience and personalised value, but not just on price alone (Kantar, 2026; Tesco PLC, 2025).</w:t>
      </w:r>
    </w:p>
    <w:p w14:paraId="7BE82EC6">
      <w:pPr>
        <w:pStyle w:val="style0"/>
        <w:rPr>
          <w:rFonts w:ascii="Arial" w:cs="Arial" w:eastAsia="宋体" w:hAnsi="Arial"/>
          <w:b/>
          <w:bCs/>
          <w:color w:val="17365d"/>
          <w:szCs w:val="24"/>
          <w:lang w:eastAsia="ja-JP"/>
        </w:rPr>
      </w:pPr>
      <w:r>
        <w:rPr>
          <w:rFonts w:ascii="Arial" w:cs="Arial" w:hAnsi="Arial"/>
        </w:rPr>
        <w:br w:type="page"/>
      </w:r>
    </w:p>
    <w:bookmarkStart w:id="5" w:name="_Toc237433632"/>
    <w:p w14:paraId="6A481407">
      <w:pPr>
        <w:pStyle w:val="style1"/>
        <w:rPr>
          <w:rFonts w:cs="Arial"/>
        </w:rPr>
      </w:pPr>
      <w:r>
        <w:rPr>
          <w:rFonts w:cs="Arial"/>
        </w:rPr>
        <w:t>Macro-Environment Analysis</w:t>
      </w:r>
      <w:bookmarkEnd w:id="5"/>
    </w:p>
    <w:bookmarkStart w:id="6" w:name="_Toc237433633"/>
    <w:p w14:paraId="57EA69AD">
      <w:pPr>
        <w:pStyle w:val="style2"/>
        <w:rPr>
          <w:rFonts w:cs="Arial"/>
        </w:rPr>
      </w:pPr>
      <w:r>
        <w:rPr>
          <w:rFonts w:cs="Arial"/>
        </w:rPr>
        <w:t>PESTEL Analysis</w:t>
      </w:r>
      <w:bookmarkEnd w:id="6"/>
    </w:p>
    <w:p w14:paraId="38008BB3">
      <w:pPr>
        <w:pStyle w:val="style0"/>
        <w:keepNext/>
        <w:spacing w:lineRule="auto" w:line="360"/>
        <w:jc w:val="center"/>
        <w:rPr/>
      </w:pPr>
      <w:r>
        <w:rPr/>
        <w:drawing>
          <wp:inline distL="0" distT="0" distB="0" distR="0">
            <wp:extent cx="5731510" cy="3225800"/>
            <wp:effectExtent l="0" t="0" r="2540" b="0"/>
            <wp:docPr id="1029" name="Picture 2" descr="Tesco PESTLE Analysis (2026) (202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0" t="0" r="0" b="0"/>
                    <a:stretch/>
                  </pic:blipFill>
                  <pic:spPr>
                    <a:xfrm rot="0">
                      <a:off x="0" y="0"/>
                      <a:ext cx="5731510" cy="3225800"/>
                    </a:xfrm>
                    <a:prstGeom prst="rect"/>
                    <a:ln>
                      <a:noFill/>
                    </a:ln>
                  </pic:spPr>
                </pic:pic>
              </a:graphicData>
            </a:graphic>
          </wp:inline>
        </w:drawing>
      </w:r>
    </w:p>
    <w:p w14:paraId="4B118293">
      <w:pPr>
        <w:pStyle w:val="style34"/>
        <w:jc w:val="center"/>
        <w:rPr>
          <w:rFonts w:ascii="Arial" w:cs="Arial" w:hAnsi="Arial"/>
          <w:b/>
          <w:bCs/>
          <w:szCs w:val="24"/>
        </w:rPr>
      </w:pPr>
      <w:r>
        <w:t xml:space="preserve">Figure </w:t>
      </w:r>
      <w:r>
        <w:rPr/>
        <w:fldChar w:fldCharType="begin"/>
      </w:r>
      <w:r>
        <w:instrText xml:space="preserve"> SEQ Figure \* ARABIC </w:instrText>
      </w:r>
      <w:r>
        <w:rPr/>
        <w:fldChar w:fldCharType="separate"/>
      </w:r>
      <w:r>
        <w:t>2</w:t>
      </w:r>
      <w:r>
        <w:rPr/>
        <w:fldChar w:fldCharType="end"/>
      </w:r>
      <w:r>
        <w:t>: PESTLE Analysis of TESCO</w:t>
      </w:r>
    </w:p>
    <w:p w14:paraId="284F430E">
      <w:pPr>
        <w:pStyle w:val="style0"/>
        <w:spacing w:lineRule="auto" w:line="360"/>
        <w:jc w:val="center"/>
        <w:rPr>
          <w:rFonts w:ascii="Arial" w:cs="Arial" w:hAnsi="Arial"/>
          <w:b/>
          <w:bCs/>
          <w:szCs w:val="24"/>
          <w:lang w:val="en-IN"/>
        </w:rPr>
      </w:pPr>
      <w:r>
        <w:rPr>
          <w:rFonts w:ascii="Arial" w:cs="Arial" w:hAnsi="Arial"/>
          <w:b/>
          <w:bCs/>
          <w:szCs w:val="24"/>
        </w:rPr>
        <w:t xml:space="preserve">Source: </w:t>
      </w:r>
      <w:r>
        <w:rPr>
          <w:rFonts w:ascii="Arial" w:cs="Arial" w:hAnsi="Arial"/>
          <w:szCs w:val="24"/>
          <w:lang w:val="en-IN"/>
        </w:rPr>
        <w:t>(Pereira, 2023)</w:t>
      </w:r>
    </w:p>
    <w:p w14:paraId="3B59F5DC">
      <w:pPr>
        <w:pStyle w:val="style0"/>
        <w:spacing w:lineRule="auto" w:line="360"/>
        <w:jc w:val="both"/>
        <w:rPr>
          <w:rFonts w:ascii="Arial" w:cs="Arial" w:hAnsi="Arial"/>
          <w:szCs w:val="24"/>
          <w:lang w:val="en-IN"/>
        </w:rPr>
      </w:pPr>
      <w:r>
        <w:rPr>
          <w:rFonts w:ascii="Arial" w:cs="Arial" w:hAnsi="Arial"/>
          <w:b/>
          <w:bCs/>
          <w:szCs w:val="24"/>
        </w:rPr>
        <w:t>Political</w:t>
      </w:r>
      <w:r>
        <w:rPr>
          <w:rFonts w:ascii="Arial" w:cs="Arial" w:hAnsi="Arial"/>
          <w:b/>
          <w:bCs/>
          <w:szCs w:val="24"/>
        </w:rPr>
        <w:t>:</w:t>
      </w:r>
      <w:r>
        <w:rPr>
          <w:rFonts w:ascii="Arial" w:cs="Arial" w:hAnsi="Arial"/>
          <w:szCs w:val="24"/>
        </w:rPr>
        <w:t xml:space="preserve"> The UK’s grocery retailers operate in a highly regulated environment. The Competition and Markets Authority maintains its watch on price visibility and loyalty programs like Clubcard Prices that will define Tesco’s ability to target promotions (Blake, 2025). Post-Brexit trade tensions have increased the cost of selected supply chains by 3-5%, but Tesco is taking advantage of UK Free Trade Agreements concluded in 2024-25 to source outside the EU countries </w:t>
      </w:r>
      <w:r>
        <w:rPr>
          <w:rFonts w:ascii="Arial" w:cs="Arial" w:hAnsi="Arial"/>
          <w:szCs w:val="24"/>
          <w:lang w:val="en-IN"/>
        </w:rPr>
        <w:t>(GrowthShareMatrix, 2025)</w:t>
      </w:r>
      <w:r>
        <w:rPr>
          <w:rFonts w:ascii="Arial" w:cs="Arial" w:hAnsi="Arial"/>
          <w:szCs w:val="24"/>
        </w:rPr>
        <w:t xml:space="preserve">. </w:t>
      </w:r>
    </w:p>
    <w:p w14:paraId="61837774">
      <w:pPr>
        <w:pStyle w:val="style0"/>
        <w:spacing w:lineRule="auto" w:line="360"/>
        <w:jc w:val="both"/>
        <w:rPr>
          <w:rFonts w:ascii="Arial" w:cs="Arial" w:hAnsi="Arial"/>
          <w:szCs w:val="24"/>
        </w:rPr>
      </w:pPr>
      <w:r>
        <w:rPr>
          <w:rFonts w:ascii="Arial" w:cs="Arial" w:hAnsi="Arial"/>
          <w:b/>
          <w:bCs/>
          <w:szCs w:val="24"/>
        </w:rPr>
        <w:t>Economic:</w:t>
      </w:r>
      <w:r>
        <w:rPr>
          <w:rFonts w:ascii="Arial" w:cs="Arial" w:hAnsi="Arial"/>
          <w:szCs w:val="24"/>
        </w:rPr>
        <w:t xml:space="preserve"> Continuous pressure due to increasing cost of living, along with an increase in the National Living Wage to £11.44 per hour (from April 2024), then a further increase in salaries in excess of inflation of 5.1% for UK hourly workers from March 2026 (Tesco PLC, 2026), has increased the labor expenses of Tesco in relation to its ~340,000 employees. However, </w:t>
      </w:r>
      <w:r>
        <w:rPr>
          <w:rFonts w:ascii="Arial" w:cs="Arial" w:hAnsi="Arial"/>
          <w:szCs w:val="24"/>
        </w:rPr>
        <w:t xml:space="preserve">the </w:t>
      </w:r>
      <w:r>
        <w:rPr>
          <w:rFonts w:ascii="Arial" w:cs="Arial" w:hAnsi="Arial"/>
          <w:szCs w:val="24"/>
        </w:rPr>
        <w:t xml:space="preserve">trading down of value-conscious shoppers has been beneficial for Tesco's own label and Clubcard Price offers: according to Tesco's preliminary results </w:t>
      </w:r>
      <w:r>
        <w:rPr>
          <w:rFonts w:ascii="Arial" w:cs="Arial" w:hAnsi="Arial"/>
          <w:szCs w:val="24"/>
        </w:rPr>
        <w:t>for</w:t>
      </w:r>
      <w:r>
        <w:rPr>
          <w:rFonts w:ascii="Arial" w:cs="Arial" w:hAnsi="Arial"/>
          <w:szCs w:val="24"/>
        </w:rPr>
        <w:t xml:space="preserve"> FY2025/26, like-for-like UK sales increased by 4.9%, and Group adjusted operating profit reached approximately £3.15 billion (Tesco PLC, 2026).</w:t>
      </w:r>
    </w:p>
    <w:p w14:paraId="4EAA2B0C">
      <w:pPr>
        <w:pStyle w:val="style0"/>
        <w:spacing w:lineRule="auto" w:line="360"/>
        <w:jc w:val="both"/>
        <w:rPr>
          <w:rFonts w:ascii="Arial" w:cs="Arial" w:hAnsi="Arial"/>
          <w:szCs w:val="24"/>
        </w:rPr>
      </w:pPr>
      <w:r>
        <w:rPr>
          <w:rFonts w:ascii="Arial" w:cs="Arial" w:hAnsi="Arial"/>
          <w:b/>
          <w:bCs/>
          <w:szCs w:val="24"/>
        </w:rPr>
        <w:t>Social:</w:t>
      </w:r>
      <w:r>
        <w:rPr>
          <w:rFonts w:ascii="Arial" w:cs="Arial" w:hAnsi="Arial"/>
          <w:szCs w:val="24"/>
        </w:rPr>
        <w:t xml:space="preserve"> Customers now look for convenience, wellness, and provenance. Tesco claims that as much as 65% of their UK/ROI food sales are regarded as healthy, compared to 58% in 2019 (Tesco PLC, 2026), thus demonstrating the real change of paradigm, not just a buzzword. The aging, busy but tech-savvy population creates the demand for quick delivery (Tesco Whoosh increased by 51% in FY2025/26) and mobile </w:t>
      </w:r>
      <w:r>
        <w:rPr>
          <w:rFonts w:ascii="Arial" w:cs="Arial" w:hAnsi="Arial"/>
          <w:szCs w:val="24"/>
        </w:rPr>
        <w:t>applications</w:t>
      </w:r>
      <w:r>
        <w:rPr>
          <w:rFonts w:ascii="Arial" w:cs="Arial" w:hAnsi="Arial"/>
          <w:szCs w:val="24"/>
        </w:rPr>
        <w:t xml:space="preserve"> for purchasing, where the number of group application users reaches about 18 million (Tesco PLC, 2025).</w:t>
      </w:r>
    </w:p>
    <w:p w14:paraId="03095A90">
      <w:pPr>
        <w:pStyle w:val="style0"/>
        <w:spacing w:lineRule="auto" w:line="360"/>
        <w:jc w:val="both"/>
        <w:rPr>
          <w:rFonts w:ascii="Arial" w:cs="Arial" w:hAnsi="Arial"/>
          <w:szCs w:val="24"/>
        </w:rPr>
      </w:pPr>
      <w:r>
        <w:rPr>
          <w:rFonts w:ascii="Arial" w:cs="Arial" w:hAnsi="Arial"/>
          <w:b/>
          <w:bCs/>
          <w:szCs w:val="24"/>
        </w:rPr>
        <w:t>Technological:</w:t>
      </w:r>
      <w:r>
        <w:rPr>
          <w:rFonts w:ascii="Arial" w:cs="Arial" w:hAnsi="Arial"/>
          <w:szCs w:val="24"/>
        </w:rPr>
        <w:t xml:space="preserve"> Data </w:t>
      </w:r>
      <w:r>
        <w:rPr>
          <w:rFonts w:ascii="Arial" w:cs="Arial" w:hAnsi="Arial"/>
          <w:szCs w:val="24"/>
        </w:rPr>
        <w:t>analytics-based</w:t>
      </w:r>
      <w:r>
        <w:rPr>
          <w:rFonts w:ascii="Arial" w:cs="Arial" w:hAnsi="Arial"/>
          <w:szCs w:val="24"/>
        </w:rPr>
        <w:t xml:space="preserve"> retail media, which is enabled by Clubcard membership </w:t>
      </w:r>
      <w:r>
        <w:rPr>
          <w:rFonts w:ascii="Arial" w:cs="Arial" w:hAnsi="Arial"/>
          <w:szCs w:val="24"/>
        </w:rPr>
        <w:t xml:space="preserve">for </w:t>
      </w:r>
      <w:r>
        <w:rPr>
          <w:rFonts w:ascii="Arial" w:cs="Arial" w:hAnsi="Arial"/>
          <w:szCs w:val="24"/>
        </w:rPr>
        <w:t xml:space="preserve">over 20 million people, emerges as a revenue stream and gives Tesco the opportunity to monetize </w:t>
      </w:r>
      <w:r>
        <w:rPr>
          <w:rFonts w:ascii="Arial" w:cs="Arial" w:hAnsi="Arial"/>
          <w:szCs w:val="24"/>
        </w:rPr>
        <w:t>its</w:t>
      </w:r>
      <w:r>
        <w:rPr>
          <w:rFonts w:ascii="Arial" w:cs="Arial" w:hAnsi="Arial"/>
          <w:szCs w:val="24"/>
        </w:rPr>
        <w:t xml:space="preserve"> shoppers' insights for suppliers' advertising purposes (Tesco PLC, 2026). Continuous investments in automation, online </w:t>
      </w:r>
      <w:r>
        <w:rPr>
          <w:rFonts w:ascii="Arial" w:cs="Arial" w:hAnsi="Arial"/>
          <w:szCs w:val="24"/>
        </w:rPr>
        <w:t>grocery</w:t>
      </w:r>
      <w:r>
        <w:rPr>
          <w:rFonts w:ascii="Arial" w:cs="Arial" w:hAnsi="Arial"/>
          <w:szCs w:val="24"/>
        </w:rPr>
        <w:t xml:space="preserve"> fulfilment</w:t>
      </w:r>
      <w:r>
        <w:rPr>
          <w:rFonts w:ascii="Arial" w:cs="Arial" w:hAnsi="Arial"/>
          <w:szCs w:val="24"/>
        </w:rPr>
        <w:t>,</w:t>
      </w:r>
      <w:r>
        <w:rPr>
          <w:rFonts w:ascii="Arial" w:cs="Arial" w:hAnsi="Arial"/>
          <w:szCs w:val="24"/>
        </w:rPr>
        <w:t xml:space="preserve"> and AI-based stock management only increase Tesco's competitive advantage versus smaller companies, although increasing their vulnerability concerning cybersecurity.</w:t>
      </w:r>
    </w:p>
    <w:p w14:paraId="0CD0F279">
      <w:pPr>
        <w:pStyle w:val="style0"/>
        <w:spacing w:lineRule="auto" w:line="360"/>
        <w:jc w:val="both"/>
        <w:rPr>
          <w:rFonts w:ascii="Arial" w:cs="Arial" w:hAnsi="Arial"/>
          <w:szCs w:val="24"/>
        </w:rPr>
      </w:pPr>
      <w:r>
        <w:rPr>
          <w:rFonts w:ascii="Arial" w:cs="Arial" w:hAnsi="Arial"/>
          <w:b/>
          <w:bCs/>
          <w:szCs w:val="24"/>
        </w:rPr>
        <w:t>Environmental:</w:t>
      </w:r>
      <w:r>
        <w:rPr>
          <w:rFonts w:ascii="Arial" w:cs="Arial" w:hAnsi="Arial"/>
          <w:szCs w:val="24"/>
        </w:rPr>
        <w:t xml:space="preserve"> Climate policies and consumer demands drive Tesco towards </w:t>
      </w:r>
      <w:r>
        <w:rPr>
          <w:rFonts w:ascii="Arial" w:cs="Arial" w:hAnsi="Arial"/>
          <w:szCs w:val="24"/>
        </w:rPr>
        <w:t>a carbon-neutral</w:t>
      </w:r>
      <w:r>
        <w:rPr>
          <w:rFonts w:ascii="Arial" w:cs="Arial" w:hAnsi="Arial"/>
          <w:szCs w:val="24"/>
        </w:rPr>
        <w:t xml:space="preserve"> supply chain. Tesco achieves 68% emissions reduction in Scopes 1 and 2 compared to 2015/16 (outperforming the 2025 target of 60%), 99% </w:t>
      </w:r>
      <w:r>
        <w:rPr>
          <w:rFonts w:ascii="Arial" w:cs="Arial" w:hAnsi="Arial"/>
          <w:szCs w:val="24"/>
        </w:rPr>
        <w:t xml:space="preserve">of </w:t>
      </w:r>
      <w:r>
        <w:rPr>
          <w:rFonts w:ascii="Arial" w:cs="Arial" w:hAnsi="Arial"/>
          <w:szCs w:val="24"/>
        </w:rPr>
        <w:t xml:space="preserve">Own Brand packaging </w:t>
      </w:r>
      <w:r>
        <w:rPr>
          <w:rFonts w:ascii="Arial" w:cs="Arial" w:hAnsi="Arial"/>
          <w:szCs w:val="24"/>
        </w:rPr>
        <w:t xml:space="preserve">is </w:t>
      </w:r>
      <w:r>
        <w:rPr>
          <w:rFonts w:ascii="Arial" w:cs="Arial" w:hAnsi="Arial"/>
          <w:szCs w:val="24"/>
        </w:rPr>
        <w:t xml:space="preserve">recyclable by weight, and introduces net zero targets for 2030-2050 (Tesco PLC, 2026). However, independent analysis indicates that </w:t>
      </w:r>
      <w:r>
        <w:rPr>
          <w:rFonts w:ascii="Arial" w:cs="Arial" w:hAnsi="Arial"/>
          <w:szCs w:val="24"/>
        </w:rPr>
        <w:t>several</w:t>
      </w:r>
      <w:r>
        <w:rPr>
          <w:rFonts w:ascii="Arial" w:cs="Arial" w:hAnsi="Arial"/>
          <w:szCs w:val="24"/>
        </w:rPr>
        <w:t xml:space="preserve"> sustainability targets set for 2025</w:t>
      </w:r>
      <w:r>
        <w:rPr>
          <w:rFonts w:ascii="Arial" w:cs="Arial" w:hAnsi="Arial"/>
          <w:szCs w:val="24"/>
        </w:rPr>
        <w:t>,</w:t>
      </w:r>
      <w:r>
        <w:rPr>
          <w:rFonts w:ascii="Arial" w:cs="Arial" w:hAnsi="Arial"/>
          <w:szCs w:val="24"/>
        </w:rPr>
        <w:t xml:space="preserve"> such as </w:t>
      </w:r>
      <w:r>
        <w:rPr>
          <w:rFonts w:ascii="Arial" w:cs="Arial" w:hAnsi="Arial"/>
          <w:szCs w:val="24"/>
        </w:rPr>
        <w:t xml:space="preserve">a </w:t>
      </w:r>
      <w:r>
        <w:rPr>
          <w:rFonts w:ascii="Arial" w:cs="Arial" w:hAnsi="Arial"/>
          <w:szCs w:val="24"/>
        </w:rPr>
        <w:t xml:space="preserve">300% increase in sales of </w:t>
      </w:r>
      <w:r>
        <w:rPr>
          <w:rFonts w:ascii="Arial" w:cs="Arial" w:hAnsi="Arial"/>
          <w:szCs w:val="24"/>
        </w:rPr>
        <w:t>plant-based</w:t>
      </w:r>
      <w:r>
        <w:rPr>
          <w:rFonts w:ascii="Arial" w:cs="Arial" w:hAnsi="Arial"/>
          <w:szCs w:val="24"/>
        </w:rPr>
        <w:t xml:space="preserve"> products</w:t>
      </w:r>
      <w:r>
        <w:rPr>
          <w:rFonts w:ascii="Arial" w:cs="Arial" w:hAnsi="Arial"/>
          <w:szCs w:val="24"/>
        </w:rPr>
        <w:t>,</w:t>
      </w:r>
      <w:r>
        <w:rPr>
          <w:rFonts w:ascii="Arial" w:cs="Arial" w:hAnsi="Arial"/>
          <w:szCs w:val="24"/>
        </w:rPr>
        <w:t xml:space="preserve"> have not been reached or quietly dropped, while ESG criteria's weight in executive remuneration was reduced from 25% to 15% for 2026 (CSR Reporters, 2026).</w:t>
      </w:r>
    </w:p>
    <w:p w14:paraId="46F2C966">
      <w:pPr>
        <w:pStyle w:val="style0"/>
        <w:spacing w:lineRule="auto" w:line="360"/>
        <w:jc w:val="both"/>
        <w:rPr>
          <w:rFonts w:ascii="Arial" w:cs="Arial" w:hAnsi="Arial"/>
          <w:szCs w:val="24"/>
        </w:rPr>
      </w:pPr>
      <w:r>
        <w:rPr>
          <w:rFonts w:ascii="Arial" w:cs="Arial" w:hAnsi="Arial"/>
          <w:b/>
          <w:bCs/>
          <w:szCs w:val="24"/>
        </w:rPr>
        <w:t>Legislation:</w:t>
      </w:r>
      <w:r>
        <w:rPr>
          <w:rFonts w:ascii="Arial" w:cs="Arial" w:hAnsi="Arial"/>
          <w:szCs w:val="24"/>
        </w:rPr>
        <w:t xml:space="preserve"> Food safety laws, extended producer responsibility for packaging, and labor laws make UK grocery retail more costly and complicated, serving as a barrier </w:t>
      </w:r>
      <w:r>
        <w:rPr>
          <w:rFonts w:ascii="Arial" w:cs="Arial" w:hAnsi="Arial"/>
          <w:szCs w:val="24"/>
        </w:rPr>
        <w:t>that</w:t>
      </w:r>
      <w:r>
        <w:rPr>
          <w:rFonts w:ascii="Arial" w:cs="Arial" w:hAnsi="Arial"/>
          <w:szCs w:val="24"/>
        </w:rPr>
        <w:t xml:space="preserve"> protects established companies such as Tesco against new players (Blake, 2025).</w:t>
      </w:r>
    </w:p>
    <w:bookmarkStart w:id="7" w:name="_Toc237433634"/>
    <w:p w14:paraId="2BDEF4F9">
      <w:pPr>
        <w:pStyle w:val="style1"/>
        <w:rPr>
          <w:rFonts w:cs="Arial"/>
        </w:rPr>
      </w:pPr>
      <w:r>
        <w:rPr>
          <w:rFonts w:cs="Arial"/>
        </w:rPr>
        <w:t>Micro-Environment Analysis</w:t>
      </w:r>
      <w:bookmarkEnd w:id="7"/>
    </w:p>
    <w:bookmarkStart w:id="8" w:name="_Toc237433635"/>
    <w:p w14:paraId="73601A32">
      <w:pPr>
        <w:pStyle w:val="style2"/>
        <w:rPr>
          <w:rFonts w:cs="Arial"/>
        </w:rPr>
      </w:pPr>
      <w:r>
        <w:rPr>
          <w:rFonts w:cs="Arial"/>
        </w:rPr>
        <w:t>Industry Life Cycle</w:t>
      </w:r>
      <w:bookmarkEnd w:id="8"/>
    </w:p>
    <w:p w14:paraId="6C6CD9D7">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 xml:space="preserve">It is important to understand that the UK grocery retail industry belongs to an advanced stage of maturity, which implies several key strategic aspects for Tesco. Growth in volume is stagnant at around 1-2% per year, </w:t>
      </w:r>
      <w:r>
        <w:rPr>
          <w:rFonts w:ascii="Arial" w:cs="Arial" w:hAnsi="Arial"/>
          <w:szCs w:val="24"/>
        </w:rPr>
        <w:t xml:space="preserve">market concentration remains </w:t>
      </w:r>
      <w:r>
        <w:rPr>
          <w:rFonts w:ascii="Arial" w:cs="Arial" w:hAnsi="Arial"/>
          <w:szCs w:val="24"/>
        </w:rPr>
        <w:t>high, and competitive pressure is increasingly</w:t>
      </w:r>
      <w:r>
        <w:rPr>
          <w:rFonts w:ascii="Arial" w:cs="Arial" w:hAnsi="Arial"/>
          <w:szCs w:val="24"/>
        </w:rPr>
        <w:t xml:space="preserve"> about share allocation rather than category growth (Kantar, 2026</w:t>
      </w:r>
      <w:r>
        <w:rPr>
          <w:rFonts w:ascii="Arial" w:cs="Arial" w:hAnsi="Arial"/>
          <w:szCs w:val="24"/>
        </w:rPr>
        <w:t xml:space="preserve">; </w:t>
      </w:r>
      <w:r>
        <w:rPr>
          <w:rFonts w:ascii="Arial" w:cs="Arial" w:hAnsi="Arial"/>
          <w:szCs w:val="24"/>
          <w:lang w:val="en-IN"/>
        </w:rPr>
        <w:t>Statista, 2020)</w:t>
      </w:r>
      <w:r>
        <w:rPr>
          <w:rFonts w:ascii="Arial" w:cs="Arial" w:hAnsi="Arial"/>
          <w:szCs w:val="24"/>
        </w:rPr>
        <w:t>.</w:t>
      </w:r>
    </w:p>
    <w:p w14:paraId="55015BB9">
      <w:pPr>
        <w:pStyle w:val="style0"/>
        <w:keepNext/>
        <w:spacing w:lineRule="auto" w:line="360"/>
        <w:jc w:val="center"/>
        <w:rPr/>
      </w:pPr>
      <w:r>
        <w:rPr>
          <w:rFonts w:ascii="Arial" w:cs="Arial" w:hAnsi="Arial"/>
          <w:szCs w:val="24"/>
        </w:rPr>
        <w:drawing>
          <wp:inline distL="0" distT="0" distB="0" distR="0">
            <wp:extent cx="5404128" cy="3937202"/>
            <wp:effectExtent l="0" t="0" r="6350" b="6350"/>
            <wp:docPr id="1030"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6" cstate="print"/>
                    <a:srcRect l="0" t="0" r="0" b="0"/>
                    <a:stretch/>
                  </pic:blipFill>
                  <pic:spPr>
                    <a:xfrm rot="0">
                      <a:off x="0" y="0"/>
                      <a:ext cx="5404128" cy="3937202"/>
                    </a:xfrm>
                    <a:prstGeom prst="rect"/>
                  </pic:spPr>
                </pic:pic>
              </a:graphicData>
            </a:graphic>
          </wp:inline>
        </w:drawing>
      </w:r>
    </w:p>
    <w:p w14:paraId="1A92E791">
      <w:pPr>
        <w:pStyle w:val="style34"/>
        <w:jc w:val="center"/>
        <w:rPr>
          <w:rFonts w:ascii="Arial" w:cs="Arial" w:hAnsi="Arial"/>
          <w:szCs w:val="24"/>
        </w:rPr>
      </w:pPr>
      <w:r>
        <w:t xml:space="preserve">Figure </w:t>
      </w:r>
      <w:r>
        <w:rPr/>
        <w:fldChar w:fldCharType="begin"/>
      </w:r>
      <w:r>
        <w:instrText xml:space="preserve"> SEQ Figure \* ARABIC </w:instrText>
      </w:r>
      <w:r>
        <w:rPr/>
        <w:fldChar w:fldCharType="separate"/>
      </w:r>
      <w:r>
        <w:t>3</w:t>
      </w:r>
      <w:r>
        <w:rPr/>
        <w:fldChar w:fldCharType="end"/>
      </w:r>
      <w:r>
        <w:t>: UK Grocery market</w:t>
      </w:r>
    </w:p>
    <w:p w14:paraId="783865B6">
      <w:pPr>
        <w:pStyle w:val="style0"/>
        <w:spacing w:lineRule="auto" w:line="360"/>
        <w:jc w:val="center"/>
        <w:rPr>
          <w:rFonts w:ascii="Arial" w:cs="Arial" w:hAnsi="Arial"/>
          <w:szCs w:val="24"/>
          <w:lang w:val="en-IN"/>
        </w:rPr>
      </w:pPr>
      <w:r>
        <w:rPr>
          <w:rFonts w:ascii="Arial" w:cs="Arial" w:hAnsi="Arial"/>
          <w:szCs w:val="24"/>
        </w:rPr>
        <w:t xml:space="preserve">Source: </w:t>
      </w:r>
      <w:r>
        <w:rPr>
          <w:rFonts w:ascii="Arial" w:cs="Arial" w:hAnsi="Arial"/>
          <w:szCs w:val="24"/>
          <w:lang w:val="en-IN"/>
        </w:rPr>
        <w:t>(Statista, 2020)</w:t>
      </w:r>
    </w:p>
    <w:p w14:paraId="6587EE98">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The evolution in the locus of innovations in the industry further supports the maturity theory</w:t>
      </w:r>
      <w:r>
        <w:rPr>
          <w:rFonts w:ascii="Arial" w:cs="Arial" w:hAnsi="Arial"/>
          <w:szCs w:val="24"/>
        </w:rPr>
        <w:t xml:space="preserve">. According to the traditional life-cycle theory (Levitt, 1965; </w:t>
      </w:r>
      <w:r>
        <w:rPr>
          <w:rFonts w:ascii="Arial" w:cs="Arial" w:hAnsi="Arial"/>
        </w:rPr>
        <w:t>Ateljević</w:t>
      </w:r>
      <w:r>
        <w:rPr>
          <w:rFonts w:ascii="Arial" w:cs="Arial" w:hAnsi="Arial"/>
        </w:rPr>
        <w:t>, 2023</w:t>
      </w:r>
      <w:r>
        <w:rPr>
          <w:rFonts w:ascii="Arial" w:cs="Arial" w:hAnsi="Arial"/>
          <w:szCs w:val="24"/>
        </w:rPr>
        <w:t>), there should be a shift from innovation in products towards innovation in processes, costs, and business models as the industry matures. The development strategy adopted by Tesco since 2021 supports this theory perfectly. In place of expanding store formats, which was its growth strategy during the 1990s and 2000s, the company has now focused on data monetization (retail media), improving fulfillment processes (Whoosh, growing 51% in FY2025/26)</w:t>
      </w:r>
      <w:r>
        <w:rPr>
          <w:rFonts w:ascii="Arial" w:cs="Arial" w:hAnsi="Arial"/>
          <w:szCs w:val="24"/>
        </w:rPr>
        <w:t>,</w:t>
      </w:r>
      <w:r>
        <w:rPr>
          <w:rFonts w:ascii="Arial" w:cs="Arial" w:hAnsi="Arial"/>
          <w:szCs w:val="24"/>
        </w:rPr>
        <w:t xml:space="preserve"> and internal cost restructuring ("Save to Invest" program) (Tesco PLC, 2026).</w:t>
      </w:r>
    </w:p>
    <w:p w14:paraId="0360B215">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Grocery retailing is not going to become a growth industry in any traditional sense, but its profit pool has diversified from the traditional transaction-based one. Such an observation is often overlooked in generic PESTLE/life cycle assessments.</w:t>
      </w:r>
      <w:r>
        <w:rPr>
          <w:rFonts w:ascii="Arial" w:cs="Arial" w:hAnsi="Arial"/>
          <w:szCs w:val="24"/>
        </w:rPr>
        <w:t xml:space="preserve"> </w:t>
      </w:r>
      <w:r>
        <w:rPr>
          <w:rFonts w:ascii="Arial" w:cs="Arial" w:hAnsi="Arial"/>
          <w:szCs w:val="24"/>
        </w:rPr>
        <w:t>A different approach highlights the difficulty of assigning maturity status to the industry. The appearance of retail media indicates a shift in the business model even though the industry is mature, in line with the disruptive innovation theory by Christensen &amp; Raynor (2003).</w:t>
      </w:r>
    </w:p>
    <w:bookmarkStart w:id="9" w:name="_Toc237433636"/>
    <w:p w14:paraId="1C895FFB">
      <w:pPr>
        <w:pStyle w:val="style2"/>
        <w:rPr>
          <w:rFonts w:cs="Arial"/>
        </w:rPr>
      </w:pPr>
      <w:r>
        <w:rPr>
          <w:rFonts w:cs="Arial"/>
        </w:rPr>
        <w:t xml:space="preserve">Porter’s </w:t>
      </w:r>
      <w:r>
        <w:rPr>
          <w:rFonts w:cs="Arial"/>
        </w:rPr>
        <w:t xml:space="preserve">Industry </w:t>
      </w:r>
      <w:r>
        <w:rPr>
          <w:rFonts w:cs="Arial"/>
        </w:rPr>
        <w:t>Five Forces Analysis</w:t>
      </w:r>
      <w:bookmarkEnd w:id="9"/>
    </w:p>
    <w:p w14:paraId="7D6F6C5E">
      <w:pPr>
        <w:pStyle w:val="style0"/>
        <w:spacing w:lineRule="auto" w:line="360"/>
        <w:jc w:val="both"/>
        <w:rPr>
          <w:rFonts w:ascii="Arial" w:cs="Arial" w:hAnsi="Arial"/>
          <w:szCs w:val="24"/>
        </w:rPr>
      </w:pPr>
      <w:r>
        <w:rPr>
          <w:rFonts w:ascii="Arial" w:cs="Arial" w:hAnsi="Arial"/>
          <w:szCs w:val="24"/>
        </w:rPr>
        <w:tab/>
      </w:r>
      <w:r>
        <w:rPr>
          <w:rFonts w:ascii="Arial" w:cs="Arial" w:hAnsi="Arial"/>
          <w:szCs w:val="24"/>
        </w:rPr>
        <w:t>A five-forces analysis of this industry conducted in the proper critical spirit and not as a mere mechanistic exercise will show that sustained advantage is theoretically hard to achieve using any one of the five forces alone.</w:t>
      </w:r>
    </w:p>
    <w:p w14:paraId="28E42537">
      <w:pPr>
        <w:pStyle w:val="style0"/>
        <w:spacing w:lineRule="auto" w:line="360"/>
        <w:jc w:val="both"/>
        <w:rPr>
          <w:rFonts w:ascii="Arial" w:cs="Arial" w:hAnsi="Arial"/>
          <w:szCs w:val="24"/>
          <w:lang w:val="en-IN"/>
        </w:rPr>
      </w:pPr>
      <w:r>
        <w:rPr>
          <w:rFonts w:ascii="Arial" w:cs="Arial" w:hAnsi="Arial"/>
          <w:szCs w:val="24"/>
        </w:rPr>
        <w:t>Competition among existing companies (High). The reduction of market share of the 'Big Four' from 73% to 65% on account of their aggressive growth strategy will be the one most significant structural change in this industry during the past ten years (Kantar, 2026). It is important to note that this competition is not uniform: Tesco is competing with the discount chains on the basis of price perception and with Sainsbury's and Waitrose on the basis of range/quality</w:t>
      </w:r>
      <w:r>
        <w:rPr>
          <w:rFonts w:ascii="Arial" w:cs="Arial" w:hAnsi="Arial"/>
          <w:szCs w:val="24"/>
        </w:rPr>
        <w:t xml:space="preserve"> </w:t>
      </w:r>
      <w:r>
        <w:rPr>
          <w:rFonts w:ascii="Arial" w:cs="Arial" w:hAnsi="Arial"/>
          <w:szCs w:val="24"/>
          <w:lang w:val="en-IN"/>
        </w:rPr>
        <w:t>(GrowthShareMatrix, 2024)</w:t>
      </w:r>
      <w:r>
        <w:rPr>
          <w:rFonts w:ascii="Arial" w:cs="Arial" w:hAnsi="Arial"/>
          <w:szCs w:val="24"/>
        </w:rPr>
        <w:t>.</w:t>
      </w:r>
    </w:p>
    <w:p w14:paraId="2487943D">
      <w:pPr>
        <w:pStyle w:val="style0"/>
        <w:spacing w:lineRule="auto" w:line="360"/>
        <w:jc w:val="both"/>
        <w:rPr>
          <w:rFonts w:ascii="Arial" w:cs="Arial" w:hAnsi="Arial"/>
          <w:szCs w:val="24"/>
        </w:rPr>
      </w:pPr>
      <w:r>
        <w:rPr>
          <w:rFonts w:ascii="Arial" w:cs="Arial" w:hAnsi="Arial"/>
          <w:szCs w:val="24"/>
        </w:rPr>
        <w:t xml:space="preserve">Buyer bargaining power (High). Digital price transparency, zero cost of switching, and the emergence of </w:t>
      </w:r>
      <w:r>
        <w:rPr>
          <w:rFonts w:ascii="Arial" w:cs="Arial" w:hAnsi="Arial"/>
          <w:szCs w:val="24"/>
        </w:rPr>
        <w:t>multi-retailer</w:t>
      </w:r>
      <w:r>
        <w:rPr>
          <w:rFonts w:ascii="Arial" w:cs="Arial" w:hAnsi="Arial"/>
          <w:szCs w:val="24"/>
        </w:rPr>
        <w:t xml:space="preserve"> basket-splitting have empowered buyers. The structural answer provided by Tesco </w:t>
      </w:r>
      <w:r>
        <w:rPr>
          <w:rFonts w:ascii="Arial" w:cs="Arial" w:hAnsi="Arial"/>
          <w:szCs w:val="24"/>
        </w:rPr>
        <w:t>-</w:t>
      </w:r>
      <w:r>
        <w:rPr>
          <w:rFonts w:ascii="Arial" w:cs="Arial" w:hAnsi="Arial"/>
          <w:szCs w:val="24"/>
        </w:rPr>
        <w:t xml:space="preserve"> 3,000 every day low prices, 10,000 + Clubcard prices and Aldi Price Match on over 600 lines (Tesco PLC, 2026) </w:t>
      </w:r>
      <w:r>
        <w:rPr>
          <w:rFonts w:ascii="Arial" w:cs="Arial" w:hAnsi="Arial"/>
          <w:szCs w:val="24"/>
        </w:rPr>
        <w:t>-</w:t>
      </w:r>
      <w:r>
        <w:rPr>
          <w:rFonts w:ascii="Arial" w:cs="Arial" w:hAnsi="Arial"/>
          <w:szCs w:val="24"/>
        </w:rPr>
        <w:t xml:space="preserve"> should be viewed less as a marketing option and more as a necessity driven by buyer power that cannot be undone.</w:t>
      </w:r>
    </w:p>
    <w:p w14:paraId="6743EC3B">
      <w:pPr>
        <w:pStyle w:val="style0"/>
        <w:spacing w:lineRule="auto" w:line="360"/>
        <w:jc w:val="both"/>
        <w:rPr>
          <w:rFonts w:ascii="Arial" w:cs="Arial" w:hAnsi="Arial"/>
          <w:szCs w:val="24"/>
        </w:rPr>
      </w:pPr>
      <w:r>
        <w:rPr>
          <w:rFonts w:ascii="Arial" w:cs="Arial" w:hAnsi="Arial"/>
          <w:szCs w:val="24"/>
        </w:rPr>
        <w:t>Supplier bargaining power (Moderate). Due to its size combined with the power of Booker, Tesco wields considerable countervailing power; however, this power is unevenly applied against different suppliers: commoditized suppliers of own-label products can be easily manipulated by Tesco, whereas FMCG suppliers with strong customer pull maintain considerable bargaining power despite their size.</w:t>
      </w:r>
    </w:p>
    <w:p w14:paraId="7CF86FB2">
      <w:pPr>
        <w:pStyle w:val="style0"/>
        <w:spacing w:lineRule="auto" w:line="360"/>
        <w:jc w:val="both"/>
        <w:rPr>
          <w:rFonts w:ascii="Arial" w:cs="Arial" w:hAnsi="Arial"/>
          <w:szCs w:val="24"/>
          <w:lang w:val="en-IN"/>
        </w:rPr>
      </w:pPr>
      <w:r>
        <w:rPr>
          <w:rFonts w:ascii="Arial" w:cs="Arial" w:hAnsi="Arial"/>
          <w:szCs w:val="24"/>
        </w:rPr>
        <w:t xml:space="preserve">New Entrants Threat (Low to moderate, but bifurcating). The old-school threats of capital </w:t>
      </w:r>
      <w:r>
        <w:rPr>
          <w:rFonts w:ascii="Arial" w:cs="Arial" w:hAnsi="Arial"/>
          <w:szCs w:val="24"/>
        </w:rPr>
        <w:t>intensity</w:t>
      </w:r>
      <w:r>
        <w:rPr>
          <w:rFonts w:ascii="Arial" w:cs="Arial" w:hAnsi="Arial"/>
          <w:szCs w:val="24"/>
        </w:rPr>
        <w:t xml:space="preserve">, planning permission, and food safety regulation continue to be strong against the threat of physical entrants </w:t>
      </w:r>
      <w:r>
        <w:rPr>
          <w:rFonts w:ascii="Arial" w:cs="Arial" w:hAnsi="Arial"/>
          <w:szCs w:val="24"/>
          <w:lang w:val="en-IN"/>
        </w:rPr>
        <w:t>(GrowthShareMatrix, 2025)</w:t>
      </w:r>
      <w:r>
        <w:rPr>
          <w:rFonts w:ascii="Arial" w:cs="Arial" w:hAnsi="Arial"/>
          <w:szCs w:val="24"/>
        </w:rPr>
        <w:t>. However, this force is experiencing structural bifurcation: digital-first and dark stores reduce barriers of entry for purely digital entrants, thus making the threat of entry significantly higher than it would be assessed based on the analysis of physical retail capabilities alone.</w:t>
      </w:r>
    </w:p>
    <w:p w14:paraId="00ABE1C0">
      <w:pPr>
        <w:pStyle w:val="style0"/>
        <w:spacing w:lineRule="auto" w:line="360"/>
        <w:jc w:val="both"/>
        <w:rPr>
          <w:rFonts w:ascii="Arial" w:cs="Arial" w:hAnsi="Arial"/>
          <w:szCs w:val="24"/>
        </w:rPr>
      </w:pPr>
      <w:r>
        <w:rPr>
          <w:rFonts w:ascii="Arial" w:cs="Arial" w:hAnsi="Arial"/>
          <w:szCs w:val="24"/>
        </w:rPr>
        <w:t>Substitute Products/Services Threat (Moderate, increasing). Discount, convenience formats, meal-kit delivery, and out-of-home dining substitute a significant part of the basket, especially among young urban shoppers who have low loyalty towards any retail format.</w:t>
      </w:r>
    </w:p>
    <w:bookmarkStart w:id="10" w:name="_Toc237433637"/>
    <w:p w14:paraId="6AA2AA9E">
      <w:pPr>
        <w:pStyle w:val="style1"/>
        <w:rPr>
          <w:rFonts w:cs="Arial"/>
        </w:rPr>
      </w:pPr>
      <w:r>
        <w:rPr>
          <w:rFonts w:cs="Arial"/>
        </w:rPr>
        <w:t xml:space="preserve">Internal </w:t>
      </w:r>
      <w:r>
        <w:rPr>
          <w:rFonts w:cs="Arial"/>
        </w:rPr>
        <w:t>Analysis</w:t>
      </w:r>
      <w:bookmarkEnd w:id="10"/>
    </w:p>
    <w:bookmarkStart w:id="11" w:name="_Hlk129508263"/>
    <w:p w14:paraId="0095FEBA">
      <w:pPr>
        <w:pStyle w:val="style0"/>
        <w:spacing w:lineRule="auto" w:line="360"/>
        <w:jc w:val="both"/>
        <w:rPr>
          <w:rFonts w:ascii="Arial" w:cs="Arial" w:hAnsi="Arial"/>
        </w:rPr>
      </w:pPr>
      <w:r>
        <w:rPr>
          <w:rFonts w:ascii="Arial" w:cs="Arial" w:hAnsi="Arial"/>
        </w:rPr>
        <w:tab/>
      </w:r>
      <w:r>
        <w:rPr>
          <w:rFonts w:ascii="Arial" w:cs="Arial" w:hAnsi="Arial"/>
        </w:rPr>
        <w:t xml:space="preserve">After understanding the external pressures in terms of structure that affect Tesco, it becomes necessary to understand whether Tesco has the right resources and competencies to turn its industry structure into </w:t>
      </w:r>
      <w:r>
        <w:rPr>
          <w:rFonts w:ascii="Arial" w:cs="Arial" w:hAnsi="Arial"/>
        </w:rPr>
        <w:t xml:space="preserve">a </w:t>
      </w:r>
      <w:r>
        <w:rPr>
          <w:rFonts w:ascii="Arial" w:cs="Arial" w:hAnsi="Arial"/>
        </w:rPr>
        <w:t>competitive advantage. For that, we need to go from just carrying out a simple resource audit to doing value chain and VRIO analysis, which will ultimately lead to a synthesized SWOT analysis.</w:t>
      </w:r>
      <w:bookmarkEnd w:id="11"/>
    </w:p>
    <w:bookmarkStart w:id="12" w:name="_Toc237433638"/>
    <w:p w14:paraId="7C9B7680">
      <w:pPr>
        <w:pStyle w:val="style2"/>
        <w:rPr>
          <w:rFonts w:cs="Arial"/>
        </w:rPr>
      </w:pPr>
      <w:r>
        <w:rPr>
          <w:rFonts w:cs="Arial"/>
        </w:rPr>
        <w:t>Tesco</w:t>
      </w:r>
      <w:r>
        <w:rPr>
          <w:rFonts w:cs="Arial"/>
        </w:rPr>
        <w:t>’s Strategic Resources and Capabilities</w:t>
      </w:r>
      <w:bookmarkEnd w:id="12"/>
    </w:p>
    <w:p w14:paraId="0183621B">
      <w:pPr>
        <w:pStyle w:val="style0"/>
        <w:keepNext/>
        <w:spacing w:lineRule="auto" w:line="360"/>
        <w:jc w:val="center"/>
        <w:rPr/>
      </w:pPr>
      <w:r>
        <w:rPr/>
        <w:drawing>
          <wp:inline distL="0" distT="0" distB="0" distR="0">
            <wp:extent cx="5187950" cy="4775200"/>
            <wp:effectExtent l="0" t="0" r="0" b="6350"/>
            <wp:docPr id="1031" name="Picture 5" descr="Tesco Steering wheel"/>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srcRect l="0" t="0" r="0" b="0"/>
                    <a:stretch/>
                  </pic:blipFill>
                  <pic:spPr>
                    <a:xfrm rot="0">
                      <a:off x="0" y="0"/>
                      <a:ext cx="5187950" cy="4775200"/>
                    </a:xfrm>
                    <a:prstGeom prst="rect"/>
                    <a:ln>
                      <a:noFill/>
                    </a:ln>
                  </pic:spPr>
                </pic:pic>
              </a:graphicData>
            </a:graphic>
          </wp:inline>
        </w:drawing>
      </w:r>
    </w:p>
    <w:p w14:paraId="4FA85C72">
      <w:pPr>
        <w:pStyle w:val="style34"/>
        <w:jc w:val="center"/>
        <w:rPr>
          <w:rFonts w:ascii="Arial" w:cs="Arial" w:hAnsi="Arial"/>
        </w:rPr>
      </w:pPr>
      <w:r>
        <w:t xml:space="preserve">Figure </w:t>
      </w:r>
      <w:r>
        <w:rPr/>
        <w:fldChar w:fldCharType="begin"/>
      </w:r>
      <w:r>
        <w:instrText xml:space="preserve"> SEQ Figure \* ARABIC </w:instrText>
      </w:r>
      <w:r>
        <w:rPr/>
        <w:fldChar w:fldCharType="separate"/>
      </w:r>
      <w:r>
        <w:t>4</w:t>
      </w:r>
      <w:r>
        <w:rPr/>
        <w:fldChar w:fldCharType="end"/>
      </w:r>
      <w:r>
        <w:t>: TESCO Steering wheel</w:t>
      </w:r>
    </w:p>
    <w:p w14:paraId="145C8CC4">
      <w:pPr>
        <w:pStyle w:val="style0"/>
        <w:spacing w:lineRule="auto" w:line="360"/>
        <w:ind w:firstLine="720"/>
        <w:jc w:val="center"/>
        <w:rPr>
          <w:rFonts w:ascii="Arial" w:cs="Arial" w:hAnsi="Arial"/>
          <w:lang w:val="en-IN"/>
        </w:rPr>
      </w:pPr>
      <w:r>
        <w:rPr>
          <w:rFonts w:ascii="Arial" w:cs="Arial" w:hAnsi="Arial"/>
        </w:rPr>
        <w:t xml:space="preserve">Source: </w:t>
      </w:r>
      <w:r>
        <w:rPr>
          <w:rFonts w:ascii="Arial" w:cs="Arial" w:hAnsi="Arial"/>
          <w:lang w:val="en-IN"/>
        </w:rPr>
        <w:t>(Tesco’s competitive strategy evaluation, 2018)</w:t>
      </w:r>
    </w:p>
    <w:p w14:paraId="548B1208">
      <w:pPr>
        <w:pStyle w:val="style0"/>
        <w:spacing w:lineRule="auto" w:line="360"/>
        <w:ind w:firstLine="720"/>
        <w:jc w:val="both"/>
        <w:rPr>
          <w:rFonts w:ascii="Arial" w:cs="Arial" w:hAnsi="Arial"/>
        </w:rPr>
      </w:pPr>
      <w:r>
        <w:rPr>
          <w:rFonts w:ascii="Arial" w:cs="Arial" w:hAnsi="Arial"/>
        </w:rPr>
        <w:t>The primary strategic assets at Tesco are: Clubcard customer database (with 20+ million members), a diverse UK-based network of stores which is integrated with Booker wholesale operation, a broad portfolio of private label and premium Finest products</w:t>
      </w:r>
      <w:r>
        <w:rPr>
          <w:rFonts w:ascii="Arial" w:cs="Arial" w:hAnsi="Arial"/>
        </w:rPr>
        <w:t>,</w:t>
      </w:r>
      <w:r>
        <w:rPr>
          <w:rFonts w:ascii="Arial" w:cs="Arial" w:hAnsi="Arial"/>
        </w:rPr>
        <w:t xml:space="preserve"> and one hundred years of brand equity developed since 1919 (Tesco PLC, 2025). The dynamic capabilities of the company are: data analytics and personalization, supply chain and procurement economies of scale, as well as omnichannel fulfillment in physical stores, e-groceries</w:t>
      </w:r>
      <w:r>
        <w:rPr>
          <w:rFonts w:ascii="Arial" w:cs="Arial" w:hAnsi="Arial"/>
        </w:rPr>
        <w:t>,</w:t>
      </w:r>
      <w:r>
        <w:rPr>
          <w:rFonts w:ascii="Arial" w:cs="Arial" w:hAnsi="Arial"/>
        </w:rPr>
        <w:t xml:space="preserve"> and fast deliveries by Whoosh. In line with the resource-based approach (Barney, 1991; Grant, 1991), the importance of the assets does not depend on their presence per se but on their potential for systematic organization into a hard-to-replicate capability </w:t>
      </w:r>
      <w:r>
        <w:rPr>
          <w:rFonts w:ascii="Arial" w:cs="Arial" w:hAnsi="Arial"/>
        </w:rPr>
        <w:t>-</w:t>
      </w:r>
      <w:r>
        <w:rPr>
          <w:rFonts w:ascii="Arial" w:cs="Arial" w:hAnsi="Arial"/>
        </w:rPr>
        <w:t xml:space="preserve"> an issue that will be analyzed below in value chain and VRIO terms.</w:t>
      </w:r>
    </w:p>
    <w:bookmarkStart w:id="13" w:name="_Toc237433639"/>
    <w:p w14:paraId="1C12922F">
      <w:pPr>
        <w:pStyle w:val="style2"/>
        <w:rPr>
          <w:rFonts w:cs="Arial"/>
        </w:rPr>
      </w:pPr>
      <w:r>
        <w:rPr>
          <w:rFonts w:cs="Arial"/>
        </w:rPr>
        <w:t>Value Chain Analysis</w:t>
      </w:r>
      <w:bookmarkEnd w:id="13"/>
      <w:r>
        <w:rPr>
          <w:rFonts w:cs="Arial"/>
        </w:rPr>
        <w:tab/>
      </w:r>
    </w:p>
    <w:p w14:paraId="0AF9A158">
      <w:pPr>
        <w:pStyle w:val="style0"/>
        <w:spacing w:lineRule="auto" w:line="360"/>
        <w:jc w:val="both"/>
        <w:rPr>
          <w:rFonts w:ascii="Arial" w:cs="Arial" w:hAnsi="Arial"/>
        </w:rPr>
      </w:pPr>
      <w:r>
        <w:rPr>
          <w:rFonts w:ascii="Arial" w:cs="Arial" w:hAnsi="Arial"/>
        </w:rPr>
        <w:t>Porter's (1985) value chain framework disaggregates Tesco's operations to identify precisely where value, and therefore margin, is created.</w:t>
      </w:r>
    </w:p>
    <w:bookmarkStart w:id="14" w:name="_Toc237433640"/>
    <w:p w14:paraId="54924165">
      <w:pPr>
        <w:pStyle w:val="style3"/>
        <w:rPr>
          <w:rFonts w:cs="Arial"/>
        </w:rPr>
      </w:pPr>
      <w:r>
        <w:rPr>
          <w:rFonts w:cs="Arial"/>
        </w:rPr>
        <w:t>Primary Activities</w:t>
      </w:r>
      <w:bookmarkEnd w:id="14"/>
    </w:p>
    <w:p w14:paraId="0F7EE926">
      <w:pPr>
        <w:pStyle w:val="style0"/>
        <w:spacing w:lineRule="auto" w:line="360"/>
        <w:jc w:val="both"/>
        <w:rPr>
          <w:rFonts w:ascii="Arial" w:cs="Arial" w:hAnsi="Arial"/>
        </w:rPr>
      </w:pPr>
      <w:r>
        <w:rPr>
          <w:rFonts w:ascii="Arial" w:cs="Arial" w:hAnsi="Arial"/>
        </w:rPr>
        <w:tab/>
      </w:r>
      <w:r>
        <w:rPr>
          <w:rFonts w:ascii="Arial" w:cs="Arial" w:hAnsi="Arial"/>
        </w:rPr>
        <w:t>Inbound logistics will be aided by the vast distribution network</w:t>
      </w:r>
      <w:r>
        <w:rPr>
          <w:rFonts w:ascii="Arial" w:cs="Arial" w:hAnsi="Arial"/>
        </w:rPr>
        <w:t>,</w:t>
      </w:r>
      <w:r>
        <w:rPr>
          <w:rFonts w:ascii="Arial" w:cs="Arial" w:hAnsi="Arial"/>
        </w:rPr>
        <w:t xml:space="preserve"> which is now integrated with Booker, ensuring more resilient supply chains with the challenges presented by sourcing since Brexit. The operations take place through a carefully differentiated portfolio of formats - Extra, Superstore, Metro and Express - and are facilitated through automated distribution centers that allow Tesco to cater for different types of shopping purposes as opposed to offering a standard, undifferentiated format. Tesco excels in outbound logistics and marketing</w:t>
      </w:r>
      <w:r>
        <w:rPr>
          <w:rFonts w:ascii="Arial" w:cs="Arial" w:hAnsi="Arial"/>
        </w:rPr>
        <w:t>,</w:t>
      </w:r>
      <w:r>
        <w:rPr>
          <w:rFonts w:ascii="Arial" w:cs="Arial" w:hAnsi="Arial"/>
        </w:rPr>
        <w:t xml:space="preserve"> in which personalisation and retail-media platforms powered by Clubcard create a completely new revenue stream (Tesco PLC, 2026). This is because of the omnichannel sales model whereby sales through </w:t>
      </w:r>
      <w:r>
        <w:rPr>
          <w:rFonts w:ascii="Arial" w:cs="Arial" w:hAnsi="Arial"/>
        </w:rPr>
        <w:t xml:space="preserve">the </w:t>
      </w:r>
      <w:r>
        <w:rPr>
          <w:rFonts w:ascii="Arial" w:cs="Arial" w:hAnsi="Arial"/>
        </w:rPr>
        <w:t>online channel have increased 11%, while sales through Whoosh rapid delivery have increased 51% in FY2025/26, thus exhibiting capability and not just investment in digital fulfillment. Services broaden the scope of customer engagement beyond groceries to pharmacy, Tesco Mobile</w:t>
      </w:r>
      <w:r>
        <w:rPr>
          <w:rFonts w:ascii="Arial" w:cs="Arial" w:hAnsi="Arial"/>
        </w:rPr>
        <w:t>,</w:t>
      </w:r>
      <w:r>
        <w:rPr>
          <w:rFonts w:ascii="Arial" w:cs="Arial" w:hAnsi="Arial"/>
        </w:rPr>
        <w:t xml:space="preserve"> and financial services through the Barclays partnership.</w:t>
      </w:r>
    </w:p>
    <w:bookmarkStart w:id="15" w:name="_Toc237433641"/>
    <w:p w14:paraId="7D06F6BF">
      <w:pPr>
        <w:pStyle w:val="style3"/>
        <w:rPr>
          <w:rFonts w:cs="Arial"/>
        </w:rPr>
      </w:pPr>
      <w:r>
        <w:rPr>
          <w:rFonts w:cs="Arial"/>
        </w:rPr>
        <w:t>Secondary Activities</w:t>
      </w:r>
      <w:bookmarkEnd w:id="15"/>
    </w:p>
    <w:bookmarkStart w:id="16" w:name="_Hlk129508410"/>
    <w:p w14:paraId="608305BF">
      <w:pPr>
        <w:pStyle w:val="style0"/>
        <w:spacing w:lineRule="auto" w:line="360"/>
        <w:jc w:val="both"/>
        <w:rPr>
          <w:rFonts w:ascii="Arial" w:cs="Arial" w:hAnsi="Arial"/>
          <w:lang w:val="en-IN"/>
        </w:rPr>
      </w:pPr>
      <w:r>
        <w:rPr>
          <w:rFonts w:ascii="Arial" w:cs="Arial" w:hAnsi="Arial"/>
        </w:rPr>
        <w:tab/>
      </w:r>
      <w:r>
        <w:rPr>
          <w:rFonts w:ascii="Arial" w:cs="Arial" w:hAnsi="Arial"/>
        </w:rPr>
        <w:t xml:space="preserve">Provision uses the size of Tesco and the integration with Booker to achieve procurement cost efficiency and diversification through non-EU sources available due to FTA </w:t>
      </w:r>
      <w:r>
        <w:rPr>
          <w:rFonts w:ascii="Arial" w:cs="Arial" w:hAnsi="Arial"/>
          <w:lang w:val="en-IN"/>
        </w:rPr>
        <w:t>(GrowthShareMatrix, 2025)</w:t>
      </w:r>
      <w:r>
        <w:rPr>
          <w:rFonts w:ascii="Arial" w:cs="Arial" w:hAnsi="Arial"/>
        </w:rPr>
        <w:t>. Technology development has become the key to competitive advantage, focused on data infrastructure, automation, and the retail-media platform rather than on physical growth, as expected of an innovation in a mature industry (</w:t>
      </w:r>
      <w:r>
        <w:rPr>
          <w:rFonts w:ascii="Arial" w:cs="Arial" w:hAnsi="Arial"/>
        </w:rPr>
        <w:t>Ateljević</w:t>
      </w:r>
      <w:r>
        <w:rPr>
          <w:rFonts w:ascii="Arial" w:cs="Arial" w:hAnsi="Arial"/>
        </w:rPr>
        <w:t>, 2023</w:t>
      </w:r>
      <w:r>
        <w:rPr>
          <w:rFonts w:ascii="Arial" w:cs="Arial" w:hAnsi="Arial"/>
        </w:rPr>
        <w:t xml:space="preserve">). Human resource management is manifested by inflation-beating salary increases (5.1% since March 2026) and collaboration with organisations like The King's Trust for employee development, contributing to retention in the tight UK labor market conditions (Tesco PLC, 2026). Firm infrastructure involves the Save to Invest initiative that reinvests all efficiency gains into customer value creation </w:t>
      </w:r>
      <w:r>
        <w:rPr>
          <w:rFonts w:ascii="Arial" w:cs="Arial" w:hAnsi="Arial"/>
        </w:rPr>
        <w:t>-</w:t>
      </w:r>
      <w:r>
        <w:rPr>
          <w:rFonts w:ascii="Arial" w:cs="Arial" w:hAnsi="Arial"/>
        </w:rPr>
        <w:t xml:space="preserve"> a governance tool that makes cost effectiveness an inseparable part of competitive advantage strategy.</w:t>
      </w:r>
      <w:bookmarkEnd w:id="16"/>
    </w:p>
    <w:bookmarkStart w:id="17" w:name="_Toc237433642"/>
    <w:p w14:paraId="6121BCE8">
      <w:pPr>
        <w:pStyle w:val="style2"/>
        <w:rPr>
          <w:rFonts w:cs="Arial"/>
        </w:rPr>
      </w:pPr>
      <w:r>
        <w:rPr>
          <w:rFonts w:cs="Arial"/>
        </w:rPr>
        <w:t>VRIO Analysis of Distinctive Resources and Capabilities</w:t>
      </w:r>
      <w:bookmarkEnd w:id="17"/>
    </w:p>
    <w:p w14:paraId="3123C89E">
      <w:pPr>
        <w:pStyle w:val="style0"/>
        <w:spacing w:lineRule="auto" w:line="360"/>
        <w:jc w:val="both"/>
        <w:rPr>
          <w:rFonts w:ascii="Arial" w:cs="Arial" w:hAnsi="Arial"/>
        </w:rPr>
      </w:pPr>
      <w:r>
        <w:rPr>
          <w:rFonts w:ascii="Arial" w:cs="Arial" w:hAnsi="Arial"/>
        </w:rPr>
        <w:tab/>
      </w:r>
      <w:r>
        <w:rPr>
          <w:rFonts w:ascii="Arial" w:cs="Arial" w:hAnsi="Arial"/>
        </w:rPr>
        <w:t>The application of Barney's (1991) VRIO criteria is able to make the difference between sustained advantage and temporary advantage. The clubcard and customer data are Valuable, Rare, Costly to imitate</w:t>
      </w:r>
      <w:r>
        <w:rPr>
          <w:rFonts w:ascii="Arial" w:cs="Arial" w:hAnsi="Arial"/>
        </w:rPr>
        <w:t>,</w:t>
      </w:r>
      <w:r>
        <w:rPr>
          <w:rFonts w:ascii="Arial" w:cs="Arial" w:hAnsi="Arial"/>
        </w:rPr>
        <w:t xml:space="preserve"> and Organized (sustained advantage), due to </w:t>
      </w:r>
      <w:r>
        <w:rPr>
          <w:rFonts w:ascii="Arial" w:cs="Arial" w:hAnsi="Arial"/>
        </w:rPr>
        <w:t>their</w:t>
      </w:r>
      <w:r>
        <w:rPr>
          <w:rFonts w:ascii="Arial" w:cs="Arial" w:hAnsi="Arial"/>
        </w:rPr>
        <w:t xml:space="preserve"> unique depth and conversion to retail-media revenue. Scale and network are Valuable and Rare among full-range grocers</w:t>
      </w:r>
      <w:r>
        <w:rPr>
          <w:rFonts w:ascii="Arial" w:cs="Arial" w:hAnsi="Arial"/>
        </w:rPr>
        <w:t>,</w:t>
      </w:r>
      <w:r>
        <w:rPr>
          <w:rFonts w:ascii="Arial" w:cs="Arial" w:hAnsi="Arial"/>
        </w:rPr>
        <w:t xml:space="preserve"> but Costly to imitate due to the rise of the discounters (temporary advantage). The whoosh delivery system is again Valuable but imitable through Ocado delivery or the dark stores approach (temporary advantage). The own label/ Finest product range (£3bn 15% increase) is Valuable, </w:t>
      </w:r>
      <w:r>
        <w:rPr>
          <w:rFonts w:ascii="Arial" w:cs="Arial" w:hAnsi="Arial"/>
        </w:rPr>
        <w:t>rare,</w:t>
      </w:r>
      <w:r>
        <w:rPr>
          <w:rFonts w:ascii="Arial" w:cs="Arial" w:hAnsi="Arial"/>
        </w:rPr>
        <w:t xml:space="preserve"> and Costly to imitate due to decades-old relations with the suppliers (sustained advantage). Finally, the brand trust is still Valuable, </w:t>
      </w:r>
      <w:r>
        <w:rPr>
          <w:rFonts w:ascii="Arial" w:cs="Arial" w:hAnsi="Arial"/>
        </w:rPr>
        <w:t>rare,</w:t>
      </w:r>
      <w:r>
        <w:rPr>
          <w:rFonts w:ascii="Arial" w:cs="Arial" w:hAnsi="Arial"/>
        </w:rPr>
        <w:t xml:space="preserve"> and not imitable until recently</w:t>
      </w:r>
      <w:r>
        <w:rPr>
          <w:rFonts w:ascii="Arial" w:cs="Arial" w:hAnsi="Arial"/>
        </w:rPr>
        <w:t>,</w:t>
      </w:r>
      <w:r>
        <w:rPr>
          <w:rFonts w:ascii="Arial" w:cs="Arial" w:hAnsi="Arial"/>
        </w:rPr>
        <w:t xml:space="preserve"> when considering the difference between the sustainability objectives set for 2025 and the achievement of those objectives.</w:t>
      </w:r>
    </w:p>
    <w:bookmarkStart w:id="18" w:name="_Toc237433643"/>
    <w:p w14:paraId="15A6572F">
      <w:pPr>
        <w:pStyle w:val="style2"/>
        <w:rPr>
          <w:rFonts w:cs="Arial"/>
        </w:rPr>
      </w:pPr>
      <w:r>
        <w:rPr>
          <w:rFonts w:cs="Arial"/>
        </w:rPr>
        <w:t>SWOT Analysis</w:t>
      </w:r>
      <w:bookmarkEnd w:id="18"/>
    </w:p>
    <w:p w14:paraId="29E9A793">
      <w:pPr>
        <w:pStyle w:val="style0"/>
        <w:spacing w:lineRule="auto" w:line="360"/>
        <w:jc w:val="both"/>
        <w:rPr>
          <w:rFonts w:ascii="Arial" w:cs="Arial" w:hAnsi="Arial"/>
        </w:rPr>
      </w:pPr>
      <w:r>
        <w:rPr>
          <w:rFonts w:ascii="Arial" w:cs="Arial" w:hAnsi="Arial"/>
        </w:rPr>
        <w:t xml:space="preserve">Strengths: market leadership, increasing market share (28.7%) (Kantar, 2026), integration of Clubcard data with retail-media revenues; well-performing business (Tesco PLC, 2026); diversified portfolio in conjunction with Booker. </w:t>
      </w:r>
    </w:p>
    <w:p w14:paraId="22E1BAFC">
      <w:pPr>
        <w:pStyle w:val="style0"/>
        <w:spacing w:lineRule="auto" w:line="360"/>
        <w:jc w:val="both"/>
        <w:rPr>
          <w:rFonts w:ascii="Arial" w:cs="Arial" w:hAnsi="Arial"/>
        </w:rPr>
      </w:pPr>
      <w:r>
        <w:rPr>
          <w:rFonts w:ascii="Arial" w:cs="Arial" w:hAnsi="Arial"/>
        </w:rPr>
        <w:t xml:space="preserve">Weaknesses: high costs due to increased wages and restructuring, gap between proclaimed and achieved ESG performance (CSR Reporters, 2026), reliance on a low-margin and mature core market. </w:t>
      </w:r>
    </w:p>
    <w:p w14:paraId="2164220F">
      <w:pPr>
        <w:pStyle w:val="style0"/>
        <w:spacing w:lineRule="auto" w:line="360"/>
        <w:jc w:val="both"/>
        <w:rPr>
          <w:rFonts w:ascii="Arial" w:cs="Arial" w:hAnsi="Arial"/>
        </w:rPr>
      </w:pPr>
      <w:r>
        <w:rPr>
          <w:rFonts w:ascii="Arial" w:cs="Arial" w:hAnsi="Arial"/>
        </w:rPr>
        <w:t xml:space="preserve">Opportunities: scalability of retail-media platform, expansion into healthier/sustainable ranges, increased presence online and rapid delivery service, diversity of sourcing through FTA. </w:t>
      </w:r>
    </w:p>
    <w:p w14:paraId="179D3AAD">
      <w:pPr>
        <w:pStyle w:val="style0"/>
        <w:spacing w:lineRule="auto" w:line="360"/>
        <w:jc w:val="both"/>
        <w:rPr>
          <w:rFonts w:ascii="Arial" w:cs="Arial" w:hAnsi="Arial"/>
        </w:rPr>
      </w:pPr>
      <w:r>
        <w:rPr>
          <w:rFonts w:ascii="Arial" w:cs="Arial" w:hAnsi="Arial"/>
        </w:rPr>
        <w:t xml:space="preserve">Threats: continued Aldi/Lidl incursion, more stringent CMA oversight, increased cost of inputs, increased cybersecurity risks. The crucial point is that </w:t>
      </w:r>
      <w:r>
        <w:rPr>
          <w:rFonts w:ascii="Arial" w:cs="Arial" w:hAnsi="Arial"/>
        </w:rPr>
        <w:t xml:space="preserve">the </w:t>
      </w:r>
      <w:r>
        <w:rPr>
          <w:rFonts w:ascii="Arial" w:cs="Arial" w:hAnsi="Arial"/>
        </w:rPr>
        <w:t xml:space="preserve">strengths and opportunities of Tesco concern differentiating through data, while </w:t>
      </w:r>
      <w:r>
        <w:rPr>
          <w:rFonts w:ascii="Arial" w:cs="Arial" w:hAnsi="Arial"/>
        </w:rPr>
        <w:t xml:space="preserve">the </w:t>
      </w:r>
      <w:r>
        <w:rPr>
          <w:rFonts w:ascii="Arial" w:cs="Arial" w:hAnsi="Arial"/>
        </w:rPr>
        <w:t>weaknesses and threats relate to costs and credibility.</w:t>
      </w:r>
      <w:r>
        <w:rPr>
          <w:rFonts w:ascii="Arial" w:cs="Arial" w:hAnsi="Arial"/>
        </w:rPr>
        <w:tab/>
      </w:r>
    </w:p>
    <w:bookmarkStart w:id="19" w:name="_Toc237433644"/>
    <w:p w14:paraId="55E8BE30">
      <w:pPr>
        <w:pStyle w:val="style1"/>
        <w:rPr>
          <w:rFonts w:cs="Arial"/>
        </w:rPr>
      </w:pPr>
      <w:r>
        <w:rPr>
          <w:rFonts w:cs="Arial"/>
        </w:rPr>
        <w:t>Strategies to Sustain Competitive Advantage</w:t>
      </w:r>
      <w:bookmarkEnd w:id="19"/>
    </w:p>
    <w:p w14:paraId="18D399A6">
      <w:pPr>
        <w:pStyle w:val="style0"/>
        <w:spacing w:lineRule="auto" w:line="360"/>
        <w:jc w:val="both"/>
        <w:rPr>
          <w:rFonts w:ascii="Arial" w:cs="Arial" w:hAnsi="Arial"/>
          <w:lang w:val="en-IN"/>
        </w:rPr>
      </w:pPr>
      <w:r>
        <w:rPr>
          <w:rFonts w:ascii="Arial" w:cs="Arial" w:hAnsi="Arial"/>
        </w:rPr>
        <w:tab/>
      </w:r>
      <w:r>
        <w:rPr>
          <w:rFonts w:ascii="Arial" w:cs="Arial" w:hAnsi="Arial"/>
        </w:rPr>
        <w:t xml:space="preserve">The three main generic strategies that are identified through Porter's (1985) generic strategy analysis include: cost leadership, differentiation, and focus. When looking at Tesco and applying the generic strategy framework in a critical manner instead of simply using it as a tick-box exercise, it becomes apparent that neither the pure form of each generic strategy will work in isolation in terms of the structure of the UK grocery market. A pure cost leadership strategy would be structurally impossible for Tesco to implement. Aldi and Lidl have structurally more advantageous cost positions due to their lean operations and low-cost structure with </w:t>
      </w:r>
      <w:r>
        <w:rPr>
          <w:rFonts w:ascii="Arial" w:cs="Arial" w:hAnsi="Arial"/>
        </w:rPr>
        <w:t>fewer</w:t>
      </w:r>
      <w:r>
        <w:rPr>
          <w:rFonts w:ascii="Arial" w:cs="Arial" w:hAnsi="Arial"/>
        </w:rPr>
        <w:t xml:space="preserve"> product ranges, simple store layouts and reduced marketing costs, giving them an inherent cost-of-service advantage that cannot be matched by any full-range retailer without losing its very differentiation in the first place </w:t>
      </w:r>
      <w:r>
        <w:rPr>
          <w:rFonts w:ascii="Arial" w:cs="Arial" w:hAnsi="Arial"/>
          <w:lang w:val="en-IN"/>
        </w:rPr>
        <w:t>(GrowthShareMatrix, 2025)</w:t>
      </w:r>
      <w:r>
        <w:rPr>
          <w:rFonts w:ascii="Arial" w:cs="Arial" w:hAnsi="Arial"/>
        </w:rPr>
        <w:t>. Thus, Tesco would be put at a disadvantage in a price war with them. On the other hand, a pure differentiation strategy would also have problems in this market with high buyer power and basket splitting.</w:t>
      </w:r>
    </w:p>
    <w:p w14:paraId="32C4EFC5">
      <w:pPr>
        <w:pStyle w:val="style0"/>
        <w:spacing w:lineRule="auto" w:line="360"/>
        <w:jc w:val="both"/>
        <w:rPr>
          <w:rFonts w:ascii="Arial" w:cs="Arial" w:hAnsi="Arial"/>
        </w:rPr>
      </w:pPr>
      <w:r>
        <w:rPr>
          <w:rFonts w:ascii="Arial" w:cs="Arial" w:hAnsi="Arial"/>
        </w:rPr>
        <w:tab/>
      </w:r>
      <w:r>
        <w:rPr>
          <w:rFonts w:ascii="Arial" w:cs="Arial" w:hAnsi="Arial"/>
        </w:rPr>
        <w:t xml:space="preserve">The evidence from the VRIO and Five Forces analyses does suggest that the best strategy to adopt is instead the hybrid "best value" approach, occupying the hybrid position on the Strategy Clock framework developed by Bowman (1996), whereby there is active competitive pricing (Clubcard Prices, Aldi Price Match) combined with genuine differentiation via data-driven personalization, quality extension through range (Finest), and services covering pharmacy, mobile, and finance. This is not a </w:t>
      </w:r>
      <w:r>
        <w:rPr>
          <w:rFonts w:ascii="Arial" w:cs="Arial" w:hAnsi="Arial"/>
        </w:rPr>
        <w:t>strategy that is adopted out of desperation as there is a clear choice; it is a position that the structure of the industry makes structurally inevitable, with a highly competitive industry and strong buyer power limiting profitability from price-based competition (</w:t>
      </w:r>
      <w:r>
        <w:rPr>
          <w:rFonts w:ascii="Arial" w:cs="Arial" w:hAnsi="Arial"/>
        </w:rPr>
        <w:t>Ateljević</w:t>
      </w:r>
      <w:r>
        <w:rPr>
          <w:rFonts w:ascii="Arial" w:cs="Arial" w:hAnsi="Arial"/>
        </w:rPr>
        <w:t>, 2023</w:t>
      </w:r>
      <w:r>
        <w:rPr>
          <w:rFonts w:ascii="Arial" w:cs="Arial" w:hAnsi="Arial"/>
        </w:rPr>
        <w:t>), while Tesco's VRIO-based strengths (Clubcard data, own brands, brand equity (Barney, 1991)) allow for legitimate differentiation.</w:t>
      </w:r>
    </w:p>
    <w:p w14:paraId="25A86A15">
      <w:pPr>
        <w:pStyle w:val="style0"/>
        <w:spacing w:lineRule="auto" w:line="360"/>
        <w:jc w:val="both"/>
        <w:rPr>
          <w:rFonts w:ascii="Arial" w:cs="Arial" w:hAnsi="Arial"/>
        </w:rPr>
      </w:pPr>
      <w:r>
        <w:rPr>
          <w:rFonts w:ascii="Arial" w:cs="Arial" w:hAnsi="Arial"/>
        </w:rPr>
        <w:tab/>
      </w:r>
      <w:r>
        <w:rPr>
          <w:rFonts w:ascii="Arial" w:cs="Arial" w:hAnsi="Arial"/>
        </w:rPr>
        <w:t xml:space="preserve">Empirical performance evidence confirms the positioning directly. Tesco attained concurrent market share growth to 28.7%, the highest in the company since March 2015, alongside an increasing Group adjusted operating profit of roughly £3.15bn for FY2025/26 (Kantar, 2026; Tesco PLC, 2026). This combination has analytical significance because when a business pursues cost leadership alone, share gain tends to reduce margins because the increase in volume is gained through </w:t>
      </w:r>
      <w:r>
        <w:rPr>
          <w:rFonts w:ascii="Arial" w:cs="Arial" w:hAnsi="Arial"/>
        </w:rPr>
        <w:t>concessions</w:t>
      </w:r>
      <w:r>
        <w:rPr>
          <w:rFonts w:ascii="Arial" w:cs="Arial" w:hAnsi="Arial"/>
        </w:rPr>
        <w:t xml:space="preserve"> on price. </w:t>
      </w:r>
    </w:p>
    <w:p w14:paraId="025D2016">
      <w:pPr>
        <w:pStyle w:val="style0"/>
        <w:spacing w:lineRule="auto" w:line="360"/>
        <w:jc w:val="both"/>
        <w:rPr>
          <w:rStyle w:val="style4102"/>
          <w:rFonts w:cs="Arial" w:eastAsia="Calibri"/>
          <w:b w:val="false"/>
          <w:color w:val="auto"/>
          <w:szCs w:val="22"/>
          <w:lang w:eastAsia="en-US"/>
        </w:rPr>
      </w:pPr>
      <w:r>
        <w:rPr>
          <w:rFonts w:ascii="Arial" w:cs="Arial" w:hAnsi="Arial"/>
        </w:rPr>
        <w:tab/>
      </w:r>
      <w:r>
        <w:rPr>
          <w:rFonts w:ascii="Arial" w:cs="Arial" w:hAnsi="Arial"/>
        </w:rPr>
        <w:t xml:space="preserve">Implementation issues and mitigating measures. The major danger associated with such strategy implementation would be margin shrinkage due to wage and input cost inflation, especially considering the pay rise </w:t>
      </w:r>
      <w:r>
        <w:rPr>
          <w:rFonts w:ascii="Arial" w:cs="Arial" w:hAnsi="Arial"/>
        </w:rPr>
        <w:t>of</w:t>
      </w:r>
      <w:r>
        <w:rPr>
          <w:rFonts w:ascii="Arial" w:cs="Arial" w:hAnsi="Arial"/>
        </w:rPr>
        <w:t xml:space="preserve"> 5.1% above inflation to be introduced in March 2026 (Tesco PLC, 2026). The mitigating measures will include the further development of </w:t>
      </w:r>
      <w:r>
        <w:rPr>
          <w:rFonts w:ascii="Arial" w:cs="Arial" w:hAnsi="Arial"/>
        </w:rPr>
        <w:t xml:space="preserve">the </w:t>
      </w:r>
      <w:r>
        <w:rPr>
          <w:rFonts w:ascii="Arial" w:cs="Arial" w:hAnsi="Arial"/>
        </w:rPr>
        <w:t>Save to Invest efficiency program, which has already made its contribution to creating an opportunity for reinvestment, as well as aligning executives' compensation with ESG performance, since a credibility issue has been revealed in the internal analysis.</w:t>
      </w:r>
    </w:p>
    <w:bookmarkStart w:id="20" w:name="_Toc237433645"/>
    <w:p w14:paraId="2AA2E498">
      <w:pPr>
        <w:pStyle w:val="style1"/>
        <w:spacing w:lineRule="auto" w:line="360"/>
        <w:rPr>
          <w:rFonts w:cs="Arial"/>
        </w:rPr>
      </w:pPr>
      <w:r>
        <w:rPr>
          <w:rFonts w:cs="Arial"/>
        </w:rPr>
        <w:t>Growth Strategies</w:t>
      </w:r>
      <w:bookmarkEnd w:id="20"/>
    </w:p>
    <w:p w14:paraId="7D095F89">
      <w:pPr>
        <w:pStyle w:val="style0"/>
        <w:spacing w:lineRule="auto" w:line="360"/>
        <w:ind w:firstLine="720"/>
        <w:jc w:val="both"/>
        <w:rPr>
          <w:rFonts w:ascii="Arial" w:cs="Arial" w:hAnsi="Arial"/>
        </w:rPr>
      </w:pPr>
      <w:r>
        <w:rPr>
          <w:rFonts w:ascii="Arial" w:cs="Arial" w:hAnsi="Arial"/>
        </w:rPr>
        <w:t>Matrix of Ansoff (1957) offers the proper approach in order to assess Tesco's best possible direction of growth</w:t>
      </w:r>
      <w:r>
        <w:rPr>
          <w:rFonts w:ascii="Arial" w:cs="Arial" w:hAnsi="Arial"/>
        </w:rPr>
        <w:t>,</w:t>
      </w:r>
      <w:r>
        <w:rPr>
          <w:rFonts w:ascii="Arial" w:cs="Arial" w:hAnsi="Arial"/>
        </w:rPr>
        <w:t xml:space="preserve"> considering its experience of success and failure in its growth.</w:t>
      </w:r>
    </w:p>
    <w:p w14:paraId="41464F7A">
      <w:pPr>
        <w:pStyle w:val="style0"/>
        <w:spacing w:lineRule="auto" w:line="360"/>
        <w:ind w:firstLine="720"/>
        <w:jc w:val="both"/>
        <w:rPr>
          <w:rFonts w:ascii="Arial" w:cs="Arial" w:hAnsi="Arial"/>
        </w:rPr>
      </w:pPr>
      <w:r>
        <w:rPr>
          <w:rFonts w:ascii="Arial" w:cs="Arial" w:hAnsi="Arial"/>
        </w:rPr>
        <w:t xml:space="preserve">Market penetration </w:t>
      </w:r>
      <w:r>
        <w:rPr>
          <w:rFonts w:ascii="Arial" w:cs="Arial" w:hAnsi="Arial"/>
        </w:rPr>
        <w:t>-</w:t>
      </w:r>
      <w:r>
        <w:rPr>
          <w:rFonts w:ascii="Arial" w:cs="Arial" w:hAnsi="Arial"/>
        </w:rPr>
        <w:t xml:space="preserve"> increased market share in </w:t>
      </w:r>
      <w:r>
        <w:rPr>
          <w:rFonts w:ascii="Arial" w:cs="Arial" w:hAnsi="Arial"/>
        </w:rPr>
        <w:t xml:space="preserve">the </w:t>
      </w:r>
      <w:r>
        <w:rPr>
          <w:rFonts w:ascii="Arial" w:cs="Arial" w:hAnsi="Arial"/>
        </w:rPr>
        <w:t xml:space="preserve">UK/ROI by means of loyalty program and retail media </w:t>
      </w:r>
      <w:r>
        <w:rPr>
          <w:rFonts w:ascii="Arial" w:cs="Arial" w:hAnsi="Arial"/>
        </w:rPr>
        <w:t>-</w:t>
      </w:r>
      <w:r>
        <w:rPr>
          <w:rFonts w:ascii="Arial" w:cs="Arial" w:hAnsi="Arial"/>
        </w:rPr>
        <w:t xml:space="preserve"> appears to be the least risky growth vector of Tesco that is supported by its empirical evidence of volume-based market share increase in the mature, low-growth industry (Kantar, 2026). Product development </w:t>
      </w:r>
      <w:r>
        <w:rPr>
          <w:rFonts w:ascii="Arial" w:cs="Arial" w:hAnsi="Arial"/>
        </w:rPr>
        <w:t>-</w:t>
      </w:r>
      <w:r>
        <w:rPr>
          <w:rFonts w:ascii="Arial" w:cs="Arial" w:hAnsi="Arial"/>
        </w:rPr>
        <w:t xml:space="preserve"> introduction of </w:t>
      </w:r>
      <w:r>
        <w:rPr>
          <w:rFonts w:ascii="Arial" w:cs="Arial" w:hAnsi="Arial"/>
        </w:rPr>
        <w:t>own-label</w:t>
      </w:r>
      <w:r>
        <w:rPr>
          <w:rFonts w:ascii="Arial" w:cs="Arial" w:hAnsi="Arial"/>
        </w:rPr>
        <w:t xml:space="preserve"> and Finest range with more than 2,000 new/improved products and 15% growth of Finest to £3 billion in FY2025/26 (Tesco PLC, 2026) </w:t>
      </w:r>
      <w:r>
        <w:rPr>
          <w:rFonts w:ascii="Arial" w:cs="Arial" w:hAnsi="Arial"/>
        </w:rPr>
        <w:t>-</w:t>
      </w:r>
      <w:r>
        <w:rPr>
          <w:rFonts w:ascii="Arial" w:cs="Arial" w:hAnsi="Arial"/>
        </w:rPr>
        <w:t xml:space="preserve"> exploits the VRIO-verified own-brand strength.</w:t>
      </w:r>
    </w:p>
    <w:p w14:paraId="34313727">
      <w:pPr>
        <w:pStyle w:val="style0"/>
        <w:spacing w:after="160" w:lineRule="auto" w:line="360"/>
        <w:jc w:val="both"/>
        <w:rPr>
          <w:rFonts w:ascii="Arial" w:cs="Arial" w:hAnsi="Arial"/>
        </w:rPr>
      </w:pPr>
      <w:r>
        <w:rPr>
          <w:rFonts w:ascii="Arial" w:cs="Arial" w:hAnsi="Arial"/>
        </w:rPr>
        <w:t>The risks associated with market development and diversification activities are high</w:t>
      </w:r>
      <w:r>
        <w:rPr>
          <w:rFonts w:ascii="Arial" w:cs="Arial" w:hAnsi="Arial"/>
        </w:rPr>
        <w:t>,</w:t>
      </w:r>
      <w:r>
        <w:rPr>
          <w:rFonts w:ascii="Arial" w:cs="Arial" w:hAnsi="Arial"/>
        </w:rPr>
        <w:t xml:space="preserve"> especially for Tesco</w:t>
      </w:r>
      <w:r>
        <w:rPr>
          <w:rFonts w:ascii="Arial" w:cs="Arial" w:hAnsi="Arial"/>
        </w:rPr>
        <w:t>,</w:t>
      </w:r>
      <w:r>
        <w:rPr>
          <w:rFonts w:ascii="Arial" w:cs="Arial" w:hAnsi="Arial"/>
        </w:rPr>
        <w:t xml:space="preserve"> considering the negative effects the company has experienced from both the exit from its US market in 2013 and</w:t>
      </w:r>
      <w:r>
        <w:rPr>
          <w:rFonts w:ascii="Arial" w:cs="Arial" w:hAnsi="Arial"/>
        </w:rPr>
        <w:t>,</w:t>
      </w:r>
      <w:r>
        <w:rPr>
          <w:rFonts w:ascii="Arial" w:cs="Arial" w:hAnsi="Arial"/>
        </w:rPr>
        <w:t xml:space="preserve"> more recently</w:t>
      </w:r>
      <w:r>
        <w:rPr>
          <w:rFonts w:ascii="Arial" w:cs="Arial" w:hAnsi="Arial"/>
        </w:rPr>
        <w:t>,</w:t>
      </w:r>
      <w:r>
        <w:rPr>
          <w:rFonts w:ascii="Arial" w:cs="Arial" w:hAnsi="Arial"/>
        </w:rPr>
        <w:t xml:space="preserve"> the Asian market in 2020, where the geographic diversification activities have cost the company shareholder value (Tesco PLC, 2025). On the contrary, the diversification into related services such as mobile services through the launch of Tesco mobile service, financial services through its partnership with Barclays Bank, and pharmacy has succeeded owing to the fact that they do not require any additional knowledge of the market but rather take advantage of customer relationships and the club card data of Tesco.</w:t>
      </w:r>
    </w:p>
    <w:p w14:paraId="23F53BFC">
      <w:pPr>
        <w:pStyle w:val="style0"/>
        <w:spacing w:after="160" w:lineRule="auto" w:line="360"/>
        <w:jc w:val="both"/>
        <w:rPr>
          <w:rFonts w:ascii="Arial" w:cs="Arial" w:hAnsi="Arial"/>
        </w:rPr>
      </w:pPr>
      <w:r>
        <w:rPr>
          <w:rFonts w:ascii="Arial" w:cs="Arial" w:hAnsi="Arial"/>
        </w:rPr>
        <w:t>Recommendation: concentrate on market penetration and related diversification initiatives.</w:t>
      </w:r>
    </w:p>
    <w:p w14:paraId="4EEEE22E">
      <w:pPr>
        <w:pStyle w:val="style0"/>
        <w:spacing w:after="160" w:lineRule="auto" w:line="360"/>
        <w:jc w:val="both"/>
        <w:rPr>
          <w:rFonts w:ascii="Arial" w:cs="Arial" w:hAnsi="Arial"/>
        </w:rPr>
      </w:pPr>
      <w:r>
        <w:rPr>
          <w:rFonts w:ascii="Arial" w:cs="Arial" w:hAnsi="Arial"/>
        </w:rPr>
        <w:tab/>
      </w:r>
      <w:r>
        <w:rPr>
          <w:rFonts w:ascii="Arial" w:cs="Arial" w:hAnsi="Arial"/>
        </w:rPr>
        <w:t>Implementation risks and mitigation: the need for sustained investment in cyber security and digital skills considering the sensitive nature of Clubcard’s data; strong governance is imperative to safeguarding customer trust as monetization grows. Increasing dependence on Clubcard-driven pricing also poses the risk of alienating shoppers who do not belong to Clubcard or facing increased CMA investigation into loyalty pricing; ensuring a credible base value outside of Clubcard (3,000 plus everyday low prices) will mitigate such risks (Tesco PLC, 2026).</w:t>
      </w:r>
    </w:p>
    <w:bookmarkStart w:id="21" w:name="_Toc237433646"/>
    <w:p w14:paraId="1850B908">
      <w:pPr>
        <w:pStyle w:val="style1"/>
        <w:rPr>
          <w:rFonts w:cs="Arial"/>
        </w:rPr>
      </w:pPr>
      <w:r>
        <w:rPr>
          <w:rFonts w:cs="Arial"/>
        </w:rPr>
        <w:t>Green Strategy and CSR</w:t>
      </w:r>
      <w:bookmarkEnd w:id="21"/>
    </w:p>
    <w:p w14:paraId="55A4D096">
      <w:pPr>
        <w:pStyle w:val="style0"/>
        <w:rPr>
          <w:rFonts w:ascii="Arial" w:cs="Arial" w:hAnsi="Arial"/>
        </w:rPr>
      </w:pPr>
      <w:r>
        <w:rPr>
          <w:rFonts w:ascii="Arial" w:cs="Arial" w:hAnsi="Arial"/>
        </w:rPr>
        <w:t>CSR Strategy and Alignment with Business Objectives</w:t>
      </w:r>
    </w:p>
    <w:p w14:paraId="35BB2A7A">
      <w:pPr>
        <w:pStyle w:val="style0"/>
        <w:spacing w:lineRule="auto" w:line="360"/>
        <w:jc w:val="both"/>
        <w:rPr>
          <w:rFonts w:ascii="Arial" w:cs="Arial" w:hAnsi="Arial"/>
          <w:lang w:val="en-IN"/>
        </w:rPr>
      </w:pPr>
      <w:r>
        <w:rPr>
          <w:rFonts w:ascii="Arial" w:cs="Arial" w:hAnsi="Arial"/>
        </w:rPr>
        <w:tab/>
      </w:r>
      <w:r>
        <w:rPr>
          <w:rFonts w:ascii="Arial" w:cs="Arial" w:hAnsi="Arial"/>
        </w:rPr>
        <w:t>The Little Helps Plan of Tesco reflects their corporate social responsibility approach in that it consists of four interconnected pillars</w:t>
      </w:r>
      <w:r>
        <w:rPr>
          <w:rFonts w:ascii="Arial" w:cs="Arial" w:hAnsi="Arial"/>
        </w:rPr>
        <w:t>:</w:t>
      </w:r>
      <w:r>
        <w:rPr>
          <w:rFonts w:ascii="Arial" w:cs="Arial" w:hAnsi="Arial"/>
        </w:rPr>
        <w:t xml:space="preserve"> people, products, planet, and community. Moreover, this CSR plan is connected with the company's mission of becoming "the champion of customers" who get affordable and sustainable food (Tesco PLC, 2025). From the critical point of view, in this case, CSR is not seen as some peripheral activity, but it becomes an integral part of the company's business strategy. In this way, it is in line with </w:t>
      </w:r>
      <w:r>
        <w:rPr>
          <w:rFonts w:ascii="Arial" w:cs="Arial" w:hAnsi="Arial"/>
          <w:lang w:val="en-IN"/>
        </w:rPr>
        <w:t>Schlosser and Volkova</w:t>
      </w:r>
      <w:r>
        <w:rPr>
          <w:rFonts w:ascii="Arial" w:cs="Arial" w:hAnsi="Arial"/>
          <w:lang w:val="en-IN"/>
        </w:rPr>
        <w:t xml:space="preserve"> (</w:t>
      </w:r>
      <w:r>
        <w:rPr>
          <w:rFonts w:ascii="Arial" w:cs="Arial" w:hAnsi="Arial"/>
          <w:lang w:val="en-IN"/>
        </w:rPr>
        <w:t>2022</w:t>
      </w:r>
      <w:r>
        <w:rPr>
          <w:rFonts w:ascii="Arial" w:cs="Arial" w:hAnsi="Arial"/>
        </w:rPr>
        <w:t>) idea about "shared value".</w:t>
      </w:r>
    </w:p>
    <w:p w14:paraId="68C2E4D1">
      <w:pPr>
        <w:pStyle w:val="style0"/>
        <w:spacing w:lineRule="auto" w:line="360"/>
        <w:jc w:val="both"/>
        <w:rPr>
          <w:rFonts w:ascii="Arial" w:cs="Arial" w:hAnsi="Arial"/>
        </w:rPr>
      </w:pPr>
      <w:r>
        <w:rPr>
          <w:rFonts w:ascii="Arial" w:cs="Arial" w:hAnsi="Arial"/>
        </w:rPr>
        <w:tab/>
      </w:r>
      <w:r>
        <w:rPr>
          <w:rFonts w:ascii="Arial" w:cs="Arial" w:hAnsi="Arial"/>
        </w:rPr>
        <w:t xml:space="preserve">The 2026 Sustainability Report gives concrete examples of progress in respect of this frame of reference. For example, Tesco reports reductions in Scope 1 and 2 emissions of 68% from their 2015/16 base, having surpassed their own 2025 target of </w:t>
      </w:r>
      <w:r>
        <w:rPr>
          <w:rFonts w:ascii="Arial" w:cs="Arial" w:hAnsi="Arial"/>
        </w:rPr>
        <w:t>60%; 99% of Own Brand packaging is now recyclable using kerbside and other collection schemes; 44,554 tonnes of food was redistributed for human and animal consumption in the UK; and over 123 million meals were donated to charitable organisations, communities, and colleagues Company-wide (Tesco PLC, 2026). The most significant evidence in terms of alignment with the strategic plan is that the proportion of healthy food sales out of UK and ROI food sales is at 65%, having risen from 58% in 2019.</w:t>
      </w:r>
    </w:p>
    <w:p w14:paraId="1323A3AA">
      <w:pPr>
        <w:pStyle w:val="style0"/>
        <w:spacing w:lineRule="auto" w:line="360"/>
        <w:jc w:val="both"/>
        <w:rPr>
          <w:rFonts w:ascii="Arial" w:cs="Arial" w:hAnsi="Arial"/>
        </w:rPr>
      </w:pPr>
      <w:r>
        <w:rPr>
          <w:rFonts w:ascii="Arial" w:cs="Arial" w:hAnsi="Arial"/>
        </w:rPr>
        <w:tab/>
      </w:r>
      <w:r>
        <w:rPr>
          <w:rFonts w:ascii="Arial" w:cs="Arial" w:hAnsi="Arial"/>
        </w:rPr>
        <w:t xml:space="preserve">However, independent examination of the 2026 report shows that several of Tesco's 2025 sustainability goals were not only not achieved but even quietly removed rather than fulfilled </w:t>
      </w:r>
      <w:r>
        <w:rPr>
          <w:rFonts w:ascii="Arial" w:cs="Arial" w:hAnsi="Arial"/>
        </w:rPr>
        <w:t>-</w:t>
      </w:r>
      <w:r>
        <w:rPr>
          <w:rFonts w:ascii="Arial" w:cs="Arial" w:hAnsi="Arial"/>
        </w:rPr>
        <w:t xml:space="preserve"> particularly the goal of reaching a 300% increase in sales of plant-based meat alternatives that could not be reached due to the decline on the market side (CSR Reporters, 2026). More importantly, the percentage weight given to ESG criteria in the Performance Share Plan of the executives at Tesco was cut from 25% in 2024 and 2025 to 15% in 2026, coincidentally the year in which several sustainability goals were not achieved (CSR Reporters, 2026). Analyzed through the lens of stakeholder theory (Freeman, 1984), the above observation has analytical relevance: whenever sustainability goals' achievement and short-term financial performance clash, Tesco's corporate governance structure has been inclined towards mitigating, rather than reinforcing, the executives' responsibility for the former. Such </w:t>
      </w:r>
      <w:r>
        <w:rPr>
          <w:rFonts w:ascii="Arial" w:cs="Arial" w:hAnsi="Arial"/>
        </w:rPr>
        <w:t xml:space="preserve">an </w:t>
      </w:r>
      <w:r>
        <w:rPr>
          <w:rFonts w:ascii="Arial" w:cs="Arial" w:hAnsi="Arial"/>
        </w:rPr>
        <w:t xml:space="preserve">approach reflects the instrumentality of </w:t>
      </w:r>
      <w:r>
        <w:rPr>
          <w:rFonts w:ascii="Arial" w:cs="Arial" w:hAnsi="Arial"/>
        </w:rPr>
        <w:t xml:space="preserve">the </w:t>
      </w:r>
      <w:r>
        <w:rPr>
          <w:rFonts w:ascii="Arial" w:cs="Arial" w:hAnsi="Arial"/>
        </w:rPr>
        <w:t>CSR model as opposed to its normativity (Garriga &amp; Melé, 2004).</w:t>
      </w:r>
    </w:p>
    <w:p w14:paraId="6A82FDEF">
      <w:pPr>
        <w:pStyle w:val="style0"/>
        <w:spacing w:lineRule="auto" w:line="360"/>
        <w:jc w:val="both"/>
        <w:rPr>
          <w:rFonts w:ascii="Arial" w:cs="Arial" w:hAnsi="Arial"/>
          <w:b/>
          <w:bCs/>
        </w:rPr>
      </w:pPr>
      <w:r>
        <w:rPr>
          <w:rFonts w:ascii="Arial" w:cs="Arial" w:hAnsi="Arial"/>
          <w:b/>
          <w:bCs/>
        </w:rPr>
        <w:t>Balanced Scorecard (Kaplan and Norton, 1992)</w:t>
      </w:r>
    </w:p>
    <w:p w14:paraId="4154E1D8">
      <w:pPr>
        <w:pStyle w:val="style0"/>
        <w:spacing w:lineRule="auto" w:line="360"/>
        <w:jc w:val="both"/>
        <w:rPr>
          <w:rFonts w:ascii="Arial" w:cs="Arial" w:hAnsi="Arial"/>
        </w:rPr>
      </w:pPr>
      <w:r>
        <w:rPr>
          <w:rFonts w:ascii="Arial" w:cs="Arial" w:hAnsi="Arial"/>
        </w:rPr>
        <w:tab/>
      </w:r>
      <w:r>
        <w:rPr>
          <w:rFonts w:ascii="Arial" w:cs="Arial" w:hAnsi="Arial"/>
        </w:rPr>
        <w:t xml:space="preserve">The Balanced Scorecard from Kaplan &amp; Norton (1992) acts as an antidote to a purely financially-based performance management model through its necessity for organisations to convert their strategic plans into objective measurements within four integrated perspectives </w:t>
      </w:r>
      <w:r>
        <w:rPr>
          <w:rFonts w:ascii="Arial" w:cs="Arial" w:hAnsi="Arial"/>
        </w:rPr>
        <w:t>-</w:t>
      </w:r>
      <w:r>
        <w:rPr>
          <w:rFonts w:ascii="Arial" w:cs="Arial" w:hAnsi="Arial"/>
        </w:rPr>
        <w:t xml:space="preserve"> Financial, Customer, Internal Business Processes, and Learning &amp; Growth. When critically applied to Tesco as opposed to simply being a template tool, the model illustrates just how much Tesco's Key Performance Indicators can be aligned to the firm's mission of affordable, healthy, convenient shopping.</w:t>
      </w:r>
    </w:p>
    <w:p w14:paraId="4AF5C6CF">
      <w:pPr>
        <w:pStyle w:val="style0"/>
        <w:spacing w:lineRule="auto" w:line="360"/>
        <w:jc w:val="both"/>
        <w:rPr>
          <w:rFonts w:ascii="Arial" w:cs="Arial" w:hAnsi="Arial"/>
        </w:rPr>
      </w:pPr>
      <w:r>
        <w:rPr>
          <w:rFonts w:ascii="Arial" w:cs="Arial" w:hAnsi="Arial"/>
        </w:rPr>
        <w:t xml:space="preserve">Financial perspective. Objectives: Maintain profitable and cash-generating growth without undermining the value offering upon which customer trust rests. KPIs: Group adjusted operating profit and free cash flow. Targets: £2.9bn-£3.1bn adjusted </w:t>
      </w:r>
      <w:r>
        <w:rPr>
          <w:rFonts w:ascii="Arial" w:cs="Arial" w:hAnsi="Arial"/>
        </w:rPr>
        <w:t xml:space="preserve">operating profit and £1.5bn-£2bn free cash flow per year, according to FY2025/26 forecasts (Tesco PLC, 2026). Initiative: the Save to Invest program, whereby efficiencies are transformed into reinvestment capabilities through a process of systematic harvesting. It operates as the funding process for initiatives </w:t>
      </w:r>
      <w:r>
        <w:rPr>
          <w:rFonts w:ascii="Arial" w:cs="Arial" w:hAnsi="Arial"/>
        </w:rPr>
        <w:t>from</w:t>
      </w:r>
      <w:r>
        <w:rPr>
          <w:rFonts w:ascii="Arial" w:cs="Arial" w:hAnsi="Arial"/>
        </w:rPr>
        <w:t xml:space="preserve"> the customer perspective listed below.</w:t>
      </w:r>
    </w:p>
    <w:p w14:paraId="36D76498">
      <w:pPr>
        <w:pStyle w:val="style0"/>
        <w:spacing w:lineRule="auto" w:line="360"/>
        <w:jc w:val="both"/>
        <w:rPr>
          <w:rFonts w:ascii="Arial" w:cs="Arial" w:hAnsi="Arial"/>
        </w:rPr>
      </w:pPr>
      <w:r>
        <w:rPr>
          <w:rFonts w:ascii="Arial" w:cs="Arial" w:hAnsi="Arial"/>
        </w:rPr>
        <w:t>Customer point of view. Objective: To be able to satisfy the "easily the most convenient" strategy pillar while being a price leader. KPIs: Net Promoter Score, Clubcard penetration and usage, and UK grocery market share</w:t>
      </w:r>
      <w:r>
        <w:rPr>
          <w:rFonts w:ascii="Arial" w:cs="Arial" w:hAnsi="Arial"/>
        </w:rPr>
        <w:t xml:space="preserve"> </w:t>
      </w:r>
      <w:r>
        <w:rPr>
          <w:rFonts w:ascii="Arial" w:cs="Arial" w:hAnsi="Arial"/>
        </w:rPr>
        <w:t>(Kantar, 2026). Initiative: Launch of the Clubcard Prices (over 10,000 lines) and Aldi Price Match (over 600 lines), operationalizing the "affordable" part of the mission in a concrete way.</w:t>
      </w:r>
    </w:p>
    <w:p w14:paraId="209FB7D4">
      <w:pPr>
        <w:pStyle w:val="style0"/>
        <w:spacing w:lineRule="auto" w:line="360"/>
        <w:jc w:val="both"/>
        <w:rPr>
          <w:rFonts w:ascii="Arial" w:cs="Arial" w:hAnsi="Arial"/>
        </w:rPr>
      </w:pPr>
      <w:r>
        <w:rPr>
          <w:rFonts w:ascii="Arial" w:cs="Arial" w:hAnsi="Arial"/>
        </w:rPr>
        <w:t xml:space="preserve">Perspective of internal business processes. Goal: increase efficiency and reliability of the fulfilment and supply chain in order to meet both cost and service objectives. KPIs: growth in online/rapid delivery, product availability, and reduction in food waste. Goal: growth in Whoosh (51% in FY2025/26), as well as progress towards the food waste reduction target of 50% by 2030 (Tesco PLC, 2026). Initiatives: additional automation in the distribution centres and digital inventory management that will result in </w:t>
      </w:r>
      <w:r>
        <w:rPr>
          <w:rFonts w:ascii="Arial" w:cs="Arial" w:hAnsi="Arial"/>
        </w:rPr>
        <w:t xml:space="preserve">a </w:t>
      </w:r>
      <w:r>
        <w:rPr>
          <w:rFonts w:ascii="Arial" w:cs="Arial" w:hAnsi="Arial"/>
        </w:rPr>
        <w:t>reduction in shrinkage and lower emissions intensity of the planet pillar of the Little Helps Plan.</w:t>
      </w:r>
    </w:p>
    <w:p w14:paraId="770EF353">
      <w:pPr>
        <w:pStyle w:val="style0"/>
        <w:spacing w:lineRule="auto" w:line="360"/>
        <w:jc w:val="both"/>
        <w:rPr>
          <w:rFonts w:ascii="Arial" w:cs="Arial" w:hAnsi="Arial"/>
        </w:rPr>
      </w:pPr>
      <w:r>
        <w:rPr>
          <w:rFonts w:ascii="Arial" w:cs="Arial" w:hAnsi="Arial"/>
        </w:rPr>
        <w:t>Perspective: Learning &amp; Growth. Objective: Ensure that there is enough capability within the workforce to implement a strategy that is data- and service-driven in a UK labour market that has traditionally been tight. Key Performance Indicator: Pay competitiveness of colleagues compared to sector benchmarks and advocacy scores. Target: Ensuring above-inflation increases in pay, shown through the 5.1% increase in hourly pay for UK colleagues coming into effect in March 2026 (Tesco PLC, 2026). Initiative: Investment in digital skills and data analytics skills to enhance the retail media business.</w:t>
      </w:r>
    </w:p>
    <w:p w14:paraId="69F0F713">
      <w:pPr>
        <w:pStyle w:val="style0"/>
        <w:spacing w:lineRule="auto" w:line="360"/>
        <w:jc w:val="both"/>
        <w:rPr>
          <w:rFonts w:ascii="Arial" w:cs="Arial" w:hAnsi="Arial"/>
        </w:rPr>
      </w:pPr>
      <w:r>
        <w:rPr>
          <w:rFonts w:ascii="Arial" w:cs="Arial" w:hAnsi="Arial"/>
        </w:rPr>
        <w:t xml:space="preserve">Critical synthesis. What is analytically important about the scorecard is not each of the four perspectives per se, but rather their evident interrelationship in the context of Tesco: financial resources acquired from Save to Invest funds price investment, which brings about market share increases that are evident in the customer perspective; and these in turn are achieved via process investment in fulfillment and automation; while </w:t>
      </w:r>
      <w:r>
        <w:rPr>
          <w:rFonts w:ascii="Arial" w:cs="Arial" w:hAnsi="Arial"/>
        </w:rPr>
        <w:t xml:space="preserve">all three are ultimately dependent on the work force capability built up in the learning and growth perspective. </w:t>
      </w:r>
    </w:p>
    <w:bookmarkStart w:id="22" w:name="_Toc237433647"/>
    <w:p w14:paraId="1EE7A1AB">
      <w:pPr>
        <w:pStyle w:val="style1"/>
        <w:rPr>
          <w:rFonts w:cs="Arial"/>
        </w:rPr>
      </w:pPr>
      <w:r>
        <w:rPr>
          <w:rFonts w:cs="Arial"/>
        </w:rPr>
        <w:t>Conclusion</w:t>
      </w:r>
      <w:bookmarkEnd w:id="22"/>
    </w:p>
    <w:p w14:paraId="13CAAB1D">
      <w:pPr>
        <w:pStyle w:val="style0"/>
        <w:spacing w:lineRule="auto" w:line="360"/>
        <w:jc w:val="both"/>
        <w:rPr>
          <w:rFonts w:ascii="Arial" w:cs="Arial" w:hAnsi="Arial"/>
        </w:rPr>
      </w:pPr>
      <w:r>
        <w:rPr>
          <w:rFonts w:ascii="Arial" w:cs="Arial" w:hAnsi="Arial"/>
        </w:rPr>
        <w:tab/>
      </w:r>
      <w:r>
        <w:rPr>
          <w:rFonts w:ascii="Arial" w:cs="Arial" w:hAnsi="Arial"/>
        </w:rPr>
        <w:t>In summary, this report has made a critical, evidence-based evaluation of Tesco PLC’s strategic positioning in the UK grocery retail industry. The macro-environmental analysis (PESTLE) indicated an industry characterized by increasing cost pressure, regulatory issues, and a conclusive move by consumers towards health and convenience, while the micro-environmental analysis (Industry Life Cycle and Five Forces) highlighted that Tesco operates in a mature and highly competitive environment with strong bargaining power from buyers (</w:t>
      </w:r>
      <w:r>
        <w:rPr>
          <w:rFonts w:ascii="Arial" w:cs="Arial" w:hAnsi="Arial"/>
        </w:rPr>
        <w:t>Ateljević</w:t>
      </w:r>
      <w:r>
        <w:rPr>
          <w:rFonts w:ascii="Arial" w:cs="Arial" w:hAnsi="Arial"/>
        </w:rPr>
        <w:t>, 2023</w:t>
      </w:r>
      <w:r>
        <w:rPr>
          <w:rFonts w:ascii="Arial" w:cs="Arial" w:hAnsi="Arial"/>
        </w:rPr>
        <w:t>; Kantar, 2026).</w:t>
      </w:r>
    </w:p>
    <w:p w14:paraId="2213361B">
      <w:pPr>
        <w:pStyle w:val="style0"/>
        <w:spacing w:lineRule="auto" w:line="360"/>
        <w:jc w:val="both"/>
        <w:rPr>
          <w:rFonts w:ascii="Arial" w:cs="Arial" w:hAnsi="Arial"/>
        </w:rPr>
      </w:pPr>
      <w:r>
        <w:rPr>
          <w:rFonts w:ascii="Arial" w:cs="Arial" w:hAnsi="Arial"/>
        </w:rPr>
        <w:t>The internal analysis performed using the value chain and VRIO tools illustrated that the genuine competitive advantages possessed by Tesco are limited to its Clubcard ecosystem, its capacity to generate its own brand portfolio</w:t>
      </w:r>
      <w:r>
        <w:rPr>
          <w:rFonts w:ascii="Arial" w:cs="Arial" w:hAnsi="Arial"/>
        </w:rPr>
        <w:t>,</w:t>
      </w:r>
      <w:r>
        <w:rPr>
          <w:rFonts w:ascii="Arial" w:cs="Arial" w:hAnsi="Arial"/>
        </w:rPr>
        <w:t xml:space="preserve"> and its brand reputation (Barney, 1991)</w:t>
      </w:r>
      <w:r>
        <w:rPr>
          <w:rFonts w:ascii="Arial" w:cs="Arial" w:hAnsi="Arial"/>
        </w:rPr>
        <w:t>,</w:t>
      </w:r>
      <w:r>
        <w:rPr>
          <w:rFonts w:ascii="Arial" w:cs="Arial" w:hAnsi="Arial"/>
        </w:rPr>
        <w:t xml:space="preserve"> while its economies of scale and its e-fulfillment capabilities have the potential for temporary advantage given the imitations from discounters and platforms. The SWOT analysis shows that there exists an internal conflict: Tesco’s key strengths and opportunities revolve around differentiation based on data, while its weaknesses and threats relate to increased costs and credibility issues associated with sustainability goals (CSR Reporters, 2026).</w:t>
      </w:r>
    </w:p>
    <w:bookmarkStart w:id="23" w:name="_Toc237433648"/>
    <w:p w14:paraId="289F927E">
      <w:pPr>
        <w:pStyle w:val="style1"/>
        <w:rPr>
          <w:rFonts w:cs="Arial"/>
        </w:rPr>
      </w:pPr>
      <w:r>
        <w:rPr>
          <w:rFonts w:cs="Arial"/>
        </w:rPr>
        <w:t>Recommendation</w:t>
      </w:r>
      <w:bookmarkEnd w:id="23"/>
      <w:r>
        <w:rPr>
          <w:rFonts w:cs="Arial"/>
        </w:rPr>
        <w:t xml:space="preserve"> </w:t>
      </w:r>
    </w:p>
    <w:p w14:paraId="09157AC7">
      <w:pPr>
        <w:pStyle w:val="style0"/>
        <w:spacing w:lineRule="auto" w:line="360"/>
        <w:jc w:val="both"/>
        <w:rPr>
          <w:rFonts w:ascii="Arial" w:cs="Arial" w:hAnsi="Arial"/>
        </w:rPr>
      </w:pPr>
      <w:r>
        <w:rPr>
          <w:rFonts w:ascii="Arial" w:cs="Arial" w:hAnsi="Arial"/>
        </w:rPr>
        <w:tab/>
      </w:r>
      <w:r>
        <w:rPr>
          <w:rFonts w:ascii="Arial" w:cs="Arial" w:hAnsi="Arial"/>
        </w:rPr>
        <w:t xml:space="preserve">Based on the findings highlighted above, four evidence-based recommendations are put forward. First, Tesco should continue leveraging the Clubcard-based personalization and retail media strategy as its key mechanism of sustainable differentiation, considering the </w:t>
      </w:r>
      <w:r>
        <w:rPr>
          <w:rFonts w:ascii="Arial" w:cs="Arial" w:hAnsi="Arial"/>
        </w:rPr>
        <w:t>VRIO-validated</w:t>
      </w:r>
      <w:r>
        <w:rPr>
          <w:rFonts w:ascii="Arial" w:cs="Arial" w:hAnsi="Arial"/>
        </w:rPr>
        <w:t xml:space="preserve"> nature of such an asset as the rarest and hardest to imitate within the company. Second, Tesco should reconnect the </w:t>
      </w:r>
      <w:r>
        <w:rPr>
          <w:rFonts w:ascii="Arial" w:cs="Arial" w:hAnsi="Arial"/>
        </w:rPr>
        <w:t>link</w:t>
      </w:r>
      <w:r>
        <w:rPr>
          <w:rFonts w:ascii="Arial" w:cs="Arial" w:hAnsi="Arial"/>
        </w:rPr>
        <w:t xml:space="preserve"> between executive compensation and ESG achievement through the return of the 25% to 15% cut in the Performance Share Plan ESG weight to restore the credibility lost due to failing to meet 2025 sustainability goals and preserve the brand trust strategic asset revealed in the analysis (CSR Reporters, 2026). Third, growth initiatives should focus on penetration into current markets and corresponding product/service innovation rather than geographies, learning from the value-</w:t>
      </w:r>
      <w:r>
        <w:rPr>
          <w:rFonts w:ascii="Arial" w:cs="Arial" w:hAnsi="Arial"/>
        </w:rPr>
        <w:t xml:space="preserve">destroying mistakes of Tesco's exit from the US in 2013 and from Asia in 2020 (Tesco PLC, 2025). Finally, Tesco should maintain a credible non-Clubcard value base </w:t>
      </w:r>
      <w:r>
        <w:rPr>
          <w:rFonts w:ascii="Arial" w:cs="Arial" w:hAnsi="Arial"/>
        </w:rPr>
        <w:t>-</w:t>
      </w:r>
      <w:r>
        <w:rPr>
          <w:rFonts w:ascii="Arial" w:cs="Arial" w:hAnsi="Arial"/>
        </w:rPr>
        <w:t xml:space="preserve"> for example, the existing line of everyday low prices </w:t>
      </w:r>
      <w:r>
        <w:rPr>
          <w:rFonts w:ascii="Arial" w:cs="Arial" w:hAnsi="Arial"/>
        </w:rPr>
        <w:t>-</w:t>
      </w:r>
      <w:r>
        <w:rPr>
          <w:rFonts w:ascii="Arial" w:cs="Arial" w:hAnsi="Arial"/>
        </w:rPr>
        <w:t xml:space="preserve"> to hedge itself against CMA scrutiny of loyalty pricing.</w:t>
      </w:r>
    </w:p>
    <w:bookmarkStart w:id="24" w:name="_Toc237433649"/>
    <w:p w14:paraId="793B050C">
      <w:pPr>
        <w:pStyle w:val="style1"/>
        <w:rPr/>
      </w:pPr>
      <w:r>
        <w:t>Section 2: Reflection</w:t>
      </w:r>
      <w:bookmarkEnd w:id="24"/>
    </w:p>
    <w:p w14:paraId="38559324">
      <w:pPr>
        <w:pStyle w:val="style0"/>
        <w:keepNext/>
        <w:spacing w:lineRule="auto" w:line="360"/>
        <w:jc w:val="center"/>
        <w:rPr/>
      </w:pPr>
      <w:r>
        <w:rPr/>
        <w:drawing>
          <wp:inline distL="0" distT="0" distB="0" distR="0">
            <wp:extent cx="5731510" cy="3930015"/>
            <wp:effectExtent l="0" t="0" r="2540" b="0"/>
            <wp:docPr id="1032" name="Picture 1" descr="Reflective learning – The GP trainee's survival guid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8" cstate="print"/>
                    <a:srcRect l="0" t="0" r="0" b="0"/>
                    <a:stretch/>
                  </pic:blipFill>
                  <pic:spPr>
                    <a:xfrm rot="0">
                      <a:off x="0" y="0"/>
                      <a:ext cx="5731510" cy="3930015"/>
                    </a:xfrm>
                    <a:prstGeom prst="rect"/>
                    <a:ln>
                      <a:noFill/>
                    </a:ln>
                  </pic:spPr>
                </pic:pic>
              </a:graphicData>
            </a:graphic>
          </wp:inline>
        </w:drawing>
      </w:r>
    </w:p>
    <w:p w14:paraId="2E96F284">
      <w:pPr>
        <w:pStyle w:val="style34"/>
        <w:jc w:val="center"/>
        <w:rPr>
          <w:rFonts w:ascii="Arial" w:cs="Arial" w:hAnsi="Arial"/>
          <w:b/>
          <w:bCs/>
        </w:rPr>
      </w:pPr>
      <w:r>
        <w:t xml:space="preserve">Figure </w:t>
      </w:r>
      <w:r>
        <w:rPr/>
        <w:fldChar w:fldCharType="begin"/>
      </w:r>
      <w:r>
        <w:instrText xml:space="preserve"> SEQ Figure \* ARABIC </w:instrText>
      </w:r>
      <w:r>
        <w:rPr/>
        <w:fldChar w:fldCharType="separate"/>
      </w:r>
      <w:r>
        <w:t>5</w:t>
      </w:r>
      <w:r>
        <w:rPr/>
        <w:fldChar w:fldCharType="end"/>
      </w:r>
      <w:r>
        <w:t>: Gibbs Reflective Cycle</w:t>
      </w:r>
    </w:p>
    <w:p w14:paraId="36B73988">
      <w:pPr>
        <w:pStyle w:val="style0"/>
        <w:spacing w:lineRule="auto" w:line="360"/>
        <w:jc w:val="both"/>
        <w:rPr>
          <w:rFonts w:ascii="Arial" w:cs="Arial" w:hAnsi="Arial"/>
          <w:b/>
          <w:bCs/>
        </w:rPr>
      </w:pPr>
      <w:r>
        <w:rPr>
          <w:rFonts w:ascii="Arial" w:cs="Arial" w:hAnsi="Arial"/>
          <w:b/>
          <w:bCs/>
        </w:rPr>
        <w:t>Description</w:t>
      </w:r>
    </w:p>
    <w:p w14:paraId="0CD7933C">
      <w:pPr>
        <w:pStyle w:val="style0"/>
        <w:spacing w:lineRule="auto" w:line="360"/>
        <w:ind w:firstLine="720"/>
        <w:jc w:val="both"/>
        <w:rPr>
          <w:rFonts w:ascii="Arial" w:cs="Arial" w:hAnsi="Arial"/>
        </w:rPr>
      </w:pPr>
      <w:r>
        <w:rPr>
          <w:rFonts w:ascii="Arial" w:cs="Arial" w:hAnsi="Arial"/>
        </w:rPr>
        <w:t xml:space="preserve">The preparation of Section 1 gave an opportunity to critically evaluate the strategic position of Tesco PLC in the UK grocery retail industry and build up a better comprehension of the strategic management process. It was carried out by means of a critical review of the secondary sources of evidence and use of strategic models, such as PESTLE Analysis, Industry Life Cycle, Porter’s Five Forces Model, Value Chain, VRIO Framework, SWOT Analysis and the Balanced Scorecard. These models were not employed as a separate means of analysis but rather in combination in order to reveal the interrelationship between Tesco’s external environment, internal strengths and strategic decisions. In addition, Tesco’s competitive position, growth </w:t>
      </w:r>
      <w:r>
        <w:rPr>
          <w:rFonts w:ascii="Arial" w:cs="Arial" w:hAnsi="Arial"/>
        </w:rPr>
        <w:t>strategy and corporate social responsibility initiatives were also evaluated. Such an approach turned out to be particularly effective considering the highly competitive environment in which Tesco operates (Porter, 1985; Barney, 1991)</w:t>
      </w:r>
    </w:p>
    <w:p w14:paraId="4ECC6046">
      <w:pPr>
        <w:pStyle w:val="style0"/>
        <w:spacing w:lineRule="auto" w:line="360"/>
        <w:jc w:val="both"/>
        <w:rPr>
          <w:rFonts w:ascii="Arial" w:cs="Arial" w:hAnsi="Arial"/>
          <w:b/>
          <w:bCs/>
        </w:rPr>
      </w:pPr>
      <w:r>
        <w:rPr>
          <w:rFonts w:ascii="Arial" w:cs="Arial" w:hAnsi="Arial"/>
          <w:b/>
          <w:bCs/>
        </w:rPr>
        <w:t>Feelings</w:t>
      </w:r>
    </w:p>
    <w:p w14:paraId="3C440621">
      <w:pPr>
        <w:pStyle w:val="style0"/>
        <w:spacing w:lineRule="auto" w:line="360"/>
        <w:ind w:firstLine="720"/>
        <w:jc w:val="both"/>
        <w:rPr>
          <w:rFonts w:ascii="Arial" w:cs="Arial" w:hAnsi="Arial"/>
        </w:rPr>
      </w:pPr>
      <w:r>
        <w:rPr>
          <w:rFonts w:ascii="Arial" w:cs="Arial" w:hAnsi="Arial"/>
        </w:rPr>
        <w:t>Towards the beginning of the research process, I felt relatively certain about being able to find information related to Tesco since the organization has a lot of information available to the public regarding its corporate and financial activities. But it was difficult at first to know how to distinguish the strategic significance of the information from descriptive facts. Application of some of the models has also caused some confusion since the same problem could be analyzed in different ways strategically. For instance, the Tesco Clubcard environment might be seen as a tool for customer retention, as a means of differentiation and also as an asset. Use of VRIO has made it easier for me to assess the asset in a strategic way than just considering it to be an organizational strength.</w:t>
      </w:r>
    </w:p>
    <w:p w14:paraId="29C40D9B">
      <w:pPr>
        <w:pStyle w:val="style0"/>
        <w:spacing w:lineRule="auto" w:line="360"/>
        <w:jc w:val="both"/>
        <w:rPr>
          <w:rFonts w:ascii="Arial" w:cs="Arial" w:hAnsi="Arial"/>
          <w:b/>
          <w:bCs/>
        </w:rPr>
      </w:pPr>
      <w:r>
        <w:rPr>
          <w:rFonts w:ascii="Arial" w:cs="Arial" w:hAnsi="Arial"/>
          <w:b/>
          <w:bCs/>
        </w:rPr>
        <w:t>Evaluation</w:t>
      </w:r>
    </w:p>
    <w:p w14:paraId="614AAAFB">
      <w:pPr>
        <w:pStyle w:val="style0"/>
        <w:spacing w:lineRule="auto" w:line="360"/>
        <w:ind w:firstLine="720"/>
        <w:jc w:val="both"/>
        <w:rPr>
          <w:rFonts w:ascii="Arial" w:cs="Arial" w:hAnsi="Arial"/>
        </w:rPr>
      </w:pPr>
      <w:r>
        <w:rPr>
          <w:rFonts w:ascii="Arial" w:cs="Arial" w:hAnsi="Arial"/>
        </w:rPr>
        <w:t xml:space="preserve">Amongst the most beneficial things about the process is understanding how various analytical frameworks can supplement each other. Thus, PESTLE helped determine the external factors influencing Tesco, while Porter’s Five Forces gave an industry-focused assessment of the level of competition (Porter, 1985). In addition, Value Chain and VRIO analyses helped pay more attention to the internal strengths and capabilities of Tesco and how they could contribute to its competitive advantage. Finally, </w:t>
      </w:r>
      <w:r>
        <w:rPr>
          <w:rFonts w:ascii="Arial" w:cs="Arial" w:hAnsi="Arial"/>
        </w:rPr>
        <w:t xml:space="preserve">the </w:t>
      </w:r>
      <w:r>
        <w:rPr>
          <w:rFonts w:ascii="Arial" w:cs="Arial" w:hAnsi="Arial"/>
        </w:rPr>
        <w:t>Balanced Scorecard was useful in understanding that financial performance cannot be viewed separately from customer, internal process</w:t>
      </w:r>
      <w:r>
        <w:rPr>
          <w:rFonts w:ascii="Arial" w:cs="Arial" w:hAnsi="Arial"/>
        </w:rPr>
        <w:t>,</w:t>
      </w:r>
      <w:r>
        <w:rPr>
          <w:rFonts w:ascii="Arial" w:cs="Arial" w:hAnsi="Arial"/>
        </w:rPr>
        <w:t xml:space="preserve"> and learning-and-growth perspectives (Kaplan and Norton, 1992).</w:t>
      </w:r>
    </w:p>
    <w:p w14:paraId="43117416">
      <w:pPr>
        <w:pStyle w:val="style0"/>
        <w:spacing w:lineRule="auto" w:line="360"/>
        <w:jc w:val="both"/>
        <w:rPr>
          <w:rFonts w:ascii="Arial" w:cs="Arial" w:hAnsi="Arial"/>
        </w:rPr>
      </w:pPr>
      <w:r>
        <w:rPr>
          <w:rFonts w:ascii="Arial" w:cs="Arial" w:hAnsi="Arial"/>
        </w:rPr>
        <w:t xml:space="preserve">However, there were limitations </w:t>
      </w:r>
      <w:r>
        <w:rPr>
          <w:rFonts w:ascii="Arial" w:cs="Arial" w:hAnsi="Arial"/>
        </w:rPr>
        <w:t>to</w:t>
      </w:r>
      <w:r>
        <w:rPr>
          <w:rFonts w:ascii="Arial" w:cs="Arial" w:hAnsi="Arial"/>
        </w:rPr>
        <w:t xml:space="preserve"> my approach. First, sometimes I used only one framework without understanding how the results could relate to each other. Furthermore, it is possible that secondary sources could present a different picture of Tesco’s performance and sustainability. Therefore, more attention had to be paid to differentiating between company reports and independent information about the company. This is especially relevant for discussing the goals of Tesco in terms of </w:t>
      </w:r>
      <w:r>
        <w:rPr>
          <w:rFonts w:ascii="Arial" w:cs="Arial" w:hAnsi="Arial"/>
        </w:rPr>
        <w:t xml:space="preserve">sustainability and </w:t>
      </w:r>
      <w:r>
        <w:rPr>
          <w:rFonts w:ascii="Arial" w:cs="Arial" w:hAnsi="Arial"/>
        </w:rPr>
        <w:t xml:space="preserve">the </w:t>
      </w:r>
      <w:r>
        <w:rPr>
          <w:rFonts w:ascii="Arial" w:cs="Arial" w:hAnsi="Arial"/>
        </w:rPr>
        <w:t>decrease in the weighting of ESG factors in executive compensation (CSR Reporters, 2026).</w:t>
      </w:r>
    </w:p>
    <w:p w14:paraId="09D3EBB6">
      <w:pPr>
        <w:pStyle w:val="style0"/>
        <w:spacing w:lineRule="auto" w:line="360"/>
        <w:jc w:val="both"/>
        <w:rPr>
          <w:rFonts w:ascii="Arial" w:cs="Arial" w:hAnsi="Arial"/>
          <w:b/>
          <w:bCs/>
        </w:rPr>
      </w:pPr>
      <w:r>
        <w:rPr>
          <w:rFonts w:ascii="Arial" w:cs="Arial" w:hAnsi="Arial"/>
          <w:b/>
          <w:bCs/>
        </w:rPr>
        <w:t>Analysis</w:t>
      </w:r>
    </w:p>
    <w:p w14:paraId="220659CB">
      <w:pPr>
        <w:pStyle w:val="style0"/>
        <w:spacing w:lineRule="auto" w:line="360"/>
        <w:jc w:val="both"/>
        <w:rPr>
          <w:rFonts w:ascii="Arial" w:cs="Arial" w:hAnsi="Arial"/>
        </w:rPr>
      </w:pPr>
    </w:p>
    <w:p w14:paraId="3206F278">
      <w:pPr>
        <w:pStyle w:val="style0"/>
        <w:spacing w:lineRule="auto" w:line="360"/>
        <w:ind w:firstLine="720"/>
        <w:jc w:val="both"/>
        <w:rPr>
          <w:rFonts w:ascii="Arial" w:cs="Arial" w:hAnsi="Arial"/>
        </w:rPr>
      </w:pPr>
      <w:r>
        <w:rPr>
          <w:rFonts w:ascii="Arial" w:cs="Arial" w:hAnsi="Arial"/>
        </w:rPr>
        <w:t xml:space="preserve">First, it is necessary to mention the role of the research process in helping me understand strategic management as an integrated activity. Indeed, initially I saw SWOT and PESTLE as ways of </w:t>
      </w:r>
      <w:r>
        <w:rPr>
          <w:rFonts w:ascii="Arial" w:cs="Arial" w:hAnsi="Arial"/>
        </w:rPr>
        <w:t>organising</w:t>
      </w:r>
      <w:r>
        <w:rPr>
          <w:rFonts w:ascii="Arial" w:cs="Arial" w:hAnsi="Arial"/>
        </w:rPr>
        <w:t xml:space="preserve"> information. But the application of these frameworks to Tesco showed me their true value</w:t>
      </w:r>
      <w:r>
        <w:rPr>
          <w:rFonts w:ascii="Arial" w:cs="Arial" w:hAnsi="Arial"/>
        </w:rPr>
        <w:t>,</w:t>
      </w:r>
      <w:r>
        <w:rPr>
          <w:rFonts w:ascii="Arial" w:cs="Arial" w:hAnsi="Arial"/>
        </w:rPr>
        <w:t xml:space="preserve"> which consisted </w:t>
      </w:r>
      <w:r>
        <w:rPr>
          <w:rFonts w:ascii="Arial" w:cs="Arial" w:hAnsi="Arial"/>
        </w:rPr>
        <w:t>of the</w:t>
      </w:r>
      <w:r>
        <w:rPr>
          <w:rFonts w:ascii="Arial" w:cs="Arial" w:hAnsi="Arial"/>
        </w:rPr>
        <w:t xml:space="preserve"> interpretation of relations between the factors that are involved </w:t>
      </w:r>
      <w:r>
        <w:rPr>
          <w:rFonts w:ascii="Arial" w:cs="Arial" w:hAnsi="Arial"/>
        </w:rPr>
        <w:t>in the</w:t>
      </w:r>
      <w:r>
        <w:rPr>
          <w:rFonts w:ascii="Arial" w:cs="Arial" w:hAnsi="Arial"/>
        </w:rPr>
        <w:t xml:space="preserve"> strategy of the company. So, the external analysis showed </w:t>
      </w:r>
      <w:r>
        <w:rPr>
          <w:rFonts w:ascii="Arial" w:cs="Arial" w:hAnsi="Arial"/>
        </w:rPr>
        <w:t xml:space="preserve">a </w:t>
      </w:r>
      <w:r>
        <w:rPr>
          <w:rFonts w:ascii="Arial" w:cs="Arial" w:hAnsi="Arial"/>
        </w:rPr>
        <w:t>high degree of competition, cost pressure</w:t>
      </w:r>
      <w:r>
        <w:rPr>
          <w:rFonts w:ascii="Arial" w:cs="Arial" w:hAnsi="Arial"/>
        </w:rPr>
        <w:t>,</w:t>
      </w:r>
      <w:r>
        <w:rPr>
          <w:rFonts w:ascii="Arial" w:cs="Arial" w:hAnsi="Arial"/>
        </w:rPr>
        <w:t xml:space="preserve"> and regulation. </w:t>
      </w:r>
    </w:p>
    <w:p w14:paraId="0449F925">
      <w:pPr>
        <w:pStyle w:val="style0"/>
        <w:spacing w:lineRule="auto" w:line="360"/>
        <w:jc w:val="both"/>
        <w:rPr>
          <w:rFonts w:ascii="Arial" w:cs="Arial" w:hAnsi="Arial"/>
        </w:rPr>
      </w:pPr>
      <w:r>
        <w:rPr>
          <w:rFonts w:ascii="Arial" w:cs="Arial" w:hAnsi="Arial"/>
        </w:rPr>
        <w:t xml:space="preserve">Secondly, the research process increased my understanding of the resource-based theory of strategy. According to Barney (1991), valuable, rare, inimitable and well-organised resources can be the source of sustainable competitive advantage. Application of the ideas to </w:t>
      </w:r>
      <w:r>
        <w:rPr>
          <w:rFonts w:ascii="Arial" w:cs="Arial" w:hAnsi="Arial"/>
        </w:rPr>
        <w:t xml:space="preserve">Tesco's </w:t>
      </w:r>
      <w:r>
        <w:rPr>
          <w:rFonts w:ascii="Arial" w:cs="Arial" w:hAnsi="Arial"/>
        </w:rPr>
        <w:t xml:space="preserve">resources allowed me to </w:t>
      </w:r>
      <w:r>
        <w:rPr>
          <w:rFonts w:ascii="Arial" w:cs="Arial" w:hAnsi="Arial"/>
        </w:rPr>
        <w:t>move</w:t>
      </w:r>
      <w:r>
        <w:rPr>
          <w:rFonts w:ascii="Arial" w:cs="Arial" w:hAnsi="Arial"/>
        </w:rPr>
        <w:t xml:space="preserve"> from simple identification of strengths and weaknesses to assessment of the strategic potential of these resources. The maturity of the industry of Tesco also increased my understanding of the idea that it is not always necessary to increase its geographical presence to achieve growth.</w:t>
      </w:r>
    </w:p>
    <w:p w14:paraId="0743FDE7">
      <w:pPr>
        <w:pStyle w:val="style0"/>
        <w:spacing w:lineRule="auto" w:line="360"/>
        <w:jc w:val="both"/>
        <w:rPr>
          <w:rFonts w:ascii="Arial" w:cs="Arial" w:hAnsi="Arial"/>
        </w:rPr>
      </w:pPr>
      <w:r>
        <w:rPr>
          <w:rFonts w:ascii="Arial" w:cs="Arial" w:hAnsi="Arial"/>
        </w:rPr>
        <w:tab/>
      </w:r>
      <w:r>
        <w:rPr>
          <w:rFonts w:ascii="Arial" w:cs="Arial" w:hAnsi="Arial"/>
        </w:rPr>
        <w:t>Another significant lesson was the inclusion of sustainability in strategic management. The Little Helps plan by Tesco is an example that shows how the company has tried to (Freeman, 1984).</w:t>
      </w:r>
    </w:p>
    <w:p w14:paraId="4FB6CD9B">
      <w:pPr>
        <w:pStyle w:val="style0"/>
        <w:spacing w:lineRule="auto" w:line="360"/>
        <w:jc w:val="both"/>
        <w:rPr>
          <w:rFonts w:ascii="Arial" w:cs="Arial" w:hAnsi="Arial"/>
          <w:b/>
          <w:bCs/>
        </w:rPr>
      </w:pPr>
      <w:r>
        <w:rPr>
          <w:rFonts w:ascii="Arial" w:cs="Arial" w:hAnsi="Arial"/>
          <w:b/>
          <w:bCs/>
        </w:rPr>
        <w:t>Conclusion</w:t>
      </w:r>
    </w:p>
    <w:p w14:paraId="2AACC266">
      <w:pPr>
        <w:pStyle w:val="style0"/>
        <w:spacing w:lineRule="auto" w:line="360"/>
        <w:ind w:firstLine="720"/>
        <w:jc w:val="both"/>
        <w:rPr>
          <w:rFonts w:ascii="Arial" w:cs="Arial" w:hAnsi="Arial"/>
        </w:rPr>
      </w:pPr>
      <w:r>
        <w:rPr>
          <w:rFonts w:ascii="Arial" w:cs="Arial" w:hAnsi="Arial"/>
        </w:rPr>
        <w:t xml:space="preserve">In general, the completion of strategic analysis helped me to enhance my skills in conducting an evidence-based strategic analysis. It was understood by me that there is no single approach that can explain </w:t>
      </w:r>
      <w:r>
        <w:rPr>
          <w:rFonts w:ascii="Arial" w:cs="Arial" w:hAnsi="Arial"/>
        </w:rPr>
        <w:t xml:space="preserve">the </w:t>
      </w:r>
      <w:r>
        <w:rPr>
          <w:rFonts w:ascii="Arial" w:cs="Arial" w:hAnsi="Arial"/>
        </w:rPr>
        <w:t>performance of the organisation completely. On the contrary, a successful strategic analysis needs the consideration of external, internal</w:t>
      </w:r>
      <w:r>
        <w:rPr>
          <w:rFonts w:ascii="Arial" w:cs="Arial" w:hAnsi="Arial"/>
        </w:rPr>
        <w:t>,</w:t>
      </w:r>
      <w:r>
        <w:rPr>
          <w:rFonts w:ascii="Arial" w:cs="Arial" w:hAnsi="Arial"/>
        </w:rPr>
        <w:t xml:space="preserve"> and stakeholder perspectives. This assignment also allowed me to enhance my critical thinking and to understand the difference between descriptive and analytic approaches. However, what is most important, I have realised that the </w:t>
      </w:r>
      <w:r>
        <w:rPr>
          <w:rFonts w:ascii="Arial" w:cs="Arial" w:hAnsi="Arial"/>
        </w:rPr>
        <w:t xml:space="preserve">results of </w:t>
      </w:r>
      <w:r>
        <w:rPr>
          <w:rFonts w:ascii="Arial" w:cs="Arial" w:hAnsi="Arial"/>
        </w:rPr>
        <w:t xml:space="preserve">the </w:t>
      </w:r>
      <w:r>
        <w:rPr>
          <w:rFonts w:ascii="Arial" w:cs="Arial" w:hAnsi="Arial"/>
        </w:rPr>
        <w:t>analysis need to generate recommendations directly from evidence and not beforehand.</w:t>
      </w:r>
    </w:p>
    <w:p w14:paraId="3F80843B">
      <w:pPr>
        <w:pStyle w:val="style0"/>
        <w:spacing w:lineRule="auto" w:line="360"/>
        <w:jc w:val="both"/>
        <w:rPr>
          <w:rFonts w:ascii="Arial" w:cs="Arial" w:hAnsi="Arial"/>
          <w:b/>
          <w:bCs/>
        </w:rPr>
      </w:pPr>
      <w:r>
        <w:rPr>
          <w:rFonts w:ascii="Arial" w:cs="Arial" w:hAnsi="Arial"/>
          <w:b/>
          <w:bCs/>
        </w:rPr>
        <w:t>Action Plan</w:t>
      </w:r>
    </w:p>
    <w:p w14:paraId="1A0902A7">
      <w:pPr>
        <w:pStyle w:val="style0"/>
        <w:spacing w:lineRule="auto" w:line="360"/>
        <w:ind w:firstLine="720"/>
        <w:jc w:val="both"/>
        <w:rPr>
          <w:rFonts w:ascii="Arial" w:cs="Arial" w:hAnsi="Arial"/>
        </w:rPr>
      </w:pPr>
      <w:r>
        <w:rPr>
          <w:rFonts w:ascii="Arial" w:cs="Arial" w:hAnsi="Arial"/>
        </w:rPr>
        <w:t xml:space="preserve">In future strategic assignments, I would first start with creating a more developed analytical framework before collecting any information. This will ensure that evidence is collected only on the basis of how relevant it is to the strategic decision being made, thus preventing </w:t>
      </w:r>
      <w:r>
        <w:rPr>
          <w:rFonts w:ascii="Arial" w:cs="Arial" w:hAnsi="Arial"/>
        </w:rPr>
        <w:t>me</w:t>
      </w:r>
      <w:r>
        <w:rPr>
          <w:rFonts w:ascii="Arial" w:cs="Arial" w:hAnsi="Arial"/>
        </w:rPr>
        <w:t xml:space="preserve"> from wasting information that may not necessarily have anything to do with the analysis being made. Moreover, I would also start comparing company-related information to independent industry and academic information at an earlier stage so that my conclusions become more credible. Furthermore, I would make sure that there are better connections between each framework from the very beginning, especially between external opportunities and threats and the internal capabilities and resources of the organization. Lastly, I would spend more time on evaluating the overall argument after I have completed the separate analyses.</w:t>
      </w:r>
    </w:p>
    <w:p w14:paraId="3B91FEE2">
      <w:pPr>
        <w:pStyle w:val="style0"/>
        <w:rPr>
          <w:rFonts w:ascii="Arial" w:cs="Arial" w:eastAsia="宋体" w:hAnsi="Arial"/>
          <w:b/>
          <w:bCs/>
          <w:color w:val="17365d"/>
          <w:szCs w:val="24"/>
          <w:lang w:eastAsia="ja-JP"/>
        </w:rPr>
      </w:pPr>
      <w:r>
        <w:rPr>
          <w:rFonts w:cs="Arial"/>
        </w:rPr>
        <w:br w:type="page"/>
      </w:r>
    </w:p>
    <w:bookmarkStart w:id="25" w:name="_Toc237433650"/>
    <w:p w14:paraId="3731E4D4">
      <w:pPr>
        <w:pStyle w:val="style1"/>
        <w:rPr>
          <w:rFonts w:cs="Arial"/>
        </w:rPr>
      </w:pPr>
      <w:r>
        <w:rPr>
          <w:rFonts w:cs="Arial"/>
        </w:rPr>
        <w:t>References</w:t>
      </w:r>
      <w:bookmarkEnd w:id="25"/>
      <w:r>
        <w:rPr>
          <w:rFonts w:cs="Arial"/>
        </w:rPr>
        <w:t xml:space="preserve"> </w:t>
      </w:r>
    </w:p>
    <w:p w14:paraId="25470819">
      <w:pPr>
        <w:pStyle w:val="style0"/>
        <w:spacing w:lineRule="auto" w:line="360"/>
        <w:ind w:left="567" w:hanging="567"/>
        <w:jc w:val="both"/>
        <w:rPr>
          <w:rFonts w:ascii="Arial" w:cs="Arial" w:hAnsi="Arial"/>
          <w:lang w:val="en-IN"/>
        </w:rPr>
      </w:pPr>
      <w:r>
        <w:rPr>
          <w:rFonts w:ascii="Arial" w:cs="Arial" w:hAnsi="Arial"/>
          <w:lang w:val="en-IN"/>
        </w:rPr>
        <w:t xml:space="preserve">Ansoff (1957). </w:t>
      </w:r>
      <w:r>
        <w:rPr>
          <w:rFonts w:ascii="Arial" w:cs="Arial" w:hAnsi="Arial"/>
          <w:i/>
          <w:iCs/>
          <w:lang w:val="en-IN"/>
        </w:rPr>
        <w:t xml:space="preserve">I. </w:t>
      </w:r>
      <w:r>
        <w:rPr>
          <w:rFonts w:ascii="Arial" w:cs="Arial" w:hAnsi="Arial"/>
          <w:i/>
          <w:iCs/>
          <w:lang w:val="en-IN"/>
        </w:rPr>
        <w:t>Ansoff</w:t>
      </w:r>
      <w:r>
        <w:rPr>
          <w:rFonts w:ascii="Arial" w:cs="Arial" w:hAnsi="Arial"/>
          <w:i/>
          <w:iCs/>
          <w:lang w:val="en-IN"/>
        </w:rPr>
        <w:t>, “</w:t>
      </w:r>
      <w:r>
        <w:rPr>
          <w:rFonts w:ascii="Arial" w:cs="Arial" w:hAnsi="Arial"/>
          <w:i/>
          <w:iCs/>
          <w:lang w:val="en-IN"/>
        </w:rPr>
        <w:t>Strategies</w:t>
      </w:r>
      <w:r>
        <w:rPr>
          <w:rFonts w:ascii="Arial" w:cs="Arial" w:hAnsi="Arial"/>
          <w:i/>
          <w:iCs/>
          <w:lang w:val="en-IN"/>
        </w:rPr>
        <w:t xml:space="preserve"> for </w:t>
      </w:r>
      <w:r>
        <w:rPr>
          <w:rFonts w:ascii="Arial" w:cs="Arial" w:hAnsi="Arial"/>
          <w:i/>
          <w:iCs/>
          <w:lang w:val="en-IN"/>
        </w:rPr>
        <w:t>Diversification</w:t>
      </w:r>
      <w:r>
        <w:rPr>
          <w:rFonts w:ascii="Arial" w:cs="Arial" w:hAnsi="Arial"/>
          <w:i/>
          <w:iCs/>
          <w:lang w:val="en-IN"/>
        </w:rPr>
        <w:t>,” harvard Business review, 1957, pp. 113-124. - References - scientific research publishing</w:t>
      </w:r>
      <w:r>
        <w:rPr>
          <w:rFonts w:ascii="Arial" w:cs="Arial" w:hAnsi="Arial"/>
          <w:lang w:val="en-IN"/>
        </w:rPr>
        <w:t>. [online] Www.scirp.org. Available at: https://www.scirp.org/reference/referencespapers?referenceid=989821 [Accessed 18 July 2026].</w:t>
      </w:r>
    </w:p>
    <w:p w14:paraId="310E5F94">
      <w:pPr>
        <w:pStyle w:val="style0"/>
        <w:spacing w:lineRule="auto" w:line="360"/>
        <w:ind w:left="567" w:hanging="567"/>
        <w:jc w:val="both"/>
        <w:rPr>
          <w:rFonts w:ascii="Arial" w:cs="Arial" w:hAnsi="Arial"/>
        </w:rPr>
      </w:pPr>
      <w:r>
        <w:rPr>
          <w:rFonts w:ascii="Arial" w:cs="Arial" w:hAnsi="Arial"/>
        </w:rPr>
        <w:t xml:space="preserve">Ateljević, J., Kulović, D., Đoković, F. and Bavčić, M., </w:t>
      </w:r>
      <w:r>
        <w:rPr>
          <w:rFonts w:ascii="Arial" w:cs="Arial" w:hAnsi="Arial"/>
        </w:rPr>
        <w:t>(</w:t>
      </w:r>
      <w:r>
        <w:rPr>
          <w:rFonts w:ascii="Arial" w:cs="Arial" w:hAnsi="Arial"/>
        </w:rPr>
        <w:t>2023</w:t>
      </w:r>
      <w:r>
        <w:rPr>
          <w:rFonts w:ascii="Arial" w:cs="Arial" w:hAnsi="Arial"/>
        </w:rPr>
        <w:t>)</w:t>
      </w:r>
      <w:r>
        <w:rPr>
          <w:rFonts w:ascii="Arial" w:cs="Arial" w:hAnsi="Arial"/>
        </w:rPr>
        <w:t>. </w:t>
      </w:r>
      <w:r>
        <w:rPr>
          <w:rFonts w:ascii="Arial" w:cs="Arial" w:hAnsi="Arial"/>
          <w:i/>
          <w:iCs/>
        </w:rPr>
        <w:t>Business strategy and competitive advantage: A reinterpretation of Michael Porter’s work</w:t>
      </w:r>
      <w:r>
        <w:rPr>
          <w:rFonts w:ascii="Arial" w:cs="Arial" w:hAnsi="Arial"/>
        </w:rPr>
        <w:t>. Routledge.</w:t>
      </w:r>
    </w:p>
    <w:p w14:paraId="0F7588F6">
      <w:pPr>
        <w:pStyle w:val="style0"/>
        <w:spacing w:lineRule="auto" w:line="360"/>
        <w:ind w:left="567" w:hanging="567"/>
        <w:jc w:val="both"/>
        <w:rPr>
          <w:rFonts w:ascii="Arial" w:cs="Arial" w:hAnsi="Arial"/>
          <w:lang w:val="en-IN"/>
        </w:rPr>
      </w:pPr>
      <w:r>
        <w:rPr>
          <w:rFonts w:ascii="Arial" w:cs="Arial" w:hAnsi="Arial"/>
          <w:lang w:val="en-IN"/>
        </w:rPr>
        <w:t xml:space="preserve">Barney, J. (1991). Firm resources and sustained competitive advantage. </w:t>
      </w:r>
      <w:r>
        <w:rPr>
          <w:rFonts w:ascii="Arial" w:cs="Arial" w:hAnsi="Arial"/>
          <w:i/>
          <w:iCs/>
          <w:lang w:val="en-IN"/>
        </w:rPr>
        <w:t>Journal of Management</w:t>
      </w:r>
      <w:r>
        <w:rPr>
          <w:rFonts w:ascii="Arial" w:cs="Arial" w:hAnsi="Arial"/>
          <w:lang w:val="en-IN"/>
        </w:rPr>
        <w:t>, 17(1), pp.99</w:t>
      </w:r>
      <w:r>
        <w:rPr>
          <w:rFonts w:ascii="Arial" w:cs="Arial" w:hAnsi="Arial"/>
          <w:lang w:val="en-IN"/>
        </w:rPr>
        <w:t>-</w:t>
      </w:r>
      <w:r>
        <w:rPr>
          <w:rFonts w:ascii="Arial" w:cs="Arial" w:hAnsi="Arial"/>
          <w:lang w:val="en-IN"/>
        </w:rPr>
        <w:t>120. doi:https://doi.org/10.1177/014920639101700108.</w:t>
      </w:r>
    </w:p>
    <w:p w14:paraId="2B13F0D4">
      <w:pPr>
        <w:pStyle w:val="style0"/>
        <w:spacing w:lineRule="auto" w:line="360"/>
        <w:ind w:left="567" w:hanging="567"/>
        <w:jc w:val="both"/>
        <w:rPr>
          <w:rFonts w:ascii="Arial" w:cs="Arial" w:hAnsi="Arial"/>
        </w:rPr>
      </w:pPr>
      <w:r>
        <w:rPr>
          <w:rFonts w:ascii="Arial" w:cs="Arial" w:hAnsi="Arial"/>
        </w:rPr>
        <w:t xml:space="preserve">Bowman, C. (1996). </w:t>
      </w:r>
      <w:r>
        <w:rPr>
          <w:rFonts w:ascii="Arial" w:cs="Arial" w:hAnsi="Arial"/>
          <w:i/>
          <w:iCs/>
        </w:rPr>
        <w:t>Strategy in Practice</w:t>
      </w:r>
      <w:r>
        <w:rPr>
          <w:rFonts w:ascii="Arial" w:cs="Arial" w:hAnsi="Arial"/>
        </w:rPr>
        <w:t>. London: Prentice Hall.</w:t>
      </w:r>
    </w:p>
    <w:p w14:paraId="370AB5FB">
      <w:pPr>
        <w:pStyle w:val="style0"/>
        <w:spacing w:lineRule="auto" w:line="360"/>
        <w:ind w:left="567" w:hanging="567"/>
        <w:jc w:val="both"/>
        <w:rPr>
          <w:rFonts w:ascii="Arial" w:cs="Arial" w:hAnsi="Arial"/>
        </w:rPr>
      </w:pPr>
      <w:r>
        <w:rPr>
          <w:rFonts w:ascii="Arial" w:cs="Arial" w:hAnsi="Arial"/>
        </w:rPr>
        <w:t>Christensen, C.M. and Raynor, M.E. (2003) The Innovator’s Solution: Creating and Sustaining Successful Growth. Harvard Business School Press, Boston.</w:t>
      </w:r>
      <w:r>
        <w:rPr>
          <w:rFonts w:ascii="Arial" w:cs="Arial" w:hAnsi="Arial"/>
        </w:rPr>
        <w:t xml:space="preserve"> Available at: </w:t>
      </w:r>
      <w:r>
        <w:rPr/>
        <w:fldChar w:fldCharType="begin"/>
      </w:r>
      <w:r>
        <w:instrText xml:space="preserve"> HYPERLINK "https://www.scirp.org/reference/referencespapers?referenceid=3339868" </w:instrText>
      </w:r>
      <w:r>
        <w:rPr/>
        <w:fldChar w:fldCharType="separate"/>
      </w:r>
      <w:r>
        <w:rPr>
          <w:rStyle w:val="style85"/>
          <w:rFonts w:ascii="Arial" w:cs="Arial" w:hAnsi="Arial"/>
        </w:rPr>
        <w:t>https://www.scirp.org/reference/referencespapers?referenceid=3339868</w:t>
      </w:r>
      <w:r>
        <w:rPr/>
        <w:fldChar w:fldCharType="end"/>
      </w:r>
    </w:p>
    <w:p w14:paraId="30F4242B">
      <w:pPr>
        <w:pStyle w:val="style0"/>
        <w:spacing w:lineRule="auto" w:line="360"/>
        <w:ind w:left="567" w:hanging="567"/>
        <w:jc w:val="both"/>
        <w:rPr>
          <w:rFonts w:ascii="Arial" w:cs="Arial" w:hAnsi="Arial"/>
          <w:lang w:val="en-IN"/>
        </w:rPr>
      </w:pPr>
      <w:r>
        <w:rPr>
          <w:rFonts w:ascii="Arial" w:cs="Arial" w:hAnsi="Arial"/>
          <w:lang w:val="en-IN"/>
        </w:rPr>
        <w:t xml:space="preserve">csrreporters (2026). </w:t>
      </w:r>
      <w:r>
        <w:rPr>
          <w:rFonts w:ascii="Arial" w:cs="Arial" w:hAnsi="Arial"/>
          <w:i/>
          <w:iCs/>
          <w:lang w:val="en-IN"/>
        </w:rPr>
        <w:t>A closer look at the latest tesco sustainability report</w:t>
      </w:r>
      <w:r>
        <w:rPr>
          <w:rFonts w:ascii="Arial" w:cs="Arial" w:hAnsi="Arial"/>
          <w:lang w:val="en-IN"/>
        </w:rPr>
        <w:t>. [online] Reporting responsibility. Measuring impact. Building trust. Available at: https://csrreporters.com/a-closer-look-at-the-latest-tesco-sustainability-report/ [Accessed 18 July 2026].</w:t>
      </w:r>
    </w:p>
    <w:p w14:paraId="211C5220">
      <w:pPr>
        <w:pStyle w:val="style0"/>
        <w:spacing w:lineRule="auto" w:line="360"/>
        <w:ind w:left="567" w:hanging="567"/>
        <w:jc w:val="both"/>
        <w:rPr>
          <w:rFonts w:ascii="Arial" w:cs="Arial" w:hAnsi="Arial"/>
          <w:lang w:val="en-IN"/>
        </w:rPr>
      </w:pPr>
      <w:r>
        <w:rPr>
          <w:rFonts w:ascii="Arial" w:cs="Arial" w:hAnsi="Arial"/>
          <w:lang w:val="en-IN"/>
        </w:rPr>
        <w:t xml:space="preserve">Freeman, R.E. (1984). </w:t>
      </w:r>
      <w:r>
        <w:rPr>
          <w:rFonts w:ascii="Arial" w:cs="Arial" w:hAnsi="Arial"/>
          <w:i/>
          <w:iCs/>
          <w:lang w:val="en-IN"/>
        </w:rPr>
        <w:t>Strategic management: A stakeholder approach</w:t>
      </w:r>
      <w:r>
        <w:rPr>
          <w:rFonts w:ascii="Arial" w:cs="Arial" w:hAnsi="Arial"/>
          <w:lang w:val="en-IN"/>
        </w:rPr>
        <w:t>. Boston: Pitman.</w:t>
      </w:r>
    </w:p>
    <w:p w14:paraId="56875A8F">
      <w:pPr>
        <w:pStyle w:val="style0"/>
        <w:spacing w:lineRule="auto" w:line="360"/>
        <w:ind w:left="567" w:hanging="567"/>
        <w:jc w:val="both"/>
        <w:rPr>
          <w:rFonts w:ascii="Arial" w:cs="Arial" w:hAnsi="Arial"/>
          <w:lang w:val="en-IN"/>
        </w:rPr>
      </w:pPr>
      <w:r>
        <w:rPr>
          <w:rFonts w:ascii="Arial" w:cs="Arial" w:hAnsi="Arial"/>
          <w:lang w:val="en-IN"/>
        </w:rPr>
        <w:t xml:space="preserve">Fu, R. (2024). Analysis of Business Operation Mode and Marketing Strategy of British Mainstream Supermarket: Case </w:t>
      </w:r>
      <w:r>
        <w:rPr>
          <w:rFonts w:ascii="Arial" w:cs="Arial" w:hAnsi="Arial"/>
          <w:lang w:val="en-IN"/>
        </w:rPr>
        <w:t>Study</w:t>
      </w:r>
      <w:r>
        <w:rPr>
          <w:rFonts w:ascii="Arial" w:cs="Arial" w:hAnsi="Arial"/>
          <w:lang w:val="en-IN"/>
        </w:rPr>
        <w:t xml:space="preserve"> of Tesco. </w:t>
      </w:r>
      <w:r>
        <w:rPr>
          <w:rFonts w:ascii="Arial" w:cs="Arial" w:hAnsi="Arial"/>
          <w:i/>
          <w:iCs/>
          <w:lang w:val="en-IN"/>
        </w:rPr>
        <w:t>Journal of Education Humanities and Social Sciences</w:t>
      </w:r>
      <w:r>
        <w:rPr>
          <w:rFonts w:ascii="Arial" w:cs="Arial" w:hAnsi="Arial"/>
          <w:lang w:val="en-IN"/>
        </w:rPr>
        <w:t>, 43(1), pp.279</w:t>
      </w:r>
      <w:r>
        <w:rPr>
          <w:rFonts w:ascii="Arial" w:cs="Arial" w:hAnsi="Arial"/>
          <w:lang w:val="en-IN"/>
        </w:rPr>
        <w:t>-</w:t>
      </w:r>
      <w:r>
        <w:rPr>
          <w:rFonts w:ascii="Arial" w:cs="Arial" w:hAnsi="Arial"/>
          <w:lang w:val="en-IN"/>
        </w:rPr>
        <w:t>285. doi:10.54097/895tzt69.</w:t>
      </w:r>
    </w:p>
    <w:p w14:paraId="21A9FDFD">
      <w:pPr>
        <w:pStyle w:val="style0"/>
        <w:spacing w:lineRule="auto" w:line="360"/>
        <w:ind w:left="567" w:hanging="567"/>
        <w:jc w:val="both"/>
        <w:rPr>
          <w:rFonts w:ascii="Arial" w:cs="Arial" w:hAnsi="Arial"/>
          <w:lang w:val="en-IN"/>
        </w:rPr>
      </w:pPr>
      <w:r>
        <w:rPr>
          <w:rFonts w:ascii="Arial" w:cs="Arial" w:hAnsi="Arial"/>
          <w:lang w:val="en-IN"/>
        </w:rPr>
        <w:t xml:space="preserve">Fu, R. (2024). Analysis of Business operation mode and marketing strategy of British mainstream supermarket: Case study of Tesco. </w:t>
      </w:r>
      <w:r>
        <w:rPr>
          <w:rFonts w:ascii="Arial" w:cs="Arial" w:hAnsi="Arial"/>
          <w:i/>
          <w:iCs/>
          <w:lang w:val="en-IN"/>
        </w:rPr>
        <w:t>Journal of Education, humanities and social sciences</w:t>
      </w:r>
      <w:r>
        <w:rPr>
          <w:rFonts w:ascii="Arial" w:cs="Arial" w:hAnsi="Arial"/>
          <w:lang w:val="en-IN"/>
        </w:rPr>
        <w:t>, [online] 43, pp.279</w:t>
      </w:r>
      <w:r>
        <w:rPr>
          <w:rFonts w:ascii="Arial" w:cs="Arial" w:hAnsi="Arial"/>
          <w:lang w:val="en-IN"/>
        </w:rPr>
        <w:t>-</w:t>
      </w:r>
      <w:r>
        <w:rPr>
          <w:rFonts w:ascii="Arial" w:cs="Arial" w:hAnsi="Arial"/>
          <w:lang w:val="en-IN"/>
        </w:rPr>
        <w:t>285. doi:10.54097/895tzt69.</w:t>
      </w:r>
    </w:p>
    <w:p w14:paraId="118184D1">
      <w:pPr>
        <w:pStyle w:val="style0"/>
        <w:spacing w:lineRule="auto" w:line="360"/>
        <w:ind w:left="567" w:hanging="567"/>
        <w:jc w:val="both"/>
        <w:rPr>
          <w:rFonts w:ascii="Arial" w:cs="Arial" w:hAnsi="Arial"/>
          <w:lang w:val="en-IN"/>
        </w:rPr>
      </w:pPr>
      <w:r>
        <w:rPr>
          <w:rFonts w:ascii="Arial" w:cs="Arial" w:hAnsi="Arial"/>
          <w:lang w:val="en-IN"/>
        </w:rPr>
        <w:t xml:space="preserve">Garriga, E. and Melé, D. (2004). Corporate social responsibility theories: Mapping the territory. </w:t>
      </w:r>
      <w:r>
        <w:rPr>
          <w:rFonts w:ascii="Arial" w:cs="Arial" w:hAnsi="Arial"/>
          <w:i/>
          <w:iCs/>
          <w:lang w:val="en-IN"/>
        </w:rPr>
        <w:t>Journal of Business ethics</w:t>
      </w:r>
      <w:r>
        <w:rPr>
          <w:rFonts w:ascii="Arial" w:cs="Arial" w:hAnsi="Arial"/>
          <w:lang w:val="en-IN"/>
        </w:rPr>
        <w:t>, 53(1/2), pp.51</w:t>
      </w:r>
      <w:r>
        <w:rPr>
          <w:rFonts w:ascii="Arial" w:cs="Arial" w:hAnsi="Arial"/>
          <w:lang w:val="en-IN"/>
        </w:rPr>
        <w:t>-</w:t>
      </w:r>
      <w:r>
        <w:rPr>
          <w:rFonts w:ascii="Arial" w:cs="Arial" w:hAnsi="Arial"/>
          <w:lang w:val="en-IN"/>
        </w:rPr>
        <w:t>71. doi:10.1023/b:busi.0000039399.90587.34.</w:t>
      </w:r>
    </w:p>
    <w:p w14:paraId="30D0F85B">
      <w:pPr>
        <w:pStyle w:val="style0"/>
        <w:spacing w:lineRule="auto" w:line="360"/>
        <w:ind w:left="567" w:hanging="567"/>
        <w:jc w:val="both"/>
        <w:rPr>
          <w:rFonts w:ascii="Arial" w:cs="Arial" w:hAnsi="Arial"/>
          <w:lang w:val="en-IN"/>
        </w:rPr>
      </w:pPr>
      <w:r>
        <w:rPr>
          <w:rFonts w:ascii="Arial" w:cs="Arial" w:hAnsi="Arial"/>
          <w:lang w:val="en-IN"/>
        </w:rPr>
        <w:t xml:space="preserve">Grant, R.M. (1991). The resource-based theory of competitive advantage: Implications for strategy formulation. </w:t>
      </w:r>
      <w:r>
        <w:rPr>
          <w:rFonts w:ascii="Arial" w:cs="Arial" w:hAnsi="Arial"/>
          <w:i/>
          <w:iCs/>
          <w:lang w:val="en-IN"/>
        </w:rPr>
        <w:t>California management review</w:t>
      </w:r>
      <w:r>
        <w:rPr>
          <w:rFonts w:ascii="Arial" w:cs="Arial" w:hAnsi="Arial"/>
          <w:lang w:val="en-IN"/>
        </w:rPr>
        <w:t>, [online] 33(3), pp.114</w:t>
      </w:r>
      <w:r>
        <w:rPr>
          <w:rFonts w:ascii="Arial" w:cs="Arial" w:hAnsi="Arial"/>
          <w:lang w:val="en-IN"/>
        </w:rPr>
        <w:t>-</w:t>
      </w:r>
      <w:r>
        <w:rPr>
          <w:rFonts w:ascii="Arial" w:cs="Arial" w:hAnsi="Arial"/>
          <w:lang w:val="en-IN"/>
        </w:rPr>
        <w:t>135. doi:https://doi.org/10.2307/41166664.</w:t>
      </w:r>
    </w:p>
    <w:p w14:paraId="5BD477E6">
      <w:pPr>
        <w:pStyle w:val="style0"/>
        <w:spacing w:lineRule="auto" w:line="360"/>
        <w:ind w:left="567" w:hanging="567"/>
        <w:jc w:val="both"/>
        <w:rPr>
          <w:rFonts w:ascii="Arial" w:cs="Arial" w:hAnsi="Arial"/>
          <w:lang w:val="en-IN"/>
        </w:rPr>
      </w:pPr>
      <w:r>
        <w:rPr>
          <w:rFonts w:ascii="Arial" w:cs="Arial" w:hAnsi="Arial"/>
          <w:lang w:val="en-IN"/>
        </w:rPr>
        <w:t xml:space="preserve">GrowthShareMatrix (2024). </w:t>
      </w:r>
      <w:r>
        <w:rPr>
          <w:rFonts w:ascii="Arial" w:cs="Arial" w:hAnsi="Arial"/>
          <w:i/>
          <w:iCs/>
          <w:lang w:val="en-IN"/>
        </w:rPr>
        <w:t>Tesco porter’s five forces analysis</w:t>
      </w:r>
      <w:r>
        <w:rPr>
          <w:rFonts w:ascii="Arial" w:cs="Arial" w:hAnsi="Arial"/>
          <w:lang w:val="en-IN"/>
        </w:rPr>
        <w:t>. [online] Growth share matrix. Available at: https://matrixbcg.com/products/tescoplc-five-forces-analysis [Accessed 18 July 2026].</w:t>
      </w:r>
    </w:p>
    <w:p w14:paraId="01089F48">
      <w:pPr>
        <w:pStyle w:val="style0"/>
        <w:spacing w:lineRule="auto" w:line="360"/>
        <w:ind w:left="567" w:hanging="567"/>
        <w:jc w:val="both"/>
        <w:rPr>
          <w:rFonts w:ascii="Arial" w:cs="Arial" w:hAnsi="Arial"/>
          <w:lang w:val="en-IN"/>
        </w:rPr>
      </w:pPr>
      <w:r>
        <w:rPr>
          <w:rFonts w:ascii="Arial" w:cs="Arial" w:hAnsi="Arial"/>
          <w:lang w:val="en-IN"/>
        </w:rPr>
        <w:t xml:space="preserve">GrowthShareMatrix (2025). </w:t>
      </w:r>
      <w:r>
        <w:rPr>
          <w:rFonts w:ascii="Arial" w:cs="Arial" w:hAnsi="Arial"/>
          <w:i/>
          <w:iCs/>
          <w:lang w:val="en-IN"/>
        </w:rPr>
        <w:t>TECO pestle analysis</w:t>
      </w:r>
      <w:r>
        <w:rPr>
          <w:rFonts w:ascii="Arial" w:cs="Arial" w:hAnsi="Arial"/>
          <w:lang w:val="en-IN"/>
        </w:rPr>
        <w:t>. [online] Growth share matrix. Available at: https://matrixbcg.com/products/teco-pestle-analysis [Accessed 18 July 2026].</w:t>
      </w:r>
    </w:p>
    <w:p w14:paraId="42D32FC6">
      <w:pPr>
        <w:pStyle w:val="style0"/>
        <w:spacing w:lineRule="auto" w:line="360"/>
        <w:ind w:left="567" w:hanging="567"/>
        <w:jc w:val="both"/>
        <w:rPr>
          <w:rFonts w:ascii="Arial" w:cs="Arial" w:hAnsi="Arial"/>
          <w:lang w:val="en-IN"/>
        </w:rPr>
      </w:pPr>
      <w:r>
        <w:rPr>
          <w:rFonts w:ascii="Arial" w:cs="Arial" w:hAnsi="Arial"/>
          <w:lang w:val="en-IN"/>
        </w:rPr>
        <w:t xml:space="preserve">Kantar </w:t>
      </w:r>
      <w:r>
        <w:rPr>
          <w:rFonts w:ascii="Arial" w:cs="Arial" w:hAnsi="Arial"/>
          <w:lang w:val="en-IN"/>
        </w:rPr>
        <w:t xml:space="preserve">(2026). </w:t>
      </w:r>
      <w:r>
        <w:rPr>
          <w:rFonts w:ascii="Arial" w:cs="Arial" w:hAnsi="Arial"/>
          <w:i/>
          <w:iCs/>
          <w:lang w:val="en-IN"/>
        </w:rPr>
        <w:t>Promotions, premium own label and no alcohol options: Inside britain’s £13.8bn Christmas grocery shop</w:t>
      </w:r>
      <w:r>
        <w:rPr>
          <w:rFonts w:ascii="Arial" w:cs="Arial" w:hAnsi="Arial"/>
          <w:lang w:val="en-IN"/>
        </w:rPr>
        <w:t>. [online] Kantar.com. Available at: https://www.kantar.com/uki/inspiration/fmcg/2026-wp-promo-premium-own-label-and-no-alcohol-options-inside-britains-13-8-bn-xmas-grocery-shop [Accessed 18 July 2026].</w:t>
      </w:r>
    </w:p>
    <w:p w14:paraId="3ADC95A0">
      <w:pPr>
        <w:pStyle w:val="style0"/>
        <w:spacing w:lineRule="auto" w:line="360"/>
        <w:ind w:left="567" w:hanging="567"/>
        <w:jc w:val="both"/>
        <w:rPr>
          <w:rFonts w:ascii="Arial" w:cs="Arial" w:hAnsi="Arial"/>
          <w:lang w:val="en-IN"/>
        </w:rPr>
      </w:pPr>
      <w:r>
        <w:rPr>
          <w:rFonts w:ascii="Arial" w:cs="Arial" w:hAnsi="Arial"/>
          <w:lang w:val="en-IN"/>
        </w:rPr>
        <w:t xml:space="preserve">Kantar </w:t>
      </w:r>
      <w:r>
        <w:rPr>
          <w:rFonts w:ascii="Arial" w:cs="Arial" w:hAnsi="Arial"/>
          <w:lang w:val="en-IN"/>
        </w:rPr>
        <w:t xml:space="preserve">(2026). </w:t>
      </w:r>
      <w:r>
        <w:rPr>
          <w:rFonts w:ascii="Arial" w:cs="Arial" w:hAnsi="Arial"/>
          <w:i/>
          <w:iCs/>
          <w:lang w:val="en-IN"/>
        </w:rPr>
        <w:t xml:space="preserve">Promotions, premium </w:t>
      </w:r>
      <w:r>
        <w:rPr>
          <w:rFonts w:ascii="Arial" w:cs="Arial" w:hAnsi="Arial"/>
          <w:i/>
          <w:iCs/>
          <w:lang w:val="en-IN"/>
        </w:rPr>
        <w:t>own-label</w:t>
      </w:r>
      <w:r>
        <w:rPr>
          <w:rFonts w:ascii="Arial" w:cs="Arial" w:hAnsi="Arial"/>
          <w:i/>
          <w:iCs/>
          <w:lang w:val="en-IN"/>
        </w:rPr>
        <w:t xml:space="preserve"> and no alcohol options: Inside Britain’s £13.8bn Christmas grocery shop</w:t>
      </w:r>
      <w:r>
        <w:rPr>
          <w:rFonts w:ascii="Arial" w:cs="Arial" w:hAnsi="Arial"/>
          <w:lang w:val="en-IN"/>
        </w:rPr>
        <w:t>. [online] Kantar.com. Available at: https://www.kantar.com/uki/inspiration/fmcg/2026-wp-promo-premium-own-label-and-no-alcohol-options-inside-britains-13-8-bn-xmas-grocery-shop [Accessed 7 July 2026].</w:t>
      </w:r>
    </w:p>
    <w:p w14:paraId="3B64E022">
      <w:pPr>
        <w:pStyle w:val="style0"/>
        <w:spacing w:lineRule="auto" w:line="360"/>
        <w:ind w:left="567" w:hanging="567"/>
        <w:jc w:val="both"/>
        <w:rPr>
          <w:rFonts w:ascii="Arial" w:cs="Arial" w:hAnsi="Arial"/>
          <w:lang w:val="en-IN"/>
        </w:rPr>
      </w:pPr>
      <w:r>
        <w:rPr>
          <w:rFonts w:ascii="Arial" w:cs="Arial" w:hAnsi="Arial"/>
          <w:lang w:val="en-IN"/>
        </w:rPr>
        <w:t xml:space="preserve">Kaplan, R.S. and Norton, D.P. (1992). </w:t>
      </w:r>
      <w:r>
        <w:rPr>
          <w:rFonts w:ascii="Arial" w:cs="Arial" w:hAnsi="Arial"/>
          <w:i/>
          <w:iCs/>
          <w:lang w:val="en-IN"/>
        </w:rPr>
        <w:t>The balanced scorecard—measures that drive performance</w:t>
      </w:r>
      <w:r>
        <w:rPr>
          <w:rFonts w:ascii="Arial" w:cs="Arial" w:hAnsi="Arial"/>
          <w:lang w:val="en-IN"/>
        </w:rPr>
        <w:t>. [online] Harvard business review. Available at: https://hbr.org/1992/01/the-balanced-scorecard-measures-that-drive-performance-2 [Accessed 18 July 2026].</w:t>
      </w:r>
    </w:p>
    <w:p w14:paraId="27F75D5B">
      <w:pPr>
        <w:pStyle w:val="style0"/>
        <w:spacing w:lineRule="auto" w:line="360"/>
        <w:ind w:left="567" w:hanging="567"/>
        <w:jc w:val="both"/>
        <w:rPr>
          <w:rFonts w:ascii="Arial" w:cs="Arial" w:hAnsi="Arial"/>
          <w:lang w:val="en-IN"/>
        </w:rPr>
      </w:pPr>
      <w:r>
        <w:rPr>
          <w:rFonts w:ascii="Arial" w:cs="Arial" w:hAnsi="Arial"/>
          <w:lang w:val="en-IN"/>
        </w:rPr>
        <w:t xml:space="preserve">Levitt, T. (1965). </w:t>
      </w:r>
      <w:r>
        <w:rPr>
          <w:rFonts w:ascii="Arial" w:cs="Arial" w:hAnsi="Arial"/>
          <w:i/>
          <w:iCs/>
          <w:lang w:val="en-IN"/>
        </w:rPr>
        <w:t>Exploit the product life cycle</w:t>
      </w:r>
      <w:r>
        <w:rPr>
          <w:rFonts w:ascii="Arial" w:cs="Arial" w:hAnsi="Arial"/>
          <w:lang w:val="en-IN"/>
        </w:rPr>
        <w:t>. [online] Harvard business review. Available at: https://hbr.org/1965/11/exploit-the-product-life-cycle [Accessed 18 July 2026].</w:t>
      </w:r>
    </w:p>
    <w:p w14:paraId="57C54034">
      <w:pPr>
        <w:pStyle w:val="style0"/>
        <w:spacing w:lineRule="auto" w:line="360"/>
        <w:ind w:left="567" w:hanging="567"/>
        <w:jc w:val="both"/>
        <w:rPr>
          <w:rFonts w:ascii="Arial" w:cs="Arial" w:hAnsi="Arial"/>
          <w:lang w:val="en-IN"/>
        </w:rPr>
      </w:pPr>
      <w:r>
        <w:rPr>
          <w:rFonts w:ascii="Arial" w:cs="Arial" w:hAnsi="Arial"/>
          <w:lang w:val="en-IN"/>
        </w:rPr>
        <w:t xml:space="preserve">Pereira, D. (2023). </w:t>
      </w:r>
      <w:r>
        <w:rPr>
          <w:rFonts w:ascii="Arial" w:cs="Arial" w:hAnsi="Arial"/>
          <w:i/>
          <w:iCs/>
          <w:lang w:val="en-IN"/>
        </w:rPr>
        <w:t>Tesco pestle analysis (2026) (2026)</w:t>
      </w:r>
      <w:r>
        <w:rPr>
          <w:rFonts w:ascii="Arial" w:cs="Arial" w:hAnsi="Arial"/>
          <w:lang w:val="en-IN"/>
        </w:rPr>
        <w:t>. [online] Business model analyst. Available at: https://businessmodelanalyst.com/tesco-pestle-analysis/?srsltid=afmbooomsfxfnnl6ok2hclqaceuy4gb1pdlyuqpzemeu62bgbslvehvi [Accessed 19 July 2026].</w:t>
      </w:r>
    </w:p>
    <w:p w14:paraId="453CE40E">
      <w:pPr>
        <w:pStyle w:val="style0"/>
        <w:spacing w:lineRule="auto" w:line="360"/>
        <w:ind w:left="567" w:hanging="567"/>
        <w:jc w:val="both"/>
        <w:rPr>
          <w:rFonts w:ascii="Arial" w:cs="Arial" w:hAnsi="Arial"/>
        </w:rPr>
      </w:pPr>
      <w:r>
        <w:rPr>
          <w:rFonts w:ascii="Arial" w:cs="Arial" w:hAnsi="Arial"/>
        </w:rPr>
        <w:t xml:space="preserve">Porter, M.E. (1985). </w:t>
      </w:r>
      <w:r>
        <w:rPr>
          <w:rFonts w:ascii="Arial" w:cs="Arial" w:hAnsi="Arial"/>
          <w:i/>
          <w:iCs/>
        </w:rPr>
        <w:t>Competitive Advantage: Creating and Sustaining Superior Performance</w:t>
      </w:r>
      <w:r>
        <w:rPr>
          <w:rFonts w:ascii="Arial" w:cs="Arial" w:hAnsi="Arial"/>
        </w:rPr>
        <w:t>. New York: Free Press.</w:t>
      </w:r>
    </w:p>
    <w:p w14:paraId="4C05CCC5">
      <w:pPr>
        <w:pStyle w:val="style0"/>
        <w:spacing w:lineRule="auto" w:line="360"/>
        <w:ind w:left="567" w:hanging="567"/>
        <w:jc w:val="both"/>
        <w:rPr>
          <w:rFonts w:ascii="Arial" w:cs="Arial" w:hAnsi="Arial"/>
        </w:rPr>
      </w:pPr>
      <w:r>
        <w:rPr>
          <w:rFonts w:ascii="Arial" w:cs="Arial" w:hAnsi="Arial"/>
        </w:rPr>
        <w:t xml:space="preserve">Salmon, B. and Godley, A., </w:t>
      </w:r>
      <w:r>
        <w:rPr>
          <w:rFonts w:ascii="Arial" w:cs="Arial" w:hAnsi="Arial"/>
        </w:rPr>
        <w:t>(</w:t>
      </w:r>
      <w:r>
        <w:rPr>
          <w:rFonts w:ascii="Arial" w:cs="Arial" w:hAnsi="Arial"/>
        </w:rPr>
        <w:t>2025</w:t>
      </w:r>
      <w:r>
        <w:rPr>
          <w:rFonts w:ascii="Arial" w:cs="Arial" w:hAnsi="Arial"/>
        </w:rPr>
        <w:t>)</w:t>
      </w:r>
      <w:r>
        <w:rPr>
          <w:rFonts w:ascii="Arial" w:cs="Arial" w:hAnsi="Arial"/>
        </w:rPr>
        <w:t>. </w:t>
      </w:r>
      <w:r>
        <w:rPr>
          <w:rFonts w:ascii="Arial" w:cs="Arial" w:hAnsi="Arial"/>
          <w:i/>
          <w:iCs/>
        </w:rPr>
        <w:t>The Making of the Modern Supermarket: Self-service adoption in British food retailing, 1950-1975</w:t>
      </w:r>
      <w:r>
        <w:rPr>
          <w:rFonts w:ascii="Arial" w:cs="Arial" w:hAnsi="Arial"/>
        </w:rPr>
        <w:t>. Oxford University Press.</w:t>
      </w:r>
    </w:p>
    <w:p w14:paraId="158D79AF">
      <w:pPr>
        <w:pStyle w:val="style0"/>
        <w:spacing w:lineRule="auto" w:line="360"/>
        <w:ind w:left="567" w:hanging="567"/>
        <w:jc w:val="both"/>
        <w:rPr>
          <w:rFonts w:ascii="Arial" w:cs="Arial" w:hAnsi="Arial"/>
          <w:lang w:val="en-IN"/>
        </w:rPr>
      </w:pPr>
      <w:r>
        <w:rPr>
          <w:rFonts w:ascii="Arial" w:cs="Arial" w:hAnsi="Arial"/>
          <w:lang w:val="en-IN"/>
        </w:rPr>
        <w:t xml:space="preserve">Schlosser, K.P. and Volkova, T. (2022). Social enterprise strategic leadership for delivering shared value. </w:t>
      </w:r>
      <w:r>
        <w:rPr>
          <w:rFonts w:ascii="Arial" w:cs="Arial" w:hAnsi="Arial"/>
          <w:i/>
          <w:iCs/>
          <w:lang w:val="en-IN"/>
        </w:rPr>
        <w:t>Journal of Business management</w:t>
      </w:r>
      <w:r>
        <w:rPr>
          <w:rFonts w:ascii="Arial" w:cs="Arial" w:hAnsi="Arial"/>
          <w:lang w:val="en-IN"/>
        </w:rPr>
        <w:t>, [online] 20. Available at: https://journals.riseba.eu/index.php/jbm/article/view/14 [Accessed 18 July 2026].</w:t>
      </w:r>
    </w:p>
    <w:p w14:paraId="6F81F96D">
      <w:pPr>
        <w:pStyle w:val="style0"/>
        <w:spacing w:lineRule="auto" w:line="360"/>
        <w:ind w:left="567" w:hanging="567"/>
        <w:jc w:val="both"/>
        <w:rPr>
          <w:rFonts w:ascii="Arial" w:cs="Arial" w:hAnsi="Arial"/>
          <w:lang w:val="en-IN"/>
        </w:rPr>
      </w:pPr>
      <w:r>
        <w:rPr>
          <w:rFonts w:ascii="Arial" w:cs="Arial" w:hAnsi="Arial"/>
          <w:lang w:val="en-IN"/>
        </w:rPr>
        <w:t xml:space="preserve">Statista. (2020). </w:t>
      </w:r>
      <w:r>
        <w:rPr>
          <w:rFonts w:ascii="Arial" w:cs="Arial" w:hAnsi="Arial"/>
          <w:i/>
          <w:iCs/>
          <w:lang w:val="en-IN"/>
        </w:rPr>
        <w:t>Leading grocery retailers ranked by market share in the united Kingdom (UK) 2011-2015</w:t>
      </w:r>
      <w:r>
        <w:rPr>
          <w:rFonts w:ascii="Arial" w:cs="Arial" w:hAnsi="Arial"/>
          <w:lang w:val="en-IN"/>
        </w:rPr>
        <w:t>. [online] Available at: https://www.statista.com/statistics/282070/distribution-of-the-grocery-market-in-the-united-kingdom-uk-by-retailers/?srsltid=afmbooqzgrbg70ul1yswi1xrphjf6nywpvnyijdc6m1na1ll4eeub6-g [Accessed 19 July 2026].</w:t>
      </w:r>
    </w:p>
    <w:p w14:paraId="684AB60B">
      <w:pPr>
        <w:pStyle w:val="style0"/>
        <w:spacing w:lineRule="auto" w:line="360"/>
        <w:ind w:left="567" w:hanging="567"/>
        <w:jc w:val="both"/>
        <w:rPr>
          <w:rFonts w:ascii="Arial" w:cs="Arial" w:hAnsi="Arial"/>
          <w:lang w:val="en-IN"/>
        </w:rPr>
      </w:pPr>
      <w:r>
        <w:rPr>
          <w:rFonts w:ascii="Arial" w:cs="Arial" w:hAnsi="Arial"/>
          <w:lang w:val="en-IN"/>
        </w:rPr>
        <w:t xml:space="preserve">Tesco Plc (2025). </w:t>
      </w:r>
      <w:r>
        <w:rPr>
          <w:rFonts w:ascii="Arial" w:cs="Arial" w:hAnsi="Arial"/>
          <w:i/>
          <w:iCs/>
          <w:lang w:val="en-IN"/>
        </w:rPr>
        <w:t>Tesco PLC Annual Report and Financial Statements</w:t>
      </w:r>
      <w:r>
        <w:rPr>
          <w:rFonts w:ascii="Arial" w:cs="Arial" w:hAnsi="Arial"/>
          <w:lang w:val="en-IN"/>
        </w:rPr>
        <w:t>. [online] Available at: https://www.tescoplc.com/media/ky0bfwpo/tesco_ar25_interactive.pdf [Accessed 7 July 2026].</w:t>
      </w:r>
    </w:p>
    <w:p w14:paraId="1536B01F">
      <w:pPr>
        <w:pStyle w:val="style0"/>
        <w:spacing w:lineRule="auto" w:line="360"/>
        <w:ind w:left="567" w:hanging="567"/>
        <w:jc w:val="both"/>
        <w:rPr>
          <w:rFonts w:ascii="Arial" w:cs="Arial" w:hAnsi="Arial"/>
          <w:lang w:val="en-IN"/>
        </w:rPr>
      </w:pPr>
      <w:r>
        <w:rPr>
          <w:rFonts w:ascii="Arial" w:cs="Arial" w:hAnsi="Arial"/>
          <w:lang w:val="en-IN"/>
        </w:rPr>
        <w:t xml:space="preserve">Tesco PLC (2025). </w:t>
      </w:r>
      <w:r>
        <w:rPr>
          <w:rFonts w:ascii="Arial" w:cs="Arial" w:hAnsi="Arial"/>
          <w:i/>
          <w:iCs/>
          <w:lang w:val="en-IN"/>
        </w:rPr>
        <w:t>Tesco PLC Annual Report and Financial Statements 2025</w:t>
      </w:r>
      <w:r>
        <w:rPr>
          <w:rFonts w:ascii="Arial" w:cs="Arial" w:hAnsi="Arial"/>
          <w:lang w:val="en-IN"/>
        </w:rPr>
        <w:t xml:space="preserve">. [online] Available at: </w:t>
      </w:r>
      <w:r>
        <w:rPr/>
        <w:fldChar w:fldCharType="begin"/>
      </w:r>
      <w:r>
        <w:instrText xml:space="preserve"> HYPERLINK "https://www.tescoplc.com/media/ky0bfwpo/tesco_ar25_interactive.pdf" </w:instrText>
      </w:r>
      <w:r>
        <w:rPr/>
        <w:fldChar w:fldCharType="separate"/>
      </w:r>
      <w:r>
        <w:rPr>
          <w:rStyle w:val="style85"/>
          <w:rFonts w:ascii="Arial" w:cs="Arial" w:hAnsi="Arial"/>
          <w:lang w:val="en-IN"/>
        </w:rPr>
        <w:t>https://www.tescoplc.com/media/ky0bfwpo/tesco_ar25_interactive.pdf</w:t>
      </w:r>
      <w:r>
        <w:rPr/>
        <w:fldChar w:fldCharType="end"/>
      </w:r>
      <w:r>
        <w:rPr>
          <w:rFonts w:ascii="Arial" w:cs="Arial" w:hAnsi="Arial"/>
          <w:lang w:val="en-IN"/>
        </w:rPr>
        <w:t xml:space="preserve"> [Accessed 7 July 2026].</w:t>
      </w:r>
    </w:p>
    <w:p w14:paraId="6E0F4CDB">
      <w:pPr>
        <w:pStyle w:val="style0"/>
        <w:spacing w:lineRule="auto" w:line="360"/>
        <w:ind w:left="567" w:hanging="567"/>
        <w:jc w:val="both"/>
        <w:rPr>
          <w:rFonts w:ascii="Arial" w:cs="Arial" w:hAnsi="Arial"/>
          <w:lang w:val="en-IN"/>
        </w:rPr>
      </w:pPr>
      <w:r>
        <w:rPr>
          <w:rFonts w:ascii="Arial" w:cs="Arial" w:hAnsi="Arial"/>
          <w:lang w:val="en-IN"/>
        </w:rPr>
        <w:t xml:space="preserve">Tesco PLC (2026a). </w:t>
      </w:r>
      <w:r>
        <w:rPr>
          <w:rFonts w:ascii="Arial" w:cs="Arial" w:hAnsi="Arial"/>
          <w:i/>
          <w:iCs/>
          <w:lang w:val="en-IN"/>
        </w:rPr>
        <w:t>Preliminary Results 2025/26</w:t>
      </w:r>
      <w:r>
        <w:rPr>
          <w:rFonts w:ascii="Arial" w:cs="Arial" w:hAnsi="Arial"/>
          <w:lang w:val="en-IN"/>
        </w:rPr>
        <w:t xml:space="preserve">. [online] Available at: </w:t>
      </w:r>
      <w:r>
        <w:rPr/>
        <w:fldChar w:fldCharType="begin"/>
      </w:r>
      <w:r>
        <w:instrText xml:space="preserve"> HYPERLINK "https://www.tescoplc.com/media/ch1fbgss/tesco-plc-preliminary-results-statement-fy26.pdf" </w:instrText>
      </w:r>
      <w:r>
        <w:rPr/>
        <w:fldChar w:fldCharType="separate"/>
      </w:r>
      <w:r>
        <w:rPr>
          <w:rStyle w:val="style85"/>
          <w:rFonts w:ascii="Arial" w:cs="Arial" w:hAnsi="Arial"/>
          <w:lang w:val="en-IN"/>
        </w:rPr>
        <w:t>https://www.tescoplc.com/media/ch1fbgss/tesco-plc-preliminary-results-statement-fy26.pdf</w:t>
      </w:r>
      <w:r>
        <w:rPr/>
        <w:fldChar w:fldCharType="end"/>
      </w:r>
      <w:r>
        <w:rPr>
          <w:rFonts w:ascii="Arial" w:cs="Arial" w:hAnsi="Arial"/>
          <w:lang w:val="en-IN"/>
        </w:rPr>
        <w:t xml:space="preserve"> [Accessed 18 July 2026].</w:t>
      </w:r>
    </w:p>
    <w:p w14:paraId="5C046538">
      <w:pPr>
        <w:pStyle w:val="style0"/>
        <w:spacing w:lineRule="auto" w:line="360"/>
        <w:ind w:left="567" w:hanging="567"/>
        <w:jc w:val="both"/>
        <w:rPr>
          <w:rFonts w:ascii="Arial" w:cs="Arial" w:hAnsi="Arial"/>
          <w:lang w:val="en-IN"/>
        </w:rPr>
      </w:pPr>
      <w:r>
        <w:rPr>
          <w:rFonts w:ascii="Arial" w:cs="Arial" w:hAnsi="Arial"/>
          <w:lang w:val="en-IN"/>
        </w:rPr>
        <w:t xml:space="preserve">Tesco PLC (2026b). </w:t>
      </w:r>
      <w:r>
        <w:rPr>
          <w:rFonts w:ascii="Arial" w:cs="Arial" w:hAnsi="Arial"/>
          <w:i/>
          <w:iCs/>
          <w:lang w:val="en-IN"/>
        </w:rPr>
        <w:t>Our Sustainability Report 2025/26</w:t>
      </w:r>
      <w:r>
        <w:rPr>
          <w:rFonts w:ascii="Arial" w:cs="Arial" w:hAnsi="Arial"/>
          <w:lang w:val="en-IN"/>
        </w:rPr>
        <w:t xml:space="preserve">. [online] Available at: </w:t>
      </w:r>
      <w:r>
        <w:rPr/>
        <w:fldChar w:fldCharType="begin"/>
      </w:r>
      <w:r>
        <w:instrText xml:space="preserve"> HYPERLINK "https://www.tescoplc.com/media/yjmlhji0/tesco-sustainability-report-2026.pdf" </w:instrText>
      </w:r>
      <w:r>
        <w:rPr/>
        <w:fldChar w:fldCharType="separate"/>
      </w:r>
      <w:r>
        <w:rPr>
          <w:rStyle w:val="style85"/>
          <w:rFonts w:ascii="Arial" w:cs="Arial" w:hAnsi="Arial"/>
          <w:lang w:val="en-IN"/>
        </w:rPr>
        <w:t>https://www.tescoplc.com/media/yjmlhji0/tesco-sustainability-report-2026.pdf</w:t>
      </w:r>
      <w:r>
        <w:rPr/>
        <w:fldChar w:fldCharType="end"/>
      </w:r>
      <w:r>
        <w:rPr>
          <w:rFonts w:ascii="Arial" w:cs="Arial" w:hAnsi="Arial"/>
          <w:lang w:val="en-IN"/>
        </w:rPr>
        <w:t xml:space="preserve"> [Accessed 18 July 2026].</w:t>
      </w:r>
    </w:p>
    <w:p w14:paraId="2FABF255">
      <w:pPr>
        <w:pStyle w:val="style0"/>
        <w:spacing w:lineRule="auto" w:line="360"/>
        <w:ind w:left="567" w:hanging="567"/>
        <w:jc w:val="both"/>
        <w:rPr>
          <w:rFonts w:ascii="Arial" w:cs="Arial" w:hAnsi="Arial"/>
          <w:lang w:val="en-IN"/>
        </w:rPr>
      </w:pPr>
      <w:r>
        <w:rPr>
          <w:rFonts w:ascii="Arial" w:cs="Arial" w:hAnsi="Arial"/>
          <w:lang w:val="en-IN"/>
        </w:rPr>
        <w:t xml:space="preserve">Tesco’s competitive strategy evaluation. (2018). [online] </w:t>
      </w:r>
      <w:r>
        <w:rPr>
          <w:rFonts w:ascii="Arial" w:cs="Arial" w:hAnsi="Arial"/>
          <w:i/>
          <w:iCs/>
          <w:lang w:val="en-IN"/>
        </w:rPr>
        <w:t>Home of Dissertations</w:t>
      </w:r>
      <w:r>
        <w:rPr>
          <w:rFonts w:ascii="Arial" w:cs="Arial" w:hAnsi="Arial"/>
          <w:lang w:val="en-IN"/>
        </w:rPr>
        <w:t>. Available at: https://www.dissertationhomework.com/samples/assignment-essay-samples/strategic-management/tescos-strategy-in-global-retail [Accessed 19 July 2026].</w:t>
      </w:r>
    </w:p>
    <w:p w14:paraId="4F868A2D">
      <w:pPr>
        <w:pStyle w:val="style0"/>
        <w:spacing w:lineRule="auto" w:line="360"/>
        <w:ind w:left="567" w:hanging="567"/>
        <w:jc w:val="both"/>
        <w:rPr>
          <w:rFonts w:ascii="Arial" w:cs="Arial" w:hAnsi="Arial"/>
          <w:lang w:val="en-IN"/>
        </w:rPr>
      </w:pPr>
    </w:p>
    <w:p w14:paraId="4888B290">
      <w:pPr>
        <w:pStyle w:val="style0"/>
        <w:spacing w:lineRule="auto" w:line="360"/>
        <w:ind w:left="567" w:hanging="567"/>
        <w:jc w:val="both"/>
        <w:rPr>
          <w:rFonts w:ascii="Arial" w:cs="Arial" w:hAnsi="Arial"/>
        </w:rPr>
      </w:pPr>
    </w:p>
    <w:p w14:paraId="364BAB1D">
      <w:pPr>
        <w:pStyle w:val="style0"/>
        <w:spacing w:lineRule="auto" w:line="360"/>
        <w:ind w:left="567" w:hanging="567"/>
        <w:jc w:val="both"/>
        <w:rPr>
          <w:rFonts w:ascii="Arial" w:cs="Arial" w:hAnsi="Arial"/>
          <w:lang w:val="en-IN"/>
        </w:rPr>
      </w:pPr>
    </w:p>
    <w:p w14:paraId="7F5F3EB1">
      <w:pPr>
        <w:pStyle w:val="style0"/>
        <w:spacing w:lineRule="auto" w:line="360"/>
        <w:ind w:left="567" w:hanging="567"/>
        <w:jc w:val="both"/>
        <w:rPr>
          <w:rFonts w:ascii="Arial" w:cs="Arial" w:hAnsi="Arial"/>
          <w:lang w:val="en-IN"/>
        </w:rPr>
      </w:pPr>
    </w:p>
    <w:p w14:paraId="27D5C79C">
      <w:pPr>
        <w:pStyle w:val="style0"/>
        <w:spacing w:lineRule="auto" w:line="360"/>
        <w:rPr>
          <w:rFonts w:ascii="Arial" w:cs="Arial" w:hAnsi="Arial"/>
        </w:rPr>
      </w:pPr>
    </w:p>
    <w:p w14:paraId="55425D8C">
      <w:pPr>
        <w:pStyle w:val="style0"/>
        <w:spacing w:lineRule="auto" w:line="360"/>
        <w:rPr>
          <w:rFonts w:ascii="Arial" w:cs="Arial" w:hAnsi="Arial"/>
        </w:rPr>
      </w:pPr>
    </w:p>
    <w:p w14:paraId="3B42AC72">
      <w:pPr>
        <w:pStyle w:val="style0"/>
        <w:spacing w:lineRule="auto" w:line="360"/>
        <w:rPr>
          <w:rFonts w:ascii="Arial" w:cs="Arial" w:hAnsi="Arial"/>
        </w:rPr>
      </w:pPr>
    </w:p>
    <w:p w14:paraId="673C76B5">
      <w:pPr>
        <w:pStyle w:val="style0"/>
        <w:spacing w:lineRule="auto" w:line="360"/>
        <w:rPr>
          <w:rFonts w:ascii="Arial" w:cs="Arial" w:hAnsi="Arial"/>
        </w:rPr>
      </w:pPr>
    </w:p>
    <w:p w14:paraId="20705C70">
      <w:pPr>
        <w:pStyle w:val="style0"/>
        <w:rPr>
          <w:rStyle w:val="style4098"/>
          <w:rFonts w:cs="Arial"/>
        </w:rPr>
      </w:pPr>
      <w:r>
        <w:rPr>
          <w:rStyle w:val="style4098"/>
          <w:rFonts w:cs="Arial"/>
        </w:rPr>
        <w:br w:type="page"/>
      </w:r>
    </w:p>
    <w:bookmarkStart w:id="26" w:name="_Toc237433651"/>
    <w:p w14:paraId="10246C57">
      <w:pPr>
        <w:pStyle w:val="style0"/>
        <w:spacing w:lineRule="auto" w:line="360"/>
        <w:rPr>
          <w:rFonts w:ascii="Arial" w:cs="Arial" w:hAnsi="Arial"/>
        </w:rPr>
      </w:pPr>
      <w:r>
        <w:rPr>
          <w:rStyle w:val="style4098"/>
          <w:rFonts w:cs="Arial"/>
        </w:rPr>
        <w:t>Appendix</w:t>
      </w:r>
      <w:bookmarkEnd w:id="26"/>
      <w:r>
        <w:rPr>
          <w:rFonts w:ascii="Arial" w:cs="Arial" w:hAnsi="Arial"/>
        </w:rPr>
        <w:t xml:space="preserve"> (if any) </w:t>
      </w:r>
    </w:p>
    <w:bookmarkStart w:id="27" w:name="_Toc237433652"/>
    <w:p w14:paraId="0EC0A639">
      <w:pPr>
        <w:pStyle w:val="style2"/>
        <w:rPr>
          <w:rFonts w:cs="Arial"/>
        </w:rPr>
      </w:pPr>
      <w:r>
        <w:rPr>
          <w:rFonts w:cs="Arial"/>
        </w:rPr>
        <w:t>Appendix 1</w:t>
      </w:r>
      <w:r>
        <w:rPr>
          <w:rFonts w:cs="Arial"/>
        </w:rPr>
        <w:t xml:space="preserve">: </w:t>
      </w:r>
      <w:r>
        <w:rPr>
          <w:rFonts w:cs="Arial"/>
        </w:rPr>
        <w:t>VIRO ANALYSIS TABLE</w:t>
      </w:r>
      <w:bookmarkEnd w:id="27"/>
      <w:r>
        <w:rPr>
          <w:rFonts w:cs="Arial"/>
        </w:rPr>
        <w:t xml:space="preserve"> </w:t>
      </w:r>
    </w:p>
    <w:tbl>
      <w:tblPr>
        <w:tblW w:w="0" w:type="auto"/>
        <w:tblLook w:val="04A0" w:firstRow="1" w:lastRow="0" w:firstColumn="1" w:lastColumn="0" w:noHBand="0" w:noVBand="1"/>
      </w:tblPr>
      <w:tblGrid>
        <w:gridCol w:w="2632"/>
        <w:gridCol w:w="1203"/>
        <w:gridCol w:w="759"/>
        <w:gridCol w:w="1141"/>
        <w:gridCol w:w="1373"/>
        <w:gridCol w:w="1913"/>
      </w:tblGrid>
      <w:tr w14:paraId="6686C6E3">
        <w:trPr>
          <w:trHeight w:val="630" w:hRule="atLeast"/>
        </w:trPr>
        <w:tc>
          <w:tcPr>
            <w:tcW w:w="0" w:type="auto"/>
            <w:tcBorders>
              <w:top w:val="single" w:sz="8" w:space="0" w:color="auto"/>
              <w:left w:val="single" w:sz="8" w:space="0" w:color="auto"/>
              <w:bottom w:val="single" w:sz="8" w:space="0" w:color="auto"/>
              <w:right w:val="single" w:sz="8" w:space="0" w:color="auto"/>
            </w:tcBorders>
            <w:vAlign w:val="center"/>
            <w:hideMark/>
          </w:tcPr>
          <w:p w14:paraId="4FAB2807">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Strategic Resource / Capability</w:t>
            </w:r>
          </w:p>
        </w:tc>
        <w:tc>
          <w:tcPr>
            <w:tcW w:w="0" w:type="auto"/>
            <w:tcBorders>
              <w:top w:val="single" w:sz="8" w:space="0" w:color="auto"/>
              <w:left w:val="nil"/>
              <w:bottom w:val="single" w:sz="8" w:space="0" w:color="auto"/>
              <w:right w:val="single" w:sz="8" w:space="0" w:color="auto"/>
            </w:tcBorders>
            <w:vAlign w:val="center"/>
            <w:hideMark/>
          </w:tcPr>
          <w:p w14:paraId="742B623E">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Valuable (V)</w:t>
            </w:r>
          </w:p>
        </w:tc>
        <w:tc>
          <w:tcPr>
            <w:tcW w:w="0" w:type="auto"/>
            <w:tcBorders>
              <w:top w:val="single" w:sz="8" w:space="0" w:color="auto"/>
              <w:left w:val="nil"/>
              <w:bottom w:val="single" w:sz="8" w:space="0" w:color="auto"/>
              <w:right w:val="single" w:sz="8" w:space="0" w:color="auto"/>
            </w:tcBorders>
            <w:vAlign w:val="center"/>
            <w:hideMark/>
          </w:tcPr>
          <w:p w14:paraId="3F64CC39">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Rare (R)</w:t>
            </w:r>
          </w:p>
        </w:tc>
        <w:tc>
          <w:tcPr>
            <w:tcW w:w="0" w:type="auto"/>
            <w:tcBorders>
              <w:top w:val="single" w:sz="8" w:space="0" w:color="auto"/>
              <w:left w:val="nil"/>
              <w:bottom w:val="single" w:sz="8" w:space="0" w:color="auto"/>
              <w:right w:val="single" w:sz="8" w:space="0" w:color="auto"/>
            </w:tcBorders>
            <w:vAlign w:val="center"/>
            <w:hideMark/>
          </w:tcPr>
          <w:p w14:paraId="18FB8F89">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Costly to Imitate (I)</w:t>
            </w:r>
          </w:p>
        </w:tc>
        <w:tc>
          <w:tcPr>
            <w:tcW w:w="0" w:type="auto"/>
            <w:tcBorders>
              <w:top w:val="single" w:sz="8" w:space="0" w:color="auto"/>
              <w:left w:val="nil"/>
              <w:bottom w:val="single" w:sz="8" w:space="0" w:color="auto"/>
              <w:right w:val="single" w:sz="8" w:space="0" w:color="auto"/>
            </w:tcBorders>
            <w:vAlign w:val="center"/>
            <w:hideMark/>
          </w:tcPr>
          <w:p w14:paraId="05BE32AC">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Organised (O)</w:t>
            </w:r>
          </w:p>
        </w:tc>
        <w:tc>
          <w:tcPr>
            <w:tcW w:w="0" w:type="auto"/>
            <w:tcBorders>
              <w:top w:val="single" w:sz="8" w:space="0" w:color="auto"/>
              <w:left w:val="nil"/>
              <w:bottom w:val="single" w:sz="8" w:space="0" w:color="auto"/>
              <w:right w:val="single" w:sz="8" w:space="0" w:color="auto"/>
            </w:tcBorders>
            <w:vAlign w:val="center"/>
            <w:hideMark/>
          </w:tcPr>
          <w:p w14:paraId="6CAA90ED">
            <w:pPr>
              <w:pStyle w:val="style0"/>
              <w:spacing w:after="0" w:lineRule="auto" w:line="360"/>
              <w:rPr>
                <w:rFonts w:ascii="Arial" w:cs="Arial" w:eastAsia="Times New Roman" w:hAnsi="Arial"/>
                <w:b/>
                <w:bCs/>
                <w:i/>
                <w:iCs/>
                <w:noProof w:val="false"/>
                <w:color w:val="000000"/>
                <w:szCs w:val="24"/>
                <w:lang w:val="en-IN" w:eastAsia="en-IN"/>
              </w:rPr>
            </w:pPr>
            <w:r>
              <w:rPr>
                <w:rFonts w:ascii="Arial" w:cs="Arial" w:eastAsia="Times New Roman" w:hAnsi="Arial"/>
                <w:b/>
                <w:bCs/>
                <w:i/>
                <w:iCs/>
                <w:noProof w:val="false"/>
                <w:color w:val="000000"/>
                <w:szCs w:val="24"/>
                <w:lang w:val="en-IN" w:eastAsia="ja-JP"/>
              </w:rPr>
              <w:t>Competitive Implication</w:t>
            </w:r>
          </w:p>
        </w:tc>
      </w:tr>
      <w:tr w14:paraId="5E0D717C">
        <w:tblPrEx/>
        <w:trPr>
          <w:trHeight w:val="1250" w:hRule="atLeast"/>
        </w:trPr>
        <w:tc>
          <w:tcPr>
            <w:tcW w:w="0" w:type="auto"/>
            <w:tcBorders>
              <w:top w:val="nil"/>
              <w:left w:val="single" w:sz="8" w:space="0" w:color="auto"/>
              <w:bottom w:val="single" w:sz="8" w:space="0" w:color="auto"/>
              <w:right w:val="single" w:sz="8" w:space="0" w:color="auto"/>
            </w:tcBorders>
            <w:vAlign w:val="center"/>
            <w:hideMark/>
          </w:tcPr>
          <w:p w14:paraId="5B88D6CB">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Clubcard customer database &amp; retail media platform (20+ million members)</w:t>
            </w:r>
          </w:p>
        </w:tc>
        <w:tc>
          <w:tcPr>
            <w:tcW w:w="0" w:type="auto"/>
            <w:tcBorders>
              <w:top w:val="nil"/>
              <w:left w:val="nil"/>
              <w:bottom w:val="single" w:sz="8" w:space="0" w:color="auto"/>
              <w:right w:val="single" w:sz="8" w:space="0" w:color="auto"/>
            </w:tcBorders>
            <w:vAlign w:val="center"/>
            <w:hideMark/>
          </w:tcPr>
          <w:p w14:paraId="2BA50BE7">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75C674CE">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597C0582">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05EC440A">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53FAF81E">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Sustained Competitive Advantage</w:t>
            </w:r>
          </w:p>
        </w:tc>
      </w:tr>
      <w:tr w14:paraId="48F18124">
        <w:tblPrEx/>
        <w:trPr>
          <w:trHeight w:val="940" w:hRule="atLeast"/>
        </w:trPr>
        <w:tc>
          <w:tcPr>
            <w:tcW w:w="0" w:type="auto"/>
            <w:tcBorders>
              <w:top w:val="nil"/>
              <w:left w:val="single" w:sz="8" w:space="0" w:color="auto"/>
              <w:bottom w:val="single" w:sz="8" w:space="0" w:color="auto"/>
              <w:right w:val="single" w:sz="8" w:space="0" w:color="auto"/>
            </w:tcBorders>
            <w:vAlign w:val="center"/>
            <w:hideMark/>
          </w:tcPr>
          <w:p w14:paraId="44C7930A">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Brand reputation and customer trust</w:t>
            </w:r>
          </w:p>
        </w:tc>
        <w:tc>
          <w:tcPr>
            <w:tcW w:w="0" w:type="auto"/>
            <w:tcBorders>
              <w:top w:val="nil"/>
              <w:left w:val="nil"/>
              <w:bottom w:val="single" w:sz="8" w:space="0" w:color="auto"/>
              <w:right w:val="single" w:sz="8" w:space="0" w:color="auto"/>
            </w:tcBorders>
            <w:vAlign w:val="center"/>
            <w:hideMark/>
          </w:tcPr>
          <w:p w14:paraId="3760BD2D">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15463952">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211CDB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00CBD0B">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3BD1C3F">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Sustained Competitive Advantage</w:t>
            </w:r>
          </w:p>
        </w:tc>
      </w:tr>
      <w:tr w14:paraId="45318541">
        <w:tblPrEx/>
        <w:trPr>
          <w:trHeight w:val="940" w:hRule="atLeast"/>
        </w:trPr>
        <w:tc>
          <w:tcPr>
            <w:tcW w:w="0" w:type="auto"/>
            <w:tcBorders>
              <w:top w:val="nil"/>
              <w:left w:val="single" w:sz="8" w:space="0" w:color="auto"/>
              <w:bottom w:val="single" w:sz="8" w:space="0" w:color="auto"/>
              <w:right w:val="single" w:sz="8" w:space="0" w:color="auto"/>
            </w:tcBorders>
            <w:vAlign w:val="center"/>
            <w:hideMark/>
          </w:tcPr>
          <w:p w14:paraId="73F41D43">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Own-brand portfolio (Tesco Finest &amp; Private Label)</w:t>
            </w:r>
          </w:p>
        </w:tc>
        <w:tc>
          <w:tcPr>
            <w:tcW w:w="0" w:type="auto"/>
            <w:tcBorders>
              <w:top w:val="nil"/>
              <w:left w:val="nil"/>
              <w:bottom w:val="single" w:sz="8" w:space="0" w:color="auto"/>
              <w:right w:val="single" w:sz="8" w:space="0" w:color="auto"/>
            </w:tcBorders>
            <w:vAlign w:val="center"/>
            <w:hideMark/>
          </w:tcPr>
          <w:p w14:paraId="771395B6">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563696B">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11D002EB">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740CAB1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250B7FC6">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Sustained Competitive Advantage</w:t>
            </w:r>
          </w:p>
        </w:tc>
      </w:tr>
      <w:tr w14:paraId="4E91A304">
        <w:tblPrEx/>
        <w:trPr>
          <w:trHeight w:val="940" w:hRule="atLeast"/>
        </w:trPr>
        <w:tc>
          <w:tcPr>
            <w:tcW w:w="0" w:type="auto"/>
            <w:tcBorders>
              <w:top w:val="nil"/>
              <w:left w:val="single" w:sz="8" w:space="0" w:color="auto"/>
              <w:bottom w:val="single" w:sz="8" w:space="0" w:color="auto"/>
              <w:right w:val="single" w:sz="8" w:space="0" w:color="auto"/>
            </w:tcBorders>
            <w:vAlign w:val="center"/>
            <w:hideMark/>
          </w:tcPr>
          <w:p w14:paraId="17D1DC8B">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Integrated UK store network and Booker wholesale business</w:t>
            </w:r>
          </w:p>
        </w:tc>
        <w:tc>
          <w:tcPr>
            <w:tcW w:w="0" w:type="auto"/>
            <w:tcBorders>
              <w:top w:val="nil"/>
              <w:left w:val="nil"/>
              <w:bottom w:val="single" w:sz="8" w:space="0" w:color="auto"/>
              <w:right w:val="single" w:sz="8" w:space="0" w:color="auto"/>
            </w:tcBorders>
            <w:vAlign w:val="center"/>
            <w:hideMark/>
          </w:tcPr>
          <w:p w14:paraId="6906706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3711EF56">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61795A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11D3FDBC">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0CB9CA46">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Temporary Competitive Advantage</w:t>
            </w:r>
          </w:p>
        </w:tc>
      </w:tr>
      <w:tr w14:paraId="5E63ECC6">
        <w:tblPrEx/>
        <w:trPr>
          <w:trHeight w:val="1250" w:hRule="atLeast"/>
        </w:trPr>
        <w:tc>
          <w:tcPr>
            <w:tcW w:w="0" w:type="auto"/>
            <w:tcBorders>
              <w:top w:val="nil"/>
              <w:left w:val="single" w:sz="8" w:space="0" w:color="auto"/>
              <w:bottom w:val="single" w:sz="8" w:space="0" w:color="auto"/>
              <w:right w:val="single" w:sz="8" w:space="0" w:color="auto"/>
            </w:tcBorders>
            <w:vAlign w:val="center"/>
            <w:hideMark/>
          </w:tcPr>
          <w:p w14:paraId="4427A426">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Omnichannel retailing (Online Grocery &amp; Whoosh Delivery)</w:t>
            </w:r>
          </w:p>
        </w:tc>
        <w:tc>
          <w:tcPr>
            <w:tcW w:w="0" w:type="auto"/>
            <w:tcBorders>
              <w:top w:val="nil"/>
              <w:left w:val="nil"/>
              <w:bottom w:val="single" w:sz="8" w:space="0" w:color="auto"/>
              <w:right w:val="single" w:sz="8" w:space="0" w:color="auto"/>
            </w:tcBorders>
            <w:vAlign w:val="center"/>
            <w:hideMark/>
          </w:tcPr>
          <w:p w14:paraId="3FD11B86">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5419B5BA">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795D766F">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119586AC">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305C4230">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Competitive Parity / Temporary Advantage</w:t>
            </w:r>
          </w:p>
        </w:tc>
      </w:tr>
      <w:tr w14:paraId="17428340">
        <w:tblPrEx/>
        <w:trPr>
          <w:trHeight w:val="630" w:hRule="atLeast"/>
        </w:trPr>
        <w:tc>
          <w:tcPr>
            <w:tcW w:w="0" w:type="auto"/>
            <w:tcBorders>
              <w:top w:val="nil"/>
              <w:left w:val="single" w:sz="8" w:space="0" w:color="auto"/>
              <w:bottom w:val="single" w:sz="8" w:space="0" w:color="auto"/>
              <w:right w:val="single" w:sz="8" w:space="0" w:color="auto"/>
            </w:tcBorders>
            <w:vAlign w:val="center"/>
            <w:hideMark/>
          </w:tcPr>
          <w:p w14:paraId="3A7F50C1">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Supply chain economies of scale</w:t>
            </w:r>
          </w:p>
        </w:tc>
        <w:tc>
          <w:tcPr>
            <w:tcW w:w="0" w:type="auto"/>
            <w:tcBorders>
              <w:top w:val="nil"/>
              <w:left w:val="nil"/>
              <w:bottom w:val="single" w:sz="8" w:space="0" w:color="auto"/>
              <w:right w:val="single" w:sz="8" w:space="0" w:color="auto"/>
            </w:tcBorders>
            <w:vAlign w:val="center"/>
            <w:hideMark/>
          </w:tcPr>
          <w:p w14:paraId="4149DA6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94B5BAF">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6B091500">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56778554">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4242C9BF">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Competitive Parity</w:t>
            </w:r>
          </w:p>
        </w:tc>
      </w:tr>
      <w:tr w14:paraId="53758FE2">
        <w:tblPrEx/>
        <w:trPr>
          <w:trHeight w:val="940" w:hRule="atLeast"/>
        </w:trPr>
        <w:tc>
          <w:tcPr>
            <w:tcW w:w="0" w:type="auto"/>
            <w:tcBorders>
              <w:top w:val="nil"/>
              <w:left w:val="single" w:sz="8" w:space="0" w:color="auto"/>
              <w:bottom w:val="single" w:sz="8" w:space="0" w:color="auto"/>
              <w:right w:val="single" w:sz="8" w:space="0" w:color="auto"/>
            </w:tcBorders>
            <w:vAlign w:val="center"/>
            <w:hideMark/>
          </w:tcPr>
          <w:p w14:paraId="6DB1E013">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Data analytics and AI-driven personalisation capability</w:t>
            </w:r>
          </w:p>
        </w:tc>
        <w:tc>
          <w:tcPr>
            <w:tcW w:w="0" w:type="auto"/>
            <w:tcBorders>
              <w:top w:val="nil"/>
              <w:left w:val="nil"/>
              <w:bottom w:val="single" w:sz="8" w:space="0" w:color="auto"/>
              <w:right w:val="single" w:sz="8" w:space="0" w:color="auto"/>
            </w:tcBorders>
            <w:vAlign w:val="center"/>
            <w:hideMark/>
          </w:tcPr>
          <w:p w14:paraId="5BEE3116">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5BDE0051">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6EBF0FC5">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32CCEB6F">
            <w:pPr>
              <w:pStyle w:val="style0"/>
              <w:spacing w:after="0" w:lineRule="auto" w:line="360"/>
              <w:rPr>
                <w:rFonts w:ascii="Arial" w:cs="Arial" w:eastAsia="Times New Roman" w:hAnsi="Arial"/>
                <w:i/>
                <w:iCs/>
                <w:noProof w:val="false"/>
                <w:color w:val="000000"/>
                <w:szCs w:val="24"/>
                <w:lang w:val="en-IN" w:eastAsia="en-IN"/>
              </w:rPr>
            </w:pPr>
            <w:r>
              <w:rPr>
                <w:rFonts w:ascii="Segoe UI Symbol" w:cs="Segoe UI Symbol" w:eastAsia="Times New Roman" w:hAnsi="Segoe UI Symbol"/>
                <w:i/>
                <w:iCs/>
                <w:noProof w:val="false"/>
                <w:color w:val="000000"/>
                <w:szCs w:val="24"/>
                <w:lang w:val="en-IN" w:eastAsia="en-IN"/>
              </w:rPr>
              <w:t>✓</w:t>
            </w:r>
          </w:p>
        </w:tc>
        <w:tc>
          <w:tcPr>
            <w:tcW w:w="0" w:type="auto"/>
            <w:tcBorders>
              <w:top w:val="nil"/>
              <w:left w:val="nil"/>
              <w:bottom w:val="single" w:sz="8" w:space="0" w:color="auto"/>
              <w:right w:val="single" w:sz="8" w:space="0" w:color="auto"/>
            </w:tcBorders>
            <w:vAlign w:val="center"/>
            <w:hideMark/>
          </w:tcPr>
          <w:p w14:paraId="7A70C654">
            <w:pPr>
              <w:pStyle w:val="style0"/>
              <w:spacing w:after="0" w:lineRule="auto" w:line="360"/>
              <w:rPr>
                <w:rFonts w:ascii="Arial" w:cs="Arial" w:eastAsia="Times New Roman" w:hAnsi="Arial"/>
                <w:i/>
                <w:iCs/>
                <w:noProof w:val="false"/>
                <w:color w:val="000000"/>
                <w:szCs w:val="24"/>
                <w:lang w:val="en-IN" w:eastAsia="en-IN"/>
              </w:rPr>
            </w:pPr>
            <w:r>
              <w:rPr>
                <w:rFonts w:ascii="Arial" w:cs="Arial" w:eastAsia="Times New Roman" w:hAnsi="Arial"/>
                <w:i/>
                <w:iCs/>
                <w:noProof w:val="false"/>
                <w:color w:val="000000"/>
                <w:szCs w:val="24"/>
                <w:lang w:val="en-IN" w:eastAsia="ja-JP"/>
              </w:rPr>
              <w:t>Sustained Competitive Advantage</w:t>
            </w:r>
          </w:p>
        </w:tc>
      </w:tr>
    </w:tbl>
    <w:p w14:paraId="594D8AAF">
      <w:pPr>
        <w:pStyle w:val="style0"/>
        <w:tabs>
          <w:tab w:val="left" w:leader="none" w:pos="214"/>
        </w:tabs>
        <w:rPr>
          <w:rFonts w:ascii="Arial" w:cs="Arial" w:hAnsi="Arial"/>
          <w:lang w:eastAsia="ja-JP"/>
        </w:rPr>
      </w:pPr>
    </w:p>
    <w:p w14:paraId="181404C2">
      <w:pPr>
        <w:pStyle w:val="style0"/>
        <w:rPr>
          <w:rFonts w:ascii="Arial" w:cs="Arial" w:eastAsia="宋体" w:hAnsi="Arial"/>
          <w:b/>
          <w:color w:val="365f91"/>
          <w:szCs w:val="26"/>
          <w:lang w:eastAsia="ja-JP"/>
        </w:rPr>
      </w:pPr>
      <w:r>
        <w:rPr>
          <w:rFonts w:cs="Arial"/>
        </w:rPr>
        <w:br w:type="page"/>
      </w:r>
    </w:p>
    <w:bookmarkStart w:id="28" w:name="_Toc237433653"/>
    <w:p w14:paraId="514F7F0A">
      <w:pPr>
        <w:pStyle w:val="style2"/>
        <w:rPr>
          <w:rFonts w:cs="Arial"/>
        </w:rPr>
      </w:pPr>
      <w:r>
        <w:rPr>
          <w:rFonts w:cs="Arial"/>
        </w:rPr>
        <w:t xml:space="preserve">Appendix 2: </w:t>
      </w:r>
      <w:r>
        <w:rPr>
          <w:rFonts w:cs="Arial"/>
        </w:rPr>
        <w:t xml:space="preserve">Balanced Scorecard (Kaplan &amp; Norton, 1992) </w:t>
      </w:r>
      <w:r>
        <w:rPr>
          <w:rFonts w:cs="Arial"/>
        </w:rPr>
        <w:t>-</w:t>
      </w:r>
      <w:r>
        <w:rPr>
          <w:rFonts w:cs="Arial"/>
        </w:rPr>
        <w:t xml:space="preserve"> Tesco PLC</w:t>
      </w:r>
      <w:bookmarkEnd w:id="28"/>
    </w:p>
    <w:p w14:paraId="7F96A547">
      <w:pPr>
        <w:pStyle w:val="style0"/>
        <w:rPr>
          <w:rFonts w:ascii="Arial" w:cs="Arial" w:hAnsi="Arial"/>
          <w:lang w:eastAsia="ja-JP"/>
        </w:rPr>
      </w:pPr>
    </w:p>
    <w:tbl>
      <w:tblPr>
        <w:tblW w:w="10300" w:type="dxa"/>
        <w:tblLook w:val="04A0" w:firstRow="1" w:lastRow="0" w:firstColumn="1" w:lastColumn="0" w:noHBand="0" w:noVBand="1"/>
      </w:tblPr>
      <w:tblGrid>
        <w:gridCol w:w="2780"/>
        <w:gridCol w:w="2580"/>
        <w:gridCol w:w="2260"/>
        <w:gridCol w:w="2680"/>
      </w:tblGrid>
      <w:tr w14:paraId="714EE79B">
        <w:trPr>
          <w:trHeight w:val="560" w:hRule="atLeast"/>
        </w:trPr>
        <w:tc>
          <w:tcPr>
            <w:tcW w:w="2780" w:type="dxa"/>
            <w:vMerge w:val="restart"/>
            <w:tcBorders>
              <w:top w:val="single" w:sz="4" w:space="0" w:color="auto"/>
              <w:left w:val="single" w:sz="4" w:space="0" w:color="auto"/>
              <w:bottom w:val="single" w:sz="4" w:space="0" w:color="auto"/>
              <w:right w:val="single" w:sz="4" w:space="0" w:color="auto"/>
            </w:tcBorders>
            <w:vAlign w:val="center"/>
            <w:hideMark/>
          </w:tcPr>
          <w:p w14:paraId="55AAA49D">
            <w:pPr>
              <w:pStyle w:val="style0"/>
              <w:spacing w:after="0" w:lineRule="auto" w:line="360"/>
              <w:jc w:val="center"/>
              <w:rPr>
                <w:rFonts w:ascii="Arial" w:cs="Arial" w:eastAsia="Times New Roman" w:hAnsi="Arial"/>
                <w:b/>
                <w:bCs/>
                <w:i/>
                <w:iCs/>
                <w:noProof w:val="false"/>
                <w:color w:val="000000"/>
                <w:sz w:val="22"/>
                <w:lang w:val="en-IN" w:eastAsia="en-IN"/>
              </w:rPr>
            </w:pPr>
            <w:r>
              <w:rPr>
                <w:rFonts w:ascii="Arial" w:cs="Arial" w:eastAsia="Times New Roman" w:hAnsi="Arial"/>
                <w:b/>
                <w:bCs/>
                <w:i/>
                <w:iCs/>
                <w:noProof w:val="false"/>
                <w:color w:val="000000"/>
                <w:sz w:val="22"/>
                <w:lang w:val="en-IN" w:eastAsia="en-IN"/>
              </w:rPr>
              <w:t>How do we look to shareholders?</w:t>
            </w:r>
          </w:p>
        </w:tc>
        <w:tc>
          <w:tcPr>
            <w:tcW w:w="2580" w:type="dxa"/>
            <w:tcBorders>
              <w:top w:val="single" w:sz="4" w:space="0" w:color="auto"/>
              <w:left w:val="nil"/>
              <w:bottom w:val="single" w:sz="4" w:space="0" w:color="auto"/>
              <w:right w:val="single" w:sz="4" w:space="0" w:color="auto"/>
            </w:tcBorders>
            <w:vAlign w:val="center"/>
            <w:hideMark/>
          </w:tcPr>
          <w:p w14:paraId="0E79F04F">
            <w:pPr>
              <w:pStyle w:val="style0"/>
              <w:spacing w:after="0" w:lineRule="auto" w:line="360"/>
              <w:jc w:val="center"/>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Customer Perspective</w:t>
            </w:r>
          </w:p>
        </w:tc>
        <w:tc>
          <w:tcPr>
            <w:tcW w:w="2260" w:type="dxa"/>
            <w:tcBorders>
              <w:top w:val="single" w:sz="4" w:space="0" w:color="auto"/>
              <w:left w:val="nil"/>
              <w:bottom w:val="single" w:sz="4" w:space="0" w:color="auto"/>
              <w:right w:val="single" w:sz="4" w:space="0" w:color="auto"/>
            </w:tcBorders>
            <w:vAlign w:val="center"/>
            <w:hideMark/>
          </w:tcPr>
          <w:p w14:paraId="7704AEEF">
            <w:pPr>
              <w:pStyle w:val="style0"/>
              <w:spacing w:after="0" w:lineRule="auto" w:line="360"/>
              <w:jc w:val="center"/>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Internal Business Process Perspective</w:t>
            </w:r>
          </w:p>
        </w:tc>
        <w:tc>
          <w:tcPr>
            <w:tcW w:w="2680" w:type="dxa"/>
            <w:tcBorders>
              <w:top w:val="single" w:sz="4" w:space="0" w:color="auto"/>
              <w:left w:val="nil"/>
              <w:bottom w:val="single" w:sz="4" w:space="0" w:color="auto"/>
              <w:right w:val="single" w:sz="4" w:space="0" w:color="auto"/>
            </w:tcBorders>
            <w:vAlign w:val="center"/>
            <w:hideMark/>
          </w:tcPr>
          <w:p w14:paraId="09B7F56C">
            <w:pPr>
              <w:pStyle w:val="style0"/>
              <w:spacing w:after="0" w:lineRule="auto" w:line="360"/>
              <w:jc w:val="center"/>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Learning &amp; Growth Perspective</w:t>
            </w:r>
          </w:p>
        </w:tc>
      </w:tr>
      <w:tr w14:paraId="57F70DED">
        <w:tblPrEx/>
        <w:trPr>
          <w:trHeight w:val="560" w:hRule="atLeast"/>
        </w:trPr>
        <w:tc>
          <w:tcPr>
            <w:tcW w:w="2780" w:type="dxa"/>
            <w:vMerge w:val="continue"/>
            <w:tcBorders>
              <w:top w:val="single" w:sz="4" w:space="0" w:color="auto"/>
              <w:left w:val="single" w:sz="4" w:space="0" w:color="auto"/>
              <w:bottom w:val="single" w:sz="4" w:space="0" w:color="auto"/>
              <w:right w:val="single" w:sz="4" w:space="0" w:color="auto"/>
            </w:tcBorders>
            <w:vAlign w:val="center"/>
            <w:hideMark/>
          </w:tcPr>
          <w:p w14:paraId="7B180810">
            <w:pPr>
              <w:pStyle w:val="style0"/>
              <w:spacing w:after="0" w:lineRule="auto" w:line="360"/>
              <w:rPr>
                <w:rFonts w:ascii="Arial" w:cs="Arial" w:eastAsia="Times New Roman" w:hAnsi="Arial"/>
                <w:b/>
                <w:bCs/>
                <w:i/>
                <w:iCs/>
                <w:noProof w:val="false"/>
                <w:color w:val="000000"/>
                <w:sz w:val="22"/>
                <w:lang w:val="en-IN" w:eastAsia="en-IN"/>
              </w:rPr>
            </w:pPr>
          </w:p>
        </w:tc>
        <w:tc>
          <w:tcPr>
            <w:tcW w:w="2580" w:type="dxa"/>
            <w:tcBorders>
              <w:top w:val="nil"/>
              <w:left w:val="nil"/>
              <w:bottom w:val="single" w:sz="4" w:space="0" w:color="auto"/>
              <w:right w:val="single" w:sz="4" w:space="0" w:color="auto"/>
            </w:tcBorders>
            <w:vAlign w:val="center"/>
            <w:hideMark/>
          </w:tcPr>
          <w:p w14:paraId="63FA373C">
            <w:pPr>
              <w:pStyle w:val="style0"/>
              <w:spacing w:after="0" w:lineRule="auto" w:line="360"/>
              <w:jc w:val="center"/>
              <w:rPr>
                <w:rFonts w:ascii="Arial" w:cs="Arial" w:eastAsia="Times New Roman" w:hAnsi="Arial"/>
                <w:b/>
                <w:bCs/>
                <w:i/>
                <w:iCs/>
                <w:noProof w:val="false"/>
                <w:color w:val="000000"/>
                <w:sz w:val="22"/>
                <w:lang w:val="en-IN" w:eastAsia="en-IN"/>
              </w:rPr>
            </w:pPr>
            <w:r>
              <w:rPr>
                <w:rFonts w:ascii="Arial" w:cs="Arial" w:eastAsia="Times New Roman" w:hAnsi="Arial"/>
                <w:b/>
                <w:bCs/>
                <w:i/>
                <w:iCs/>
                <w:noProof w:val="false"/>
                <w:color w:val="000000"/>
                <w:sz w:val="22"/>
                <w:lang w:val="en-IN" w:eastAsia="en-IN"/>
              </w:rPr>
              <w:t>How do customers see us?</w:t>
            </w:r>
          </w:p>
        </w:tc>
        <w:tc>
          <w:tcPr>
            <w:tcW w:w="2260" w:type="dxa"/>
            <w:tcBorders>
              <w:top w:val="nil"/>
              <w:left w:val="nil"/>
              <w:bottom w:val="single" w:sz="4" w:space="0" w:color="auto"/>
              <w:right w:val="single" w:sz="4" w:space="0" w:color="auto"/>
            </w:tcBorders>
            <w:vAlign w:val="center"/>
            <w:hideMark/>
          </w:tcPr>
          <w:p w14:paraId="1125E885">
            <w:pPr>
              <w:pStyle w:val="style0"/>
              <w:spacing w:after="0" w:lineRule="auto" w:line="360"/>
              <w:jc w:val="center"/>
              <w:rPr>
                <w:rFonts w:ascii="Arial" w:cs="Arial" w:eastAsia="Times New Roman" w:hAnsi="Arial"/>
                <w:b/>
                <w:bCs/>
                <w:i/>
                <w:iCs/>
                <w:noProof w:val="false"/>
                <w:color w:val="000000"/>
                <w:sz w:val="22"/>
                <w:lang w:val="en-IN" w:eastAsia="en-IN"/>
              </w:rPr>
            </w:pPr>
            <w:r>
              <w:rPr>
                <w:rFonts w:ascii="Arial" w:cs="Arial" w:eastAsia="Times New Roman" w:hAnsi="Arial"/>
                <w:b/>
                <w:bCs/>
                <w:i/>
                <w:iCs/>
                <w:noProof w:val="false"/>
                <w:color w:val="000000"/>
                <w:sz w:val="22"/>
                <w:lang w:val="en-IN" w:eastAsia="en-IN"/>
              </w:rPr>
              <w:t>What must we excel at?</w:t>
            </w:r>
          </w:p>
        </w:tc>
        <w:tc>
          <w:tcPr>
            <w:tcW w:w="2680" w:type="dxa"/>
            <w:tcBorders>
              <w:top w:val="nil"/>
              <w:left w:val="nil"/>
              <w:bottom w:val="single" w:sz="4" w:space="0" w:color="auto"/>
              <w:right w:val="single" w:sz="4" w:space="0" w:color="auto"/>
            </w:tcBorders>
            <w:vAlign w:val="center"/>
            <w:hideMark/>
          </w:tcPr>
          <w:p w14:paraId="7655E31F">
            <w:pPr>
              <w:pStyle w:val="style0"/>
              <w:spacing w:after="0" w:lineRule="auto" w:line="360"/>
              <w:jc w:val="center"/>
              <w:rPr>
                <w:rFonts w:ascii="Arial" w:cs="Arial" w:eastAsia="Times New Roman" w:hAnsi="Arial"/>
                <w:b/>
                <w:bCs/>
                <w:i/>
                <w:iCs/>
                <w:noProof w:val="false"/>
                <w:color w:val="000000"/>
                <w:sz w:val="22"/>
                <w:lang w:val="en-IN" w:eastAsia="en-IN"/>
              </w:rPr>
            </w:pPr>
            <w:r>
              <w:rPr>
                <w:rFonts w:ascii="Arial" w:cs="Arial" w:eastAsia="Times New Roman" w:hAnsi="Arial"/>
                <w:b/>
                <w:bCs/>
                <w:i/>
                <w:iCs/>
                <w:noProof w:val="false"/>
                <w:color w:val="000000"/>
                <w:sz w:val="22"/>
                <w:lang w:val="en-IN" w:eastAsia="en-IN"/>
              </w:rPr>
              <w:t>Can we continue to improve?</w:t>
            </w:r>
          </w:p>
        </w:tc>
      </w:tr>
      <w:tr w14:paraId="7F0CD6B0">
        <w:tblPrEx/>
        <w:trPr>
          <w:trHeight w:val="290" w:hRule="atLeast"/>
        </w:trPr>
        <w:tc>
          <w:tcPr>
            <w:tcW w:w="2780" w:type="dxa"/>
            <w:tcBorders>
              <w:top w:val="nil"/>
              <w:left w:val="single" w:sz="4" w:space="0" w:color="auto"/>
              <w:bottom w:val="single" w:sz="4" w:space="0" w:color="auto"/>
              <w:right w:val="single" w:sz="4" w:space="0" w:color="auto"/>
            </w:tcBorders>
            <w:vAlign w:val="center"/>
            <w:hideMark/>
          </w:tcPr>
          <w:p w14:paraId="3BDE2C11">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Objective</w:t>
            </w:r>
          </w:p>
        </w:tc>
        <w:tc>
          <w:tcPr>
            <w:tcW w:w="2580" w:type="dxa"/>
            <w:tcBorders>
              <w:top w:val="nil"/>
              <w:left w:val="nil"/>
              <w:bottom w:val="single" w:sz="4" w:space="0" w:color="auto"/>
              <w:right w:val="single" w:sz="4" w:space="0" w:color="auto"/>
            </w:tcBorders>
            <w:vAlign w:val="center"/>
            <w:hideMark/>
          </w:tcPr>
          <w:p w14:paraId="554D6263">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Objective</w:t>
            </w:r>
          </w:p>
        </w:tc>
        <w:tc>
          <w:tcPr>
            <w:tcW w:w="2260" w:type="dxa"/>
            <w:tcBorders>
              <w:top w:val="nil"/>
              <w:left w:val="nil"/>
              <w:bottom w:val="single" w:sz="4" w:space="0" w:color="auto"/>
              <w:right w:val="single" w:sz="4" w:space="0" w:color="auto"/>
            </w:tcBorders>
            <w:vAlign w:val="center"/>
            <w:hideMark/>
          </w:tcPr>
          <w:p w14:paraId="14C4647B">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Objective</w:t>
            </w:r>
          </w:p>
        </w:tc>
        <w:tc>
          <w:tcPr>
            <w:tcW w:w="2680" w:type="dxa"/>
            <w:tcBorders>
              <w:top w:val="nil"/>
              <w:left w:val="nil"/>
              <w:bottom w:val="single" w:sz="4" w:space="0" w:color="auto"/>
              <w:right w:val="single" w:sz="4" w:space="0" w:color="auto"/>
            </w:tcBorders>
            <w:vAlign w:val="center"/>
            <w:hideMark/>
          </w:tcPr>
          <w:p w14:paraId="4D4F8778">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Objective</w:t>
            </w:r>
          </w:p>
        </w:tc>
      </w:tr>
      <w:tr w14:paraId="679D45ED">
        <w:tblPrEx/>
        <w:trPr>
          <w:trHeight w:val="840" w:hRule="atLeast"/>
        </w:trPr>
        <w:tc>
          <w:tcPr>
            <w:tcW w:w="2780" w:type="dxa"/>
            <w:tcBorders>
              <w:top w:val="nil"/>
              <w:left w:val="single" w:sz="4" w:space="0" w:color="auto"/>
              <w:bottom w:val="single" w:sz="4" w:space="0" w:color="auto"/>
              <w:right w:val="single" w:sz="4" w:space="0" w:color="auto"/>
            </w:tcBorders>
            <w:vAlign w:val="center"/>
            <w:hideMark/>
          </w:tcPr>
          <w:p w14:paraId="2A9524CF">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Improve profitability and shareholder value</w:t>
            </w:r>
          </w:p>
        </w:tc>
        <w:tc>
          <w:tcPr>
            <w:tcW w:w="2580" w:type="dxa"/>
            <w:tcBorders>
              <w:top w:val="nil"/>
              <w:left w:val="nil"/>
              <w:bottom w:val="single" w:sz="4" w:space="0" w:color="auto"/>
              <w:right w:val="single" w:sz="4" w:space="0" w:color="auto"/>
            </w:tcBorders>
            <w:vAlign w:val="center"/>
            <w:hideMark/>
          </w:tcPr>
          <w:p w14:paraId="36B1F13E">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Enhance customer satisfaction and loyalty</w:t>
            </w:r>
          </w:p>
        </w:tc>
        <w:tc>
          <w:tcPr>
            <w:tcW w:w="2260" w:type="dxa"/>
            <w:tcBorders>
              <w:top w:val="nil"/>
              <w:left w:val="nil"/>
              <w:bottom w:val="single" w:sz="4" w:space="0" w:color="auto"/>
              <w:right w:val="single" w:sz="4" w:space="0" w:color="auto"/>
            </w:tcBorders>
            <w:vAlign w:val="center"/>
            <w:hideMark/>
          </w:tcPr>
          <w:p w14:paraId="63809B68">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Improve operational efficiency and digital fulfilment</w:t>
            </w:r>
          </w:p>
        </w:tc>
        <w:tc>
          <w:tcPr>
            <w:tcW w:w="2680" w:type="dxa"/>
            <w:tcBorders>
              <w:top w:val="nil"/>
              <w:left w:val="nil"/>
              <w:bottom w:val="single" w:sz="4" w:space="0" w:color="auto"/>
              <w:right w:val="single" w:sz="4" w:space="0" w:color="auto"/>
            </w:tcBorders>
            <w:vAlign w:val="center"/>
            <w:hideMark/>
          </w:tcPr>
          <w:p w14:paraId="57D6D459">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Develop employee capability and innovation</w:t>
            </w:r>
          </w:p>
        </w:tc>
      </w:tr>
      <w:tr w14:paraId="64C98290">
        <w:tblPrEx/>
        <w:trPr>
          <w:trHeight w:val="290" w:hRule="atLeast"/>
        </w:trPr>
        <w:tc>
          <w:tcPr>
            <w:tcW w:w="2780" w:type="dxa"/>
            <w:tcBorders>
              <w:top w:val="nil"/>
              <w:left w:val="single" w:sz="4" w:space="0" w:color="auto"/>
              <w:bottom w:val="single" w:sz="4" w:space="0" w:color="auto"/>
              <w:right w:val="single" w:sz="4" w:space="0" w:color="auto"/>
            </w:tcBorders>
            <w:vAlign w:val="center"/>
            <w:hideMark/>
          </w:tcPr>
          <w:p w14:paraId="17908F02">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Measures</w:t>
            </w:r>
          </w:p>
        </w:tc>
        <w:tc>
          <w:tcPr>
            <w:tcW w:w="2580" w:type="dxa"/>
            <w:tcBorders>
              <w:top w:val="nil"/>
              <w:left w:val="nil"/>
              <w:bottom w:val="single" w:sz="4" w:space="0" w:color="auto"/>
              <w:right w:val="single" w:sz="4" w:space="0" w:color="auto"/>
            </w:tcBorders>
            <w:vAlign w:val="center"/>
            <w:hideMark/>
          </w:tcPr>
          <w:p w14:paraId="1FCB0783">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Measures</w:t>
            </w:r>
          </w:p>
        </w:tc>
        <w:tc>
          <w:tcPr>
            <w:tcW w:w="2260" w:type="dxa"/>
            <w:tcBorders>
              <w:top w:val="nil"/>
              <w:left w:val="nil"/>
              <w:bottom w:val="single" w:sz="4" w:space="0" w:color="auto"/>
              <w:right w:val="single" w:sz="4" w:space="0" w:color="auto"/>
            </w:tcBorders>
            <w:vAlign w:val="center"/>
            <w:hideMark/>
          </w:tcPr>
          <w:p w14:paraId="4AEBE084">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Measures</w:t>
            </w:r>
          </w:p>
        </w:tc>
        <w:tc>
          <w:tcPr>
            <w:tcW w:w="2680" w:type="dxa"/>
            <w:tcBorders>
              <w:top w:val="nil"/>
              <w:left w:val="nil"/>
              <w:bottom w:val="single" w:sz="4" w:space="0" w:color="auto"/>
              <w:right w:val="single" w:sz="4" w:space="0" w:color="auto"/>
            </w:tcBorders>
            <w:vAlign w:val="center"/>
            <w:hideMark/>
          </w:tcPr>
          <w:p w14:paraId="5610FD12">
            <w:pPr>
              <w:pStyle w:val="style0"/>
              <w:spacing w:after="0" w:lineRule="auto" w:line="360"/>
              <w:rPr>
                <w:rFonts w:ascii="Arial" w:cs="Arial" w:eastAsia="Times New Roman" w:hAnsi="Arial"/>
                <w:b/>
                <w:bCs/>
                <w:noProof w:val="false"/>
                <w:color w:val="000000"/>
                <w:sz w:val="22"/>
                <w:lang w:val="en-IN" w:eastAsia="en-IN"/>
              </w:rPr>
            </w:pPr>
            <w:r>
              <w:rPr>
                <w:rFonts w:ascii="Arial" w:cs="Arial" w:eastAsia="Times New Roman" w:hAnsi="Arial"/>
                <w:b/>
                <w:bCs/>
                <w:noProof w:val="false"/>
                <w:color w:val="000000"/>
                <w:sz w:val="22"/>
                <w:lang w:val="en-IN" w:eastAsia="en-IN"/>
              </w:rPr>
              <w:t>Measures</w:t>
            </w:r>
          </w:p>
        </w:tc>
      </w:tr>
      <w:tr w14:paraId="4D4CDB57">
        <w:tblPrEx/>
        <w:trPr>
          <w:trHeight w:val="290" w:hRule="atLeast"/>
        </w:trPr>
        <w:tc>
          <w:tcPr>
            <w:tcW w:w="2780" w:type="dxa"/>
            <w:tcBorders>
              <w:top w:val="nil"/>
              <w:left w:val="single" w:sz="4" w:space="0" w:color="auto"/>
              <w:bottom w:val="single" w:sz="4" w:space="0" w:color="auto"/>
              <w:right w:val="single" w:sz="4" w:space="0" w:color="auto"/>
            </w:tcBorders>
            <w:vAlign w:val="center"/>
            <w:hideMark/>
          </w:tcPr>
          <w:p w14:paraId="21A2C527">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Operating Profit</w:t>
            </w:r>
          </w:p>
        </w:tc>
        <w:tc>
          <w:tcPr>
            <w:tcW w:w="2580" w:type="dxa"/>
            <w:tcBorders>
              <w:top w:val="nil"/>
              <w:left w:val="nil"/>
              <w:bottom w:val="single" w:sz="4" w:space="0" w:color="auto"/>
              <w:right w:val="single" w:sz="4" w:space="0" w:color="auto"/>
            </w:tcBorders>
            <w:vAlign w:val="center"/>
            <w:hideMark/>
          </w:tcPr>
          <w:p w14:paraId="7C721FCA">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Market Share</w:t>
            </w:r>
          </w:p>
        </w:tc>
        <w:tc>
          <w:tcPr>
            <w:tcW w:w="2260" w:type="dxa"/>
            <w:tcBorders>
              <w:top w:val="nil"/>
              <w:left w:val="nil"/>
              <w:bottom w:val="single" w:sz="4" w:space="0" w:color="auto"/>
              <w:right w:val="single" w:sz="4" w:space="0" w:color="auto"/>
            </w:tcBorders>
            <w:vAlign w:val="center"/>
            <w:hideMark/>
          </w:tcPr>
          <w:p w14:paraId="413A722F">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Product Availability</w:t>
            </w:r>
          </w:p>
        </w:tc>
        <w:tc>
          <w:tcPr>
            <w:tcW w:w="2680" w:type="dxa"/>
            <w:tcBorders>
              <w:top w:val="nil"/>
              <w:left w:val="nil"/>
              <w:bottom w:val="single" w:sz="4" w:space="0" w:color="auto"/>
              <w:right w:val="single" w:sz="4" w:space="0" w:color="auto"/>
            </w:tcBorders>
            <w:vAlign w:val="center"/>
            <w:hideMark/>
          </w:tcPr>
          <w:p w14:paraId="7A3B3AD4">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Employee Engagement</w:t>
            </w:r>
          </w:p>
        </w:tc>
      </w:tr>
      <w:tr w14:paraId="76D66270">
        <w:tblPrEx/>
        <w:trPr>
          <w:trHeight w:val="290" w:hRule="atLeast"/>
        </w:trPr>
        <w:tc>
          <w:tcPr>
            <w:tcW w:w="2780" w:type="dxa"/>
            <w:tcBorders>
              <w:top w:val="nil"/>
              <w:left w:val="single" w:sz="4" w:space="0" w:color="auto"/>
              <w:bottom w:val="single" w:sz="4" w:space="0" w:color="auto"/>
              <w:right w:val="single" w:sz="4" w:space="0" w:color="auto"/>
            </w:tcBorders>
            <w:vAlign w:val="center"/>
            <w:hideMark/>
          </w:tcPr>
          <w:p w14:paraId="18876A0E">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Free Cash Flow</w:t>
            </w:r>
          </w:p>
        </w:tc>
        <w:tc>
          <w:tcPr>
            <w:tcW w:w="2580" w:type="dxa"/>
            <w:tcBorders>
              <w:top w:val="nil"/>
              <w:left w:val="nil"/>
              <w:bottom w:val="single" w:sz="4" w:space="0" w:color="auto"/>
              <w:right w:val="single" w:sz="4" w:space="0" w:color="auto"/>
            </w:tcBorders>
            <w:vAlign w:val="center"/>
            <w:hideMark/>
          </w:tcPr>
          <w:p w14:paraId="1DFC5F93">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Customer Satisfaction</w:t>
            </w:r>
          </w:p>
        </w:tc>
        <w:tc>
          <w:tcPr>
            <w:tcW w:w="2260" w:type="dxa"/>
            <w:tcBorders>
              <w:top w:val="nil"/>
              <w:left w:val="nil"/>
              <w:bottom w:val="single" w:sz="4" w:space="0" w:color="auto"/>
              <w:right w:val="single" w:sz="4" w:space="0" w:color="auto"/>
            </w:tcBorders>
            <w:vAlign w:val="center"/>
            <w:hideMark/>
          </w:tcPr>
          <w:p w14:paraId="75EB3EA0">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Online Sales Growth</w:t>
            </w:r>
          </w:p>
        </w:tc>
        <w:tc>
          <w:tcPr>
            <w:tcW w:w="2680" w:type="dxa"/>
            <w:tcBorders>
              <w:top w:val="nil"/>
              <w:left w:val="nil"/>
              <w:bottom w:val="single" w:sz="4" w:space="0" w:color="auto"/>
              <w:right w:val="single" w:sz="4" w:space="0" w:color="auto"/>
            </w:tcBorders>
            <w:vAlign w:val="center"/>
            <w:hideMark/>
          </w:tcPr>
          <w:p w14:paraId="5CCE711E">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Training Hours</w:t>
            </w:r>
          </w:p>
        </w:tc>
      </w:tr>
      <w:tr w14:paraId="0D0A1181">
        <w:tblPrEx/>
        <w:trPr>
          <w:trHeight w:val="560" w:hRule="atLeast"/>
        </w:trPr>
        <w:tc>
          <w:tcPr>
            <w:tcW w:w="2780" w:type="dxa"/>
            <w:tcBorders>
              <w:top w:val="nil"/>
              <w:left w:val="single" w:sz="4" w:space="0" w:color="auto"/>
              <w:bottom w:val="single" w:sz="4" w:space="0" w:color="auto"/>
              <w:right w:val="single" w:sz="4" w:space="0" w:color="auto"/>
            </w:tcBorders>
            <w:vAlign w:val="center"/>
            <w:hideMark/>
          </w:tcPr>
          <w:p w14:paraId="198B5B06">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ROCE</w:t>
            </w:r>
          </w:p>
        </w:tc>
        <w:tc>
          <w:tcPr>
            <w:tcW w:w="2580" w:type="dxa"/>
            <w:tcBorders>
              <w:top w:val="nil"/>
              <w:left w:val="nil"/>
              <w:bottom w:val="single" w:sz="4" w:space="0" w:color="auto"/>
              <w:right w:val="single" w:sz="4" w:space="0" w:color="auto"/>
            </w:tcBorders>
            <w:vAlign w:val="center"/>
            <w:hideMark/>
          </w:tcPr>
          <w:p w14:paraId="122FC43B">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Clubcard Usage</w:t>
            </w:r>
          </w:p>
        </w:tc>
        <w:tc>
          <w:tcPr>
            <w:tcW w:w="2260" w:type="dxa"/>
            <w:tcBorders>
              <w:top w:val="nil"/>
              <w:left w:val="nil"/>
              <w:bottom w:val="single" w:sz="4" w:space="0" w:color="auto"/>
              <w:right w:val="single" w:sz="4" w:space="0" w:color="auto"/>
            </w:tcBorders>
            <w:vAlign w:val="center"/>
            <w:hideMark/>
          </w:tcPr>
          <w:p w14:paraId="4D87D71C">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Food Waste Reduction</w:t>
            </w:r>
          </w:p>
        </w:tc>
        <w:tc>
          <w:tcPr>
            <w:tcW w:w="2680" w:type="dxa"/>
            <w:tcBorders>
              <w:top w:val="nil"/>
              <w:left w:val="nil"/>
              <w:bottom w:val="single" w:sz="4" w:space="0" w:color="auto"/>
              <w:right w:val="single" w:sz="4" w:space="0" w:color="auto"/>
            </w:tcBorders>
            <w:vAlign w:val="center"/>
            <w:hideMark/>
          </w:tcPr>
          <w:p w14:paraId="6F54388B">
            <w:pPr>
              <w:pStyle w:val="style0"/>
              <w:spacing w:after="0" w:lineRule="auto" w:line="360"/>
              <w:rPr>
                <w:rFonts w:ascii="Arial" w:cs="Arial" w:eastAsia="Times New Roman" w:hAnsi="Arial"/>
                <w:noProof w:val="false"/>
                <w:color w:val="000000"/>
                <w:sz w:val="22"/>
                <w:lang w:val="en-IN" w:eastAsia="en-IN"/>
              </w:rPr>
            </w:pPr>
            <w:r>
              <w:rPr>
                <w:rFonts w:ascii="Arial" w:cs="Arial" w:eastAsia="Times New Roman" w:hAnsi="Arial"/>
                <w:noProof w:val="false"/>
                <w:color w:val="000000"/>
                <w:sz w:val="22"/>
                <w:lang w:val="en-IN" w:eastAsia="en-IN"/>
              </w:rPr>
              <w:t>• Staff Retention</w:t>
            </w:r>
          </w:p>
        </w:tc>
      </w:tr>
    </w:tbl>
    <w:p w14:paraId="474EC1D6">
      <w:pPr>
        <w:pStyle w:val="style0"/>
        <w:rPr>
          <w:rFonts w:ascii="Arial" w:cs="Arial" w:hAnsi="Arial"/>
          <w:lang w:eastAsia="ja-JP"/>
        </w:rPr>
      </w:pPr>
    </w:p>
    <w:p w14:paraId="341CC317">
      <w:pPr>
        <w:pStyle w:val="style0"/>
        <w:rPr>
          <w:rFonts w:ascii="Arial" w:cs="Arial" w:hAnsi="Arial"/>
          <w:lang w:eastAsia="ja-JP"/>
        </w:rPr>
      </w:pPr>
    </w:p>
    <w:p w14:paraId="226F3817">
      <w:pPr>
        <w:pStyle w:val="style0"/>
        <w:spacing w:lineRule="auto" w:line="360"/>
        <w:jc w:val="both"/>
        <w:rPr>
          <w:rFonts w:ascii="Arial" w:cs="Arial" w:hAnsi="Arial"/>
          <w:szCs w:val="24"/>
        </w:rPr>
      </w:pPr>
    </w:p>
    <w:p w14:paraId="643D97C5">
      <w:pPr>
        <w:pStyle w:val="style1"/>
        <w:rPr>
          <w:rFonts w:cs="Arial"/>
        </w:rPr>
      </w:pPr>
    </w:p>
    <w:p w14:paraId="29F45F6C">
      <w:pPr>
        <w:pStyle w:val="style1"/>
        <w:rPr>
          <w:rFonts w:cs="Arial"/>
        </w:rPr>
      </w:pPr>
    </w:p>
    <w:p w14:paraId="1EFD7992">
      <w:pPr>
        <w:pStyle w:val="style1"/>
        <w:rPr>
          <w:rFonts w:cs="Arial"/>
        </w:rPr>
      </w:pPr>
    </w:p>
    <w:p w14:paraId="7D2D8684">
      <w:pPr>
        <w:pStyle w:val="style0"/>
        <w:rPr>
          <w:rFonts w:ascii="Arial" w:cs="Arial" w:hAnsi="Arial"/>
          <w:lang w:eastAsia="ja-JP"/>
        </w:rPr>
      </w:pPr>
    </w:p>
    <w:p w14:paraId="23FD9906">
      <w:pPr>
        <w:pStyle w:val="style0"/>
        <w:rPr>
          <w:rFonts w:ascii="Arial" w:cs="Arial" w:hAnsi="Arial"/>
          <w:szCs w:val="24"/>
        </w:rPr>
      </w:pPr>
    </w:p>
    <w:p w14:paraId="75EB4658">
      <w:pPr>
        <w:pStyle w:val="style0"/>
        <w:rPr>
          <w:rFonts w:ascii="Arial" w:cs="Arial" w:hAnsi="Arial"/>
          <w:szCs w:val="24"/>
        </w:rPr>
      </w:pPr>
    </w:p>
    <w:p w14:paraId="2CAA27BD">
      <w:pPr>
        <w:pStyle w:val="style0"/>
        <w:rPr>
          <w:rFonts w:ascii="Arial" w:cs="Arial" w:hAnsi="Arial"/>
          <w:szCs w:val="24"/>
        </w:rPr>
      </w:pPr>
    </w:p>
    <w:sectPr>
      <w:headerReference w:type="even" r:id="rId9"/>
      <w:headerReference w:type="default" r:id="rId10"/>
      <w:footerReference w:type="even" r:id="rId11"/>
      <w:footerReference w:type="default" r:id="rId12"/>
      <w:headerReference w:type="first" r:id="rId13"/>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 w:name="Segoe UI Symbol">
    <w:altName w:val="Segoe UI Symbol"/>
    <w:panose1 w:val="020b0502040002020203"/>
    <w:charset w:val="00"/>
    <w:family w:val="swiss"/>
    <w:pitch w:val="variable"/>
    <w:sig w:usb0="800001E3" w:usb1="1200FFEF" w:usb2="00040000" w:usb3="00000000" w:csb0="00000001"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679A216">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2588CE7C">
    <w:pPr>
      <w:pStyle w:val="style32"/>
      <w:pBdr>
        <w:top w:val="single" w:sz="4" w:space="1" w:color="d9d9d9"/>
      </w:pBdr>
      <w:jc w:val="right"/>
      <w:rPr/>
    </w:pPr>
    <w:r>
      <w:rPr>
        <w:noProof w:val="false"/>
      </w:rPr>
      <w:fldChar w:fldCharType="begin"/>
    </w:r>
    <w:r>
      <w:instrText xml:space="preserve"> PAGE   \* MERGEFORMAT </w:instrText>
    </w:r>
    <w:r>
      <w:rPr>
        <w:noProof w:val="false"/>
      </w:rPr>
      <w:fldChar w:fldCharType="separate"/>
    </w:r>
    <w:r>
      <w:t>2</w:t>
    </w:r>
    <w:r>
      <w:rPr/>
      <w:fldChar w:fldCharType="end"/>
    </w:r>
    <w:r>
      <w:t xml:space="preserve"> | </w:t>
    </w:r>
    <w:r>
      <w:rPr>
        <w:color w:val="7f7f7f"/>
        <w:spacing w:val="60"/>
      </w:rPr>
      <w:t>Page</w:t>
    </w:r>
  </w:p>
  <w:p w14:paraId="207D48FD">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A1FBD24">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0DF5258">
    <w:pPr>
      <w:pStyle w:val="style31"/>
      <w:rPr/>
    </w:pPr>
  </w:p>
  <w:p w14:paraId="1266B889">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13B92C0">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73F887D6"/>
    <w:lvl w:ilvl="0" w:tplc="08090003">
      <w:start w:val="1"/>
      <w:numFmt w:val="bullet"/>
      <w:lvlText w:val="o"/>
      <w:lvlJc w:val="left"/>
      <w:pPr>
        <w:ind w:left="1500" w:hanging="360"/>
      </w:pPr>
      <w:rPr>
        <w:rFonts w:ascii="Courier New" w:cs="Courier New" w:hAnsi="Courier New" w:hint="default"/>
      </w:rPr>
    </w:lvl>
    <w:lvl w:ilvl="1" w:tplc="08090003" w:tentative="1">
      <w:start w:val="1"/>
      <w:numFmt w:val="bullet"/>
      <w:lvlText w:val="o"/>
      <w:lvlJc w:val="left"/>
      <w:pPr>
        <w:ind w:left="2220" w:hanging="360"/>
      </w:pPr>
      <w:rPr>
        <w:rFonts w:ascii="Courier New" w:cs="Courier New" w:hAnsi="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cs="Courier New" w:hAnsi="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cs="Courier New" w:hAnsi="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nsid w:val="00000001"/>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00000007"/>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00000008"/>
    <w:multiLevelType w:val="hybridMultilevel"/>
    <w:tmpl w:val="A056A1E8"/>
    <w:lvl w:ilvl="0" w:tplc="08090003">
      <w:start w:val="1"/>
      <w:numFmt w:val="bullet"/>
      <w:lvlText w:val="o"/>
      <w:lvlJc w:val="left"/>
      <w:pPr>
        <w:ind w:left="720" w:hanging="360"/>
      </w:pPr>
      <w:rPr>
        <w:rFonts w:ascii="Courier New" w:cs="Courier New" w:hAnsi="Courier New"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0000000A"/>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0000000F"/>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6">
    <w:nsid w:val="00000010"/>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00000012"/>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00000014"/>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1">
    <w:nsid w:val="00000015"/>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00000016"/>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00000017"/>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00000018"/>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00000019"/>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6">
    <w:nsid w:val="0000001A"/>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0000001B"/>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0000001C"/>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0000001D"/>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0000001E"/>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0000001F"/>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2">
    <w:nsid w:val="00000020"/>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00000021"/>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00000022"/>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34"/>
  </w:num>
  <w:num w:numId="4">
    <w:abstractNumId w:val="0"/>
  </w:num>
  <w:num w:numId="5">
    <w:abstractNumId w:val="8"/>
  </w:num>
  <w:num w:numId="6">
    <w:abstractNumId w:val="24"/>
  </w:num>
  <w:num w:numId="7">
    <w:abstractNumId w:val="12"/>
  </w:num>
  <w:num w:numId="8">
    <w:abstractNumId w:val="16"/>
  </w:num>
  <w:num w:numId="9">
    <w:abstractNumId w:val="4"/>
  </w:num>
  <w:num w:numId="10">
    <w:abstractNumId w:val="19"/>
  </w:num>
  <w:num w:numId="11">
    <w:abstractNumId w:val="2"/>
  </w:num>
  <w:num w:numId="12">
    <w:abstractNumId w:val="22"/>
  </w:num>
  <w:num w:numId="13">
    <w:abstractNumId w:val="10"/>
  </w:num>
  <w:num w:numId="14">
    <w:abstractNumId w:val="17"/>
  </w:num>
  <w:num w:numId="15">
    <w:abstractNumId w:val="21"/>
  </w:num>
  <w:num w:numId="16">
    <w:abstractNumId w:val="5"/>
  </w:num>
  <w:num w:numId="17">
    <w:abstractNumId w:val="26"/>
  </w:num>
  <w:num w:numId="18">
    <w:abstractNumId w:val="13"/>
  </w:num>
  <w:num w:numId="19">
    <w:abstractNumId w:val="18"/>
  </w:num>
  <w:num w:numId="20">
    <w:abstractNumId w:val="27"/>
  </w:num>
  <w:num w:numId="21">
    <w:abstractNumId w:val="33"/>
  </w:num>
  <w:num w:numId="22">
    <w:abstractNumId w:val="11"/>
  </w:num>
  <w:num w:numId="23">
    <w:abstractNumId w:val="23"/>
  </w:num>
  <w:num w:numId="24">
    <w:abstractNumId w:val="29"/>
  </w:num>
  <w:num w:numId="25">
    <w:abstractNumId w:val="9"/>
  </w:num>
  <w:num w:numId="26">
    <w:abstractNumId w:val="7"/>
  </w:num>
  <w:num w:numId="27">
    <w:abstractNumId w:val="14"/>
  </w:num>
  <w:num w:numId="28">
    <w:abstractNumId w:val="15"/>
  </w:num>
  <w:num w:numId="29">
    <w:abstractNumId w:val="6"/>
  </w:num>
  <w:num w:numId="30">
    <w:abstractNumId w:val="32"/>
  </w:num>
  <w:num w:numId="31">
    <w:abstractNumId w:val="30"/>
  </w:num>
  <w:num w:numId="32">
    <w:abstractNumId w:val="31"/>
  </w:num>
  <w:num w:numId="33">
    <w:abstractNumId w:val="20"/>
  </w:num>
  <w:num w:numId="34">
    <w:abstractNumId w:val="25"/>
  </w:num>
  <w:num w:numId="35">
    <w:abstractNumId w:val="2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GB" w:bidi="ar-SA" w:eastAsia="en-US"/>
      </w:rPr>
    </w:rPrDefault>
    <w:pPrDefault>
      <w:pPr>
        <w:spacing w:after="200" w:lineRule="auto" w:line="276"/>
      </w:pPr>
    </w:pPrDefault>
  </w:docDefaults>
  <w:style w:type="paragraph" w:default="1" w:styleId="style0">
    <w:name w:val="Normal"/>
    <w:next w:val="style0"/>
    <w:qFormat/>
    <w:pPr/>
    <w:rPr>
      <w:rFonts w:ascii="Times New Roman" w:hAnsi="Times New Roman"/>
      <w:noProof/>
      <w:sz w:val="24"/>
    </w:rPr>
  </w:style>
  <w:style w:type="paragraph" w:styleId="style1">
    <w:name w:val="heading 1"/>
    <w:basedOn w:val="style0"/>
    <w:next w:val="style0"/>
    <w:link w:val="style4098"/>
    <w:qFormat/>
    <w:uiPriority w:val="9"/>
    <w:pPr>
      <w:keepNext/>
      <w:keepLines/>
      <w:spacing w:before="360" w:after="240"/>
      <w:jc w:val="both"/>
      <w:outlineLvl w:val="0"/>
    </w:pPr>
    <w:rPr>
      <w:rFonts w:ascii="Arial" w:cs="Times New Roman" w:eastAsia="宋体" w:hAnsi="Arial"/>
      <w:b/>
      <w:bCs/>
      <w:color w:val="17365d"/>
      <w:szCs w:val="24"/>
      <w:lang w:eastAsia="ja-JP"/>
    </w:rPr>
  </w:style>
  <w:style w:type="paragraph" w:styleId="style2">
    <w:name w:val="heading 2"/>
    <w:basedOn w:val="style0"/>
    <w:next w:val="style0"/>
    <w:link w:val="style4102"/>
    <w:qFormat/>
    <w:uiPriority w:val="9"/>
    <w:pPr>
      <w:keepNext/>
      <w:keepLines/>
      <w:spacing w:before="40" w:after="0" w:lineRule="auto" w:line="360"/>
      <w:jc w:val="both"/>
      <w:outlineLvl w:val="1"/>
    </w:pPr>
    <w:rPr>
      <w:rFonts w:ascii="Arial" w:cs="Times New Roman" w:eastAsia="宋体" w:hAnsi="Arial"/>
      <w:b/>
      <w:color w:val="365f91"/>
      <w:szCs w:val="26"/>
      <w:lang w:eastAsia="ja-JP"/>
    </w:rPr>
  </w:style>
  <w:style w:type="paragraph" w:styleId="style3">
    <w:name w:val="heading 3"/>
    <w:basedOn w:val="style0"/>
    <w:next w:val="style0"/>
    <w:link w:val="style4105"/>
    <w:qFormat/>
    <w:uiPriority w:val="9"/>
    <w:pPr>
      <w:keepNext/>
      <w:keepLines/>
      <w:spacing w:before="240" w:after="240"/>
      <w:jc w:val="both"/>
      <w:outlineLvl w:val="2"/>
    </w:pPr>
    <w:rPr>
      <w:rFonts w:ascii="Arial" w:cs="Times New Roman" w:eastAsia="宋体" w:hAnsi="Arial"/>
      <w:b/>
      <w:color w:val="244061"/>
      <w:szCs w:val="24"/>
    </w:rPr>
  </w:style>
  <w:style w:type="paragraph" w:styleId="style4">
    <w:name w:val="heading 4"/>
    <w:basedOn w:val="style0"/>
    <w:next w:val="style0"/>
    <w:link w:val="style4107"/>
    <w:qFormat/>
    <w:uiPriority w:val="9"/>
    <w:pPr>
      <w:keepNext/>
      <w:keepLines/>
      <w:spacing w:before="40" w:after="0"/>
      <w:outlineLvl w:val="3"/>
    </w:pPr>
    <w:rPr>
      <w:rFonts w:ascii="Arial" w:cs="Times New Roman" w:eastAsia="宋体" w:hAnsi="Arial"/>
      <w:b/>
      <w:iCs/>
      <w:color w:val="632423"/>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rPr>
  </w:style>
  <w:style w:type="paragraph" w:styleId="style265">
    <w:name w:val="Bibliography"/>
    <w:basedOn w:val="style0"/>
    <w:next w:val="style0"/>
    <w:uiPriority w:val="37"/>
    <w:pPr/>
  </w:style>
  <w:style w:type="character" w:customStyle="1" w:styleId="style4098">
    <w:name w:val="Heading 1 Char_e7051164-5da5-47e4-9d9a-27602a4d52b1"/>
    <w:basedOn w:val="style65"/>
    <w:next w:val="style4098"/>
    <w:link w:val="style1"/>
    <w:uiPriority w:val="9"/>
    <w:rPr>
      <w:rFonts w:ascii="Arial" w:cs="Times New Roman" w:eastAsia="宋体" w:hAnsi="Arial"/>
      <w:b/>
      <w:bCs/>
      <w:noProof/>
      <w:color w:val="17365d"/>
      <w:sz w:val="24"/>
      <w:szCs w:val="24"/>
      <w:lang w:eastAsia="ja-JP"/>
    </w:rPr>
  </w:style>
  <w:style w:type="paragraph" w:styleId="style157">
    <w:name w:val="No Spacing"/>
    <w:next w:val="style157"/>
    <w:link w:val="style4099"/>
    <w:qFormat/>
    <w:uiPriority w:val="1"/>
    <w:pPr>
      <w:spacing w:after="0" w:lineRule="auto" w:line="240"/>
    </w:pPr>
    <w:rPr>
      <w:rFonts w:eastAsia="宋体"/>
      <w:lang w:val="en-US" w:eastAsia="ja-JP"/>
    </w:rPr>
  </w:style>
  <w:style w:type="character" w:customStyle="1" w:styleId="style4099">
    <w:name w:val="No Spacing Char"/>
    <w:basedOn w:val="style65"/>
    <w:next w:val="style4099"/>
    <w:link w:val="style157"/>
    <w:uiPriority w:val="1"/>
    <w:rPr>
      <w:rFonts w:eastAsia="宋体"/>
      <w:lang w:val="en-US" w:eastAsia="ja-JP"/>
    </w:rPr>
  </w:style>
  <w:style w:type="paragraph" w:styleId="style31">
    <w:name w:val="header"/>
    <w:basedOn w:val="style0"/>
    <w:next w:val="style31"/>
    <w:link w:val="style4100"/>
    <w:uiPriority w:val="99"/>
    <w:pPr>
      <w:tabs>
        <w:tab w:val="center" w:leader="none" w:pos="4513"/>
        <w:tab w:val="right" w:leader="none" w:pos="9026"/>
      </w:tabs>
      <w:spacing w:after="0" w:lineRule="auto" w:line="240"/>
    </w:pPr>
    <w:rPr/>
  </w:style>
  <w:style w:type="character" w:customStyle="1" w:styleId="style4100">
    <w:name w:val="Header Char_0e7e8e16-defe-4380-874c-8d09512dc9a9"/>
    <w:basedOn w:val="style65"/>
    <w:next w:val="style4100"/>
    <w:link w:val="style31"/>
    <w:uiPriority w:val="99"/>
  </w:style>
  <w:style w:type="paragraph" w:styleId="style32">
    <w:name w:val="footer"/>
    <w:basedOn w:val="style0"/>
    <w:next w:val="style32"/>
    <w:link w:val="style4101"/>
    <w:uiPriority w:val="99"/>
    <w:pPr>
      <w:tabs>
        <w:tab w:val="center" w:leader="none" w:pos="4513"/>
        <w:tab w:val="right" w:leader="none" w:pos="9026"/>
      </w:tabs>
      <w:spacing w:after="0" w:lineRule="auto" w:line="240"/>
    </w:pPr>
    <w:rPr/>
  </w:style>
  <w:style w:type="character" w:customStyle="1" w:styleId="style4101">
    <w:name w:val="Footer Char_2ccca13d-5aea-4ab4-bb67-a2177e7afb36"/>
    <w:basedOn w:val="style65"/>
    <w:next w:val="style4101"/>
    <w:link w:val="style32"/>
    <w:uiPriority w:val="99"/>
  </w:style>
  <w:style w:type="character" w:customStyle="1" w:styleId="style4102">
    <w:name w:val="Heading 2 Char_214332d7-9e72-4863-8dff-76f7eff2d23c"/>
    <w:basedOn w:val="style65"/>
    <w:next w:val="style4102"/>
    <w:link w:val="style2"/>
    <w:uiPriority w:val="9"/>
    <w:rPr>
      <w:rFonts w:ascii="Arial" w:cs="Times New Roman" w:eastAsia="宋体" w:hAnsi="Arial"/>
      <w:b/>
      <w:noProof/>
      <w:color w:val="365f91"/>
      <w:sz w:val="24"/>
      <w:szCs w:val="26"/>
      <w:lang w:eastAsia="ja-JP"/>
    </w:rPr>
  </w:style>
  <w:style w:type="paragraph" w:styleId="style266">
    <w:name w:val="TOC Heading"/>
    <w:basedOn w:val="style1"/>
    <w:next w:val="style0"/>
    <w:qFormat/>
    <w:uiPriority w:val="39"/>
    <w:pPr>
      <w:spacing w:before="240" w:lineRule="auto" w:line="259"/>
      <w:outlineLvl w:val="9"/>
    </w:pPr>
    <w:rPr>
      <w:rFonts w:ascii="Cambria" w:hAnsi="Cambria"/>
      <w:b w:val="false"/>
      <w:bCs w:val="false"/>
      <w:color w:val="365f91"/>
      <w:sz w:val="32"/>
      <w:szCs w:val="32"/>
      <w:lang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customStyle="1" w:styleId="style4103">
    <w:name w:val="Unresolved Mention"/>
    <w:basedOn w:val="style65"/>
    <w:next w:val="style4103"/>
    <w:uiPriority w:val="99"/>
    <w:rPr>
      <w:color w:val="605e5c"/>
      <w:shd w:val="clear" w:color="auto" w:fill="e1dfdd"/>
    </w:rPr>
  </w:style>
  <w:style w:type="character" w:styleId="style86">
    <w:name w:val="FollowedHyperlink"/>
    <w:basedOn w:val="style65"/>
    <w:next w:val="style86"/>
    <w:uiPriority w:val="99"/>
    <w:rPr>
      <w:color w:val="800080"/>
      <w:u w:val="single"/>
    </w:rPr>
  </w:style>
  <w:style w:type="table" w:styleId="style215">
    <w:name w:val="Colorful Shading Accent 3"/>
    <w:basedOn w:val="style105"/>
    <w:next w:val="style215"/>
    <w:uiPriority w:val="71"/>
    <w:pPr>
      <w:spacing w:after="0" w:lineRule="auto" w:line="240"/>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blStylePr w:type="firstRow">
      <w:pPr/>
      <w:rPr>
        <w:b/>
        <w:bCs/>
      </w:rPr>
      <w:tblPr/>
      <w:tcPr>
        <w:tcBorders>
          <w:top w:val="nil"/>
          <w:left w:val="nil"/>
          <w:bottom w:val="single" w:sz="24" w:space="0" w:color="8064a2"/>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sz="4" w:space="0" w:color="5e7530"/>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character" w:customStyle="1" w:styleId="style4104">
    <w:name w:val="fontstyle01"/>
    <w:basedOn w:val="style65"/>
    <w:next w:val="style4104"/>
    <w:rPr>
      <w:rFonts w:ascii="LinoLetter-Roman" w:hAnsi="LinoLetter-Roman" w:hint="default"/>
      <w:b w:val="false"/>
      <w:bCs w:val="false"/>
      <w:i w:val="false"/>
      <w:iCs w:val="false"/>
      <w:color w:val="242021"/>
      <w:sz w:val="20"/>
      <w:szCs w:val="20"/>
    </w:rPr>
  </w:style>
  <w:style w:type="character" w:customStyle="1" w:styleId="style4105">
    <w:name w:val="Heading 3 Char_5f8ee43b-3abc-46d2-b4d0-d1ae0243860c"/>
    <w:basedOn w:val="style65"/>
    <w:next w:val="style4105"/>
    <w:link w:val="style3"/>
    <w:uiPriority w:val="9"/>
    <w:rPr>
      <w:rFonts w:ascii="Arial" w:cs="Times New Roman" w:eastAsia="宋体" w:hAnsi="Arial"/>
      <w:b/>
      <w:noProof/>
      <w:color w:val="244061"/>
      <w:sz w:val="24"/>
      <w:szCs w:val="24"/>
    </w:rPr>
  </w:style>
  <w:style w:type="paragraph" w:styleId="style21">
    <w:name w:val="toc 3"/>
    <w:basedOn w:val="style0"/>
    <w:next w:val="style0"/>
    <w:uiPriority w:val="39"/>
    <w:pPr>
      <w:spacing w:after="100"/>
      <w:ind w:left="440"/>
    </w:pPr>
    <w:rPr/>
  </w:style>
  <w:style w:type="table" w:customStyle="1" w:styleId="style4106">
    <w:name w:val="Medium List 1 - Accent 51"/>
    <w:basedOn w:val="style105"/>
    <w:next w:val="style237"/>
    <w:uiPriority w:val="65"/>
    <w:pPr>
      <w:spacing w:after="0" w:lineRule="auto" w:line="240"/>
      <w:jc w:val="both"/>
    </w:pPr>
    <w:rPr>
      <w:rFonts w:ascii="Times New Roman" w:cs="Times New Roman" w:eastAsia="Times New Roman" w:hAnsi="Times New Roman"/>
      <w:color w:val="000000"/>
      <w:sz w:val="24"/>
      <w:szCs w:val="24"/>
    </w:rPr>
    <w:tblPr>
      <w:tblStyleRowBandSize w:val="1"/>
      <w:tblStyleColBandSize w:val="1"/>
      <w:tblBorders>
        <w:top w:val="single" w:sz="8" w:space="0" w:color="4bacc6"/>
        <w:bottom w:val="single" w:sz="8" w:space="0" w:color="4bacc6"/>
      </w:tblBorders>
    </w:tblPr>
    <w:tblStylePr w:type="firstRow">
      <w:pPr/>
      <w:rPr>
        <w:rFonts w:ascii="Cambria" w:cs="Times New Roman" w:eastAsia="Times New Roman" w:hAnsi="Cambria"/>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table" w:styleId="style237">
    <w:name w:val="Medium List 1 Accent 5"/>
    <w:basedOn w:val="style105"/>
    <w:next w:val="style237"/>
    <w:uiPriority w:val="65"/>
    <w:pPr>
      <w:spacing w:after="0" w:lineRule="auto" w:line="240"/>
    </w:pPr>
    <w:rPr>
      <w:color w:val="000000"/>
    </w:rPr>
    <w:tblPr>
      <w:tblStyleRowBandSize w:val="1"/>
      <w:tblStyleColBandSize w:val="1"/>
      <w:tblBorders>
        <w:top w:val="single" w:sz="8" w:space="0" w:color="4bacc6"/>
        <w:bottom w:val="single" w:sz="8" w:space="0" w:color="4bacc6"/>
      </w:tblBorders>
    </w:tblPr>
    <w:tblStylePr w:type="firstRow">
      <w:pPr/>
      <w:rPr>
        <w:rFonts w:ascii="Cambria" w:cs="Times New Roman" w:eastAsia="宋体" w:hAnsi="Cambria"/>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character" w:customStyle="1" w:styleId="style4107">
    <w:name w:val="Heading 4 Char_d916d743-f7de-4cb1-b2d4-a33fa42f2f63"/>
    <w:basedOn w:val="style65"/>
    <w:next w:val="style4107"/>
    <w:link w:val="style4"/>
    <w:uiPriority w:val="9"/>
    <w:rPr>
      <w:rFonts w:ascii="Arial" w:cs="Times New Roman" w:eastAsia="宋体" w:hAnsi="Arial"/>
      <w:b/>
      <w:iCs/>
      <w:noProof/>
      <w:color w:val="632423"/>
    </w:rPr>
  </w:style>
  <w:style w:type="paragraph" w:styleId="style22">
    <w:name w:val="toc 4"/>
    <w:basedOn w:val="style0"/>
    <w:next w:val="style0"/>
    <w:uiPriority w:val="39"/>
    <w:pPr>
      <w:spacing w:after="100"/>
      <w:ind w:left="660"/>
    </w:pPr>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8"/>
    <w:uiPriority w:val="99"/>
    <w:pPr>
      <w:spacing w:lineRule="auto" w:line="240"/>
    </w:pPr>
    <w:rPr>
      <w:sz w:val="20"/>
      <w:szCs w:val="20"/>
    </w:rPr>
  </w:style>
  <w:style w:type="character" w:customStyle="1" w:styleId="style4108">
    <w:name w:val="Comment Text Char"/>
    <w:basedOn w:val="style65"/>
    <w:next w:val="style4108"/>
    <w:link w:val="style30"/>
    <w:uiPriority w:val="99"/>
    <w:rPr>
      <w:rFonts w:ascii="Times New Roman" w:hAnsi="Times New Roman"/>
      <w:noProof/>
      <w:sz w:val="20"/>
      <w:szCs w:val="20"/>
    </w:rPr>
  </w:style>
  <w:style w:type="paragraph" w:styleId="style106">
    <w:name w:val="annotation subject"/>
    <w:basedOn w:val="style30"/>
    <w:next w:val="style30"/>
    <w:link w:val="style4109"/>
    <w:uiPriority w:val="99"/>
    <w:pPr/>
    <w:rPr>
      <w:b/>
      <w:bCs/>
    </w:rPr>
  </w:style>
  <w:style w:type="character" w:customStyle="1" w:styleId="style4109">
    <w:name w:val="Comment Subject Char"/>
    <w:basedOn w:val="style4108"/>
    <w:next w:val="style4109"/>
    <w:link w:val="style106"/>
    <w:uiPriority w:val="99"/>
    <w:rPr>
      <w:rFonts w:ascii="Times New Roman" w:hAnsi="Times New Roman"/>
      <w:b/>
      <w:bCs/>
      <w:noProof/>
      <w:sz w:val="20"/>
      <w:szCs w:val="20"/>
    </w:rPr>
  </w:style>
  <w:style w:type="paragraph" w:styleId="style34">
    <w:name w:val="caption"/>
    <w:basedOn w:val="style0"/>
    <w:next w:val="style0"/>
    <w:qFormat/>
    <w:uiPriority w:val="35"/>
    <w:pPr>
      <w:spacing w:lineRule="auto" w:line="240"/>
    </w:pPr>
    <w:rPr>
      <w:i/>
      <w:iCs/>
      <w:color w:val="1f497d"/>
      <w:sz w:val="18"/>
      <w:szCs w:val="18"/>
    </w:rPr>
  </w:style>
</w:styles>
</file>

<file path=word/_rels/document.xml.rels><?xml version="1.0" encoding="UTF-8"?>
<Relationships xmlns="http://schemas.openxmlformats.org/package/2006/relationships"><Relationship Id="rId11" Type="http://schemas.openxmlformats.org/officeDocument/2006/relationships/footer" Target="footer3.xml"/><Relationship Id="rId10" Type="http://schemas.openxmlformats.org/officeDocument/2006/relationships/header" Target="header2.xml"/><Relationship Id="rId13" Type="http://schemas.openxmlformats.org/officeDocument/2006/relationships/header" Target="header5.xml"/><Relationship Id="rId12" Type="http://schemas.openxmlformats.org/officeDocument/2006/relationships/footer" Target="footer4.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header" Target="header1.xml"/><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image" Target="media/image2.jpeg"/><Relationship Id="rId19" Type="http://schemas.openxmlformats.org/officeDocument/2006/relationships/customXml" Target="../customXml/item2.xml"/><Relationship Id="rId6" Type="http://schemas.openxmlformats.org/officeDocument/2006/relationships/image" Target="media/image3.jpeg"/><Relationship Id="rId18"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2.xml><?xml version="1.0" encoding="utf-8"?>
<CoverPageProperties xmlns="http://schemas.microsoft.com/office/2006/coverPageProps">
  <PublishDate>2019/2020</PublishDate>
  <Abstract>Lecturer: Hossein Shokri</Abstract>
  <CompanyAddress/>
  <CompanyPhone/>
  <CompanyFax/>
  <CompanyEmail/>
</CoverPageProperties>
</file>

<file path=customXml/itemProps1.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6229</Words>
  <Pages>27</Pages>
  <Characters>38191</Characters>
  <Application>WPS Office</Application>
  <DocSecurity>0</DocSecurity>
  <Paragraphs>317</Paragraphs>
  <ScaleCrop>false</ScaleCrop>
  <LinksUpToDate>false</LinksUpToDate>
  <CharactersWithSpaces>44218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2026-08-12T12:20:52Z</dcterms:created>
  <dc:creator>Nicole</dc:creator>
  <lastModifiedBy>24117RN76E</lastModifiedBy>
  <lastPrinted>2020-05-15T21:08:00Z</lastPrinted>
  <dcterms:modified xsi:type="dcterms:W3CDTF">2026-08-12T12:20:52Z</dcterms:modified>
  <revision>3</revision>
  <dc:subject>Marketing Management Report</dc:subject>
  <dc:title>Marketing Management LCMB 7001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4ed430df-b7c5-440b-afe9-118a31e963da</vt:lpwstr>
  </property>
  <property fmtid="{D5CDD505-2E9C-101B-9397-08002B2CF9AE}" pid="3" name="ICV">
    <vt:lpwstr>caf79ba66bf8405485b88e2ca6d75a0e_23</vt:lpwstr>
  </property>
</Properties>
</file>