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6192AD8E" w:rsidR="00B152DF" w:rsidRDefault="00B94985">
      <w:r>
        <w:rPr>
          <w:noProof/>
        </w:rPr>
        <w:drawing>
          <wp:inline distT="0" distB="0" distL="0" distR="0" wp14:anchorId="32708895" wp14:editId="341490F4">
            <wp:extent cx="5731510" cy="1857375"/>
            <wp:effectExtent l="0" t="0" r="2540" b="9525"/>
            <wp:docPr id="601911999" name="Picture 1" descr="University of Wales Trinity St David – UniKit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UniKitOu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857375"/>
                    </a:xfrm>
                    <a:prstGeom prst="rect">
                      <a:avLst/>
                    </a:prstGeom>
                    <a:noFill/>
                    <a:ln>
                      <a:noFill/>
                    </a:ln>
                  </pic:spPr>
                </pic:pic>
              </a:graphicData>
            </a:graphic>
          </wp:inline>
        </w:drawing>
      </w:r>
    </w:p>
    <w:p w14:paraId="4F99AB73" w14:textId="77777777" w:rsidR="00230935" w:rsidRDefault="00230935" w:rsidP="00230935">
      <w:pPr>
        <w:spacing w:after="0"/>
        <w:jc w:val="both"/>
        <w:rPr>
          <w:rFonts w:ascii="Arial" w:hAnsi="Arial" w:cs="Arial"/>
          <w:sz w:val="40"/>
          <w:szCs w:val="40"/>
          <w:lang w:val="en-US"/>
        </w:rPr>
      </w:pPr>
    </w:p>
    <w:p w14:paraId="4B86B71C" w14:textId="77777777" w:rsidR="00D1674A" w:rsidRDefault="00D1674A"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543E3AA" w14:textId="66174549" w:rsidR="0005771F" w:rsidRDefault="00781933" w:rsidP="005D0834">
      <w:pPr>
        <w:spacing w:after="0"/>
        <w:jc w:val="center"/>
        <w:rPr>
          <w:rFonts w:ascii="Arial" w:hAnsi="Arial" w:cs="Arial"/>
          <w:sz w:val="32"/>
          <w:szCs w:val="32"/>
        </w:rPr>
      </w:pPr>
      <w:r w:rsidRPr="00853209">
        <w:rPr>
          <w:rFonts w:ascii="Arial" w:hAnsi="Arial" w:cs="Arial"/>
          <w:sz w:val="32"/>
          <w:szCs w:val="32"/>
          <w:lang w:val="en-US"/>
        </w:rPr>
        <w:t>Module Title</w:t>
      </w:r>
      <w:r w:rsidR="0005771F" w:rsidRPr="00853209">
        <w:rPr>
          <w:rFonts w:ascii="Arial" w:hAnsi="Arial" w:cs="Arial"/>
          <w:sz w:val="32"/>
          <w:szCs w:val="32"/>
          <w:lang w:val="en-US"/>
        </w:rPr>
        <w:t>:</w:t>
      </w:r>
      <w:r w:rsidR="0035328C" w:rsidRPr="00853209">
        <w:rPr>
          <w:rFonts w:ascii="Arial" w:hAnsi="Arial" w:cs="Arial"/>
          <w:sz w:val="32"/>
          <w:szCs w:val="32"/>
          <w:lang w:val="en-US"/>
        </w:rPr>
        <w:t xml:space="preserve"> </w:t>
      </w:r>
      <w:r w:rsidR="005D0834" w:rsidRPr="005D0834">
        <w:rPr>
          <w:rFonts w:ascii="Arial" w:hAnsi="Arial" w:cs="Arial"/>
          <w:sz w:val="32"/>
          <w:szCs w:val="32"/>
        </w:rPr>
        <w:t>Evaluating Contemporary Human Resource Challenges and Strategic Human Resource Management Practices at Tesco PLC</w:t>
      </w:r>
    </w:p>
    <w:p w14:paraId="772BF40D" w14:textId="77777777" w:rsidR="005D0834" w:rsidRPr="00853209" w:rsidRDefault="005D0834" w:rsidP="005D0834">
      <w:pPr>
        <w:spacing w:after="0"/>
        <w:jc w:val="center"/>
        <w:rPr>
          <w:rFonts w:ascii="Arial" w:hAnsi="Arial" w:cs="Arial"/>
          <w:sz w:val="32"/>
          <w:szCs w:val="32"/>
          <w:lang w:val="en-US"/>
        </w:rPr>
      </w:pPr>
    </w:p>
    <w:p w14:paraId="0E2AD924" w14:textId="0804620D" w:rsidR="00BD1ED7" w:rsidRPr="00853209" w:rsidRDefault="0005771F" w:rsidP="00FF0AB5">
      <w:pPr>
        <w:spacing w:after="0" w:line="276" w:lineRule="auto"/>
        <w:jc w:val="center"/>
        <w:rPr>
          <w:rFonts w:ascii="Arial" w:hAnsi="Arial" w:cs="Arial"/>
          <w:sz w:val="32"/>
          <w:szCs w:val="32"/>
          <w:lang w:val="en-US"/>
        </w:rPr>
      </w:pPr>
      <w:r w:rsidRPr="00853209">
        <w:rPr>
          <w:rFonts w:ascii="Arial" w:hAnsi="Arial" w:cs="Arial"/>
          <w:sz w:val="32"/>
          <w:szCs w:val="32"/>
          <w:lang w:val="en-US"/>
        </w:rPr>
        <w:t>Module Code:</w:t>
      </w:r>
      <w:r w:rsidR="0035328C" w:rsidRPr="00853209">
        <w:rPr>
          <w:rFonts w:ascii="Arial" w:hAnsi="Arial" w:cs="Arial"/>
          <w:sz w:val="32"/>
          <w:szCs w:val="32"/>
          <w:lang w:val="en-US"/>
        </w:rPr>
        <w:t xml:space="preserve"> </w:t>
      </w:r>
      <w:r w:rsidRPr="00853209">
        <w:rPr>
          <w:rFonts w:ascii="Arial" w:hAnsi="Arial" w:cs="Arial"/>
          <w:sz w:val="32"/>
          <w:szCs w:val="32"/>
          <w:lang w:val="en-US"/>
        </w:rPr>
        <w:t xml:space="preserve">LCLM </w:t>
      </w:r>
      <w:r w:rsidR="00B94985" w:rsidRPr="00853209">
        <w:rPr>
          <w:rFonts w:ascii="Arial" w:hAnsi="Arial" w:cs="Arial"/>
          <w:sz w:val="32"/>
          <w:szCs w:val="32"/>
          <w:lang w:val="en-US"/>
        </w:rPr>
        <w:t>500</w:t>
      </w:r>
      <w:r w:rsidR="00BD1ED7" w:rsidRPr="00853209">
        <w:rPr>
          <w:rFonts w:ascii="Arial" w:hAnsi="Arial" w:cs="Arial"/>
          <w:sz w:val="32"/>
          <w:szCs w:val="32"/>
          <w:lang w:val="en-US"/>
        </w:rPr>
        <w:t>2</w:t>
      </w:r>
    </w:p>
    <w:p w14:paraId="4B09BC25" w14:textId="77777777" w:rsidR="00BD1ED7" w:rsidRPr="00853209" w:rsidRDefault="00BD1ED7" w:rsidP="00FF0AB5">
      <w:pPr>
        <w:spacing w:after="0" w:line="276" w:lineRule="auto"/>
        <w:jc w:val="center"/>
        <w:rPr>
          <w:rFonts w:ascii="Arial" w:hAnsi="Arial" w:cs="Arial"/>
          <w:sz w:val="32"/>
          <w:szCs w:val="32"/>
          <w:lang w:val="en-US"/>
        </w:rPr>
      </w:pPr>
    </w:p>
    <w:p w14:paraId="613B7B52" w14:textId="6ABF9AA8" w:rsidR="0005771F" w:rsidRPr="00853209" w:rsidRDefault="00230935" w:rsidP="00FF0AB5">
      <w:pPr>
        <w:spacing w:after="0" w:line="276" w:lineRule="auto"/>
        <w:jc w:val="center"/>
        <w:rPr>
          <w:rFonts w:ascii="Arial" w:hAnsi="Arial" w:cs="Arial"/>
          <w:sz w:val="32"/>
          <w:szCs w:val="32"/>
          <w:lang w:val="en-US"/>
        </w:rPr>
      </w:pPr>
      <w:r w:rsidRPr="00853209">
        <w:rPr>
          <w:rFonts w:ascii="Arial" w:hAnsi="Arial" w:cs="Arial"/>
          <w:sz w:val="32"/>
          <w:szCs w:val="32"/>
          <w:lang w:val="en-US"/>
        </w:rPr>
        <w:t xml:space="preserve">Assessment: </w:t>
      </w:r>
      <w:r w:rsidR="0005771F" w:rsidRPr="00853209">
        <w:rPr>
          <w:rFonts w:ascii="Arial" w:hAnsi="Arial" w:cs="Arial"/>
          <w:sz w:val="32"/>
          <w:szCs w:val="32"/>
          <w:lang w:val="en-US"/>
        </w:rPr>
        <w:t>C</w:t>
      </w:r>
      <w:r w:rsidR="0035328C" w:rsidRPr="00853209">
        <w:rPr>
          <w:rFonts w:ascii="Arial" w:hAnsi="Arial" w:cs="Arial"/>
          <w:sz w:val="32"/>
          <w:szCs w:val="32"/>
          <w:lang w:val="en-US"/>
        </w:rPr>
        <w:t xml:space="preserve">omponent </w:t>
      </w:r>
      <w:r w:rsidR="00BD1ED7" w:rsidRPr="00853209">
        <w:rPr>
          <w:rFonts w:ascii="Arial" w:hAnsi="Arial" w:cs="Arial"/>
          <w:sz w:val="32"/>
          <w:szCs w:val="32"/>
          <w:lang w:val="en-US"/>
        </w:rPr>
        <w:t>2</w:t>
      </w:r>
    </w:p>
    <w:p w14:paraId="41F6DB18" w14:textId="77777777" w:rsidR="0005771F" w:rsidRPr="00853209" w:rsidRDefault="0005771F" w:rsidP="00FF0AB5">
      <w:pPr>
        <w:spacing w:line="276" w:lineRule="auto"/>
        <w:jc w:val="center"/>
        <w:rPr>
          <w:rFonts w:ascii="Arial" w:hAnsi="Arial" w:cs="Arial"/>
          <w:sz w:val="32"/>
          <w:szCs w:val="32"/>
          <w:lang w:val="en-US"/>
        </w:rPr>
      </w:pPr>
    </w:p>
    <w:p w14:paraId="36400D8C" w14:textId="59D9E093" w:rsidR="0005771F" w:rsidRPr="00853209" w:rsidRDefault="0005771F" w:rsidP="00FF0AB5">
      <w:pPr>
        <w:spacing w:line="276" w:lineRule="auto"/>
        <w:jc w:val="center"/>
        <w:rPr>
          <w:rFonts w:ascii="Arial" w:hAnsi="Arial" w:cs="Arial"/>
          <w:sz w:val="32"/>
          <w:szCs w:val="32"/>
          <w:lang w:val="pt-BR"/>
        </w:rPr>
      </w:pPr>
      <w:proofErr w:type="spellStart"/>
      <w:r w:rsidRPr="00853209">
        <w:rPr>
          <w:rFonts w:ascii="Arial" w:hAnsi="Arial" w:cs="Arial"/>
          <w:sz w:val="32"/>
          <w:szCs w:val="32"/>
          <w:lang w:val="pt-BR"/>
        </w:rPr>
        <w:t>Student</w:t>
      </w:r>
      <w:proofErr w:type="spellEnd"/>
      <w:r w:rsidRPr="00853209">
        <w:rPr>
          <w:rFonts w:ascii="Arial" w:hAnsi="Arial" w:cs="Arial"/>
          <w:sz w:val="32"/>
          <w:szCs w:val="32"/>
          <w:lang w:val="pt-BR"/>
        </w:rPr>
        <w:t xml:space="preserve"> </w:t>
      </w:r>
      <w:proofErr w:type="spellStart"/>
      <w:r w:rsidRPr="00853209">
        <w:rPr>
          <w:rFonts w:ascii="Arial" w:hAnsi="Arial" w:cs="Arial"/>
          <w:sz w:val="32"/>
          <w:szCs w:val="32"/>
          <w:lang w:val="pt-BR"/>
        </w:rPr>
        <w:t>Name</w:t>
      </w:r>
      <w:proofErr w:type="spellEnd"/>
      <w:r w:rsidRPr="00853209">
        <w:rPr>
          <w:rFonts w:ascii="Arial" w:hAnsi="Arial" w:cs="Arial"/>
          <w:sz w:val="32"/>
          <w:szCs w:val="32"/>
          <w:lang w:val="pt-BR"/>
        </w:rPr>
        <w:t xml:space="preserve">: </w:t>
      </w:r>
      <w:r w:rsidR="00BC2C0B" w:rsidRPr="00853209">
        <w:rPr>
          <w:rFonts w:ascii="Arial" w:hAnsi="Arial" w:cs="Arial"/>
          <w:sz w:val="32"/>
          <w:szCs w:val="32"/>
          <w:lang w:val="pt-BR"/>
        </w:rPr>
        <w:t xml:space="preserve">Luciana de </w:t>
      </w:r>
      <w:r w:rsidR="00010DBE" w:rsidRPr="00853209">
        <w:rPr>
          <w:rFonts w:ascii="Arial" w:hAnsi="Arial" w:cs="Arial"/>
          <w:sz w:val="32"/>
          <w:szCs w:val="32"/>
          <w:lang w:val="pt-BR"/>
        </w:rPr>
        <w:t>L</w:t>
      </w:r>
      <w:r w:rsidR="00BC2C0B" w:rsidRPr="00853209">
        <w:rPr>
          <w:rFonts w:ascii="Arial" w:hAnsi="Arial" w:cs="Arial"/>
          <w:sz w:val="32"/>
          <w:szCs w:val="32"/>
          <w:lang w:val="pt-BR"/>
        </w:rPr>
        <w:t>ara Franco</w:t>
      </w:r>
    </w:p>
    <w:p w14:paraId="525487EE" w14:textId="77777777" w:rsidR="0005771F" w:rsidRPr="00853209" w:rsidRDefault="0005771F" w:rsidP="00FF0AB5">
      <w:pPr>
        <w:spacing w:line="276" w:lineRule="auto"/>
        <w:jc w:val="center"/>
        <w:rPr>
          <w:rFonts w:ascii="Arial" w:hAnsi="Arial" w:cs="Arial"/>
          <w:sz w:val="32"/>
          <w:szCs w:val="32"/>
          <w:lang w:val="pt-BR"/>
        </w:rPr>
      </w:pPr>
    </w:p>
    <w:p w14:paraId="0FEF87A9" w14:textId="3E6A95D2" w:rsidR="0005771F" w:rsidRPr="00853209" w:rsidRDefault="0005771F" w:rsidP="00FF0AB5">
      <w:pPr>
        <w:spacing w:line="276" w:lineRule="auto"/>
        <w:jc w:val="center"/>
        <w:rPr>
          <w:rFonts w:ascii="Arial" w:hAnsi="Arial" w:cs="Arial"/>
          <w:sz w:val="32"/>
          <w:szCs w:val="32"/>
          <w:lang w:val="en-US"/>
        </w:rPr>
      </w:pPr>
      <w:r w:rsidRPr="00853209">
        <w:rPr>
          <w:rFonts w:ascii="Arial" w:hAnsi="Arial" w:cs="Arial"/>
          <w:sz w:val="32"/>
          <w:szCs w:val="32"/>
          <w:lang w:val="en-US"/>
        </w:rPr>
        <w:t>Student Number:</w:t>
      </w:r>
      <w:r w:rsidR="0035328C" w:rsidRPr="00853209">
        <w:rPr>
          <w:rFonts w:ascii="Arial" w:hAnsi="Arial" w:cs="Arial"/>
          <w:sz w:val="32"/>
          <w:szCs w:val="32"/>
          <w:lang w:val="en-US"/>
        </w:rPr>
        <w:t xml:space="preserve"> </w:t>
      </w:r>
      <w:r w:rsidR="00010DBE" w:rsidRPr="00853209">
        <w:rPr>
          <w:rFonts w:ascii="Arial" w:hAnsi="Arial" w:cs="Arial"/>
          <w:sz w:val="32"/>
          <w:szCs w:val="32"/>
          <w:lang w:val="en-US"/>
        </w:rPr>
        <w:t>2431984</w:t>
      </w:r>
    </w:p>
    <w:p w14:paraId="73341BD5" w14:textId="77777777" w:rsidR="0005771F" w:rsidRPr="00853209" w:rsidRDefault="0005771F" w:rsidP="00FF0AB5">
      <w:pPr>
        <w:spacing w:line="276" w:lineRule="auto"/>
        <w:jc w:val="center"/>
        <w:rPr>
          <w:rFonts w:ascii="Arial" w:hAnsi="Arial" w:cs="Arial"/>
          <w:sz w:val="32"/>
          <w:szCs w:val="32"/>
          <w:lang w:val="en-US"/>
        </w:rPr>
      </w:pPr>
    </w:p>
    <w:p w14:paraId="5A2DF126" w14:textId="06F808FA" w:rsidR="00894AC8" w:rsidRPr="00853209" w:rsidRDefault="0005771F" w:rsidP="00FF0AB5">
      <w:pPr>
        <w:spacing w:line="276" w:lineRule="auto"/>
        <w:jc w:val="center"/>
        <w:rPr>
          <w:rFonts w:ascii="Arial" w:hAnsi="Arial" w:cs="Arial"/>
          <w:sz w:val="32"/>
          <w:szCs w:val="32"/>
          <w:lang w:val="en-US"/>
        </w:rPr>
      </w:pPr>
      <w:r w:rsidRPr="00853209">
        <w:rPr>
          <w:rFonts w:ascii="Arial" w:hAnsi="Arial" w:cs="Arial"/>
          <w:sz w:val="32"/>
          <w:szCs w:val="32"/>
          <w:lang w:val="en-US"/>
        </w:rPr>
        <w:t>Lecturer’s Name:</w:t>
      </w:r>
      <w:r w:rsidR="0035328C" w:rsidRPr="00853209">
        <w:rPr>
          <w:rFonts w:ascii="Arial" w:hAnsi="Arial" w:cs="Arial"/>
          <w:sz w:val="32"/>
          <w:szCs w:val="32"/>
          <w:lang w:val="en-US"/>
        </w:rPr>
        <w:t xml:space="preserve"> </w:t>
      </w:r>
      <w:r w:rsidR="00930FB0" w:rsidRPr="00853209">
        <w:rPr>
          <w:rFonts w:ascii="Arial" w:hAnsi="Arial" w:cs="Arial"/>
          <w:sz w:val="32"/>
          <w:szCs w:val="32"/>
        </w:rPr>
        <w:t>Dr</w:t>
      </w:r>
      <w:r w:rsidR="00EE2BDD" w:rsidRPr="00853209">
        <w:rPr>
          <w:rFonts w:ascii="Arial" w:hAnsi="Arial" w:cs="Arial"/>
          <w:sz w:val="32"/>
          <w:szCs w:val="32"/>
        </w:rPr>
        <w:t>.</w:t>
      </w:r>
      <w:r w:rsidR="00930FB0" w:rsidRPr="00853209">
        <w:rPr>
          <w:rFonts w:ascii="Arial" w:hAnsi="Arial" w:cs="Arial"/>
          <w:sz w:val="32"/>
          <w:szCs w:val="32"/>
        </w:rPr>
        <w:t xml:space="preserve"> Samson Oladejo</w:t>
      </w:r>
    </w:p>
    <w:p w14:paraId="4E011622" w14:textId="2F8930A0" w:rsidR="00394A9D" w:rsidRPr="00853209" w:rsidRDefault="00394A9D" w:rsidP="0005771F">
      <w:pPr>
        <w:spacing w:line="276" w:lineRule="auto"/>
        <w:jc w:val="both"/>
        <w:rPr>
          <w:rFonts w:ascii="Arial" w:hAnsi="Arial" w:cs="Arial"/>
          <w:color w:val="1D2125"/>
          <w:sz w:val="32"/>
          <w:szCs w:val="32"/>
          <w:shd w:val="clear" w:color="auto" w:fill="FFFFFF"/>
        </w:rPr>
      </w:pPr>
    </w:p>
    <w:p w14:paraId="0F138B32" w14:textId="77777777" w:rsidR="00394A9D" w:rsidRPr="00853209"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853209" w:rsidRDefault="00394A9D" w:rsidP="00C43F1E">
      <w:pPr>
        <w:spacing w:line="276" w:lineRule="auto"/>
        <w:rPr>
          <w:rFonts w:ascii="Arial" w:hAnsi="Arial" w:cs="Arial"/>
          <w:color w:val="1D2125"/>
          <w:sz w:val="48"/>
          <w:szCs w:val="48"/>
          <w:shd w:val="clear" w:color="auto" w:fill="FFFFFF"/>
        </w:rPr>
      </w:pPr>
    </w:p>
    <w:p w14:paraId="32A35DA0" w14:textId="62F165ED" w:rsidR="00441EB2" w:rsidRPr="00853209" w:rsidRDefault="00441EB2" w:rsidP="0030382C">
      <w:pPr>
        <w:spacing w:line="360" w:lineRule="auto"/>
        <w:rPr>
          <w:rFonts w:ascii="Arial" w:hAnsi="Arial" w:cs="Arial"/>
        </w:rPr>
      </w:pPr>
      <w:bookmarkStart w:id="0" w:name="_Hlk205982702"/>
    </w:p>
    <w:bookmarkEnd w:id="0" w:displacedByCustomXml="next"/>
    <w:bookmarkStart w:id="1" w:name="_Toc234790130" w:displacedByCustomXml="next"/>
    <w:bookmarkStart w:id="2" w:name="_Toc234790166" w:displacedByCustomXml="next"/>
    <w:sdt>
      <w:sdtPr>
        <w:rPr>
          <w:rFonts w:asciiTheme="minorHAnsi" w:eastAsiaTheme="minorHAnsi" w:hAnsiTheme="minorHAnsi" w:cstheme="minorBidi"/>
          <w:color w:val="auto"/>
          <w:kern w:val="2"/>
          <w:sz w:val="24"/>
          <w:szCs w:val="24"/>
          <w:lang w:eastAsia="en-US"/>
          <w14:ligatures w14:val="standardContextual"/>
        </w:rPr>
        <w:id w:val="-1840606753"/>
        <w:docPartObj>
          <w:docPartGallery w:val="Table of Contents"/>
          <w:docPartUnique/>
        </w:docPartObj>
      </w:sdtPr>
      <w:sdtEndPr>
        <w:rPr>
          <w:noProof/>
        </w:rPr>
      </w:sdtEndPr>
      <w:sdtContent>
        <w:p w14:paraId="7A0FDC64" w14:textId="1160C9AE" w:rsidR="00E30985" w:rsidRDefault="00E30985">
          <w:pPr>
            <w:pStyle w:val="TOCHeading"/>
          </w:pPr>
          <w:r>
            <w:t>Contents</w:t>
          </w:r>
        </w:p>
        <w:p w14:paraId="6FE27808" w14:textId="5E69F296" w:rsidR="00E30985" w:rsidRPr="00EF086E" w:rsidRDefault="00E30985">
          <w:pPr>
            <w:pStyle w:val="TOC1"/>
            <w:tabs>
              <w:tab w:val="right" w:leader="dot" w:pos="9016"/>
            </w:tabs>
            <w:rPr>
              <w:rFonts w:eastAsiaTheme="minorEastAsia"/>
              <w:noProof/>
              <w:lang w:val="en-US"/>
            </w:rPr>
          </w:pPr>
          <w:r w:rsidRPr="00EF086E">
            <w:fldChar w:fldCharType="begin"/>
          </w:r>
          <w:r w:rsidRPr="00EF086E">
            <w:instrText xml:space="preserve"> TOC \o "1-3" \h \z \u </w:instrText>
          </w:r>
          <w:r w:rsidRPr="00EF086E">
            <w:fldChar w:fldCharType="separate"/>
          </w:r>
          <w:hyperlink w:anchor="_Toc235049524" w:history="1">
            <w:r w:rsidRPr="00EF086E">
              <w:rPr>
                <w:rStyle w:val="Hyperlink"/>
                <w:rFonts w:ascii="Arial" w:hAnsi="Arial" w:cs="Arial"/>
                <w:noProof/>
              </w:rPr>
              <w:t>Executive summary</w:t>
            </w:r>
            <w:r w:rsidRPr="00EF086E">
              <w:rPr>
                <w:noProof/>
                <w:webHidden/>
              </w:rPr>
              <w:tab/>
            </w:r>
            <w:r w:rsidRPr="00EF086E">
              <w:rPr>
                <w:noProof/>
                <w:webHidden/>
              </w:rPr>
              <w:fldChar w:fldCharType="begin"/>
            </w:r>
            <w:r w:rsidRPr="00EF086E">
              <w:rPr>
                <w:noProof/>
                <w:webHidden/>
              </w:rPr>
              <w:instrText xml:space="preserve"> PAGEREF _Toc235049524 \h </w:instrText>
            </w:r>
            <w:r w:rsidRPr="00EF086E">
              <w:rPr>
                <w:noProof/>
                <w:webHidden/>
              </w:rPr>
            </w:r>
            <w:r w:rsidRPr="00EF086E">
              <w:rPr>
                <w:noProof/>
                <w:webHidden/>
              </w:rPr>
              <w:fldChar w:fldCharType="separate"/>
            </w:r>
            <w:r w:rsidRPr="00EF086E">
              <w:rPr>
                <w:noProof/>
                <w:webHidden/>
              </w:rPr>
              <w:t>3</w:t>
            </w:r>
            <w:r w:rsidRPr="00EF086E">
              <w:rPr>
                <w:noProof/>
                <w:webHidden/>
              </w:rPr>
              <w:fldChar w:fldCharType="end"/>
            </w:r>
          </w:hyperlink>
        </w:p>
        <w:p w14:paraId="5E23C650" w14:textId="1E50FCC2" w:rsidR="00E30985" w:rsidRPr="00EF086E" w:rsidRDefault="00E30985">
          <w:pPr>
            <w:pStyle w:val="TOC1"/>
            <w:tabs>
              <w:tab w:val="right" w:leader="dot" w:pos="9016"/>
            </w:tabs>
            <w:rPr>
              <w:rFonts w:eastAsiaTheme="minorEastAsia"/>
              <w:noProof/>
              <w:lang w:val="en-US"/>
            </w:rPr>
          </w:pPr>
          <w:hyperlink w:anchor="_Toc235049525" w:history="1">
            <w:r w:rsidRPr="00EF086E">
              <w:rPr>
                <w:rStyle w:val="Hyperlink"/>
                <w:rFonts w:ascii="Arial" w:hAnsi="Arial" w:cs="Arial"/>
                <w:noProof/>
              </w:rPr>
              <w:t>1. Introduction</w:t>
            </w:r>
            <w:r w:rsidRPr="00EF086E">
              <w:rPr>
                <w:noProof/>
                <w:webHidden/>
              </w:rPr>
              <w:tab/>
            </w:r>
            <w:r w:rsidRPr="00EF086E">
              <w:rPr>
                <w:noProof/>
                <w:webHidden/>
              </w:rPr>
              <w:fldChar w:fldCharType="begin"/>
            </w:r>
            <w:r w:rsidRPr="00EF086E">
              <w:rPr>
                <w:noProof/>
                <w:webHidden/>
              </w:rPr>
              <w:instrText xml:space="preserve"> PAGEREF _Toc235049525 \h </w:instrText>
            </w:r>
            <w:r w:rsidRPr="00EF086E">
              <w:rPr>
                <w:noProof/>
                <w:webHidden/>
              </w:rPr>
            </w:r>
            <w:r w:rsidRPr="00EF086E">
              <w:rPr>
                <w:noProof/>
                <w:webHidden/>
              </w:rPr>
              <w:fldChar w:fldCharType="separate"/>
            </w:r>
            <w:r w:rsidRPr="00EF086E">
              <w:rPr>
                <w:noProof/>
                <w:webHidden/>
              </w:rPr>
              <w:t>4</w:t>
            </w:r>
            <w:r w:rsidRPr="00EF086E">
              <w:rPr>
                <w:noProof/>
                <w:webHidden/>
              </w:rPr>
              <w:fldChar w:fldCharType="end"/>
            </w:r>
          </w:hyperlink>
        </w:p>
        <w:p w14:paraId="1D7BCB33" w14:textId="49858092" w:rsidR="00E30985" w:rsidRPr="00EF086E" w:rsidRDefault="00E30985">
          <w:pPr>
            <w:pStyle w:val="TOC1"/>
            <w:tabs>
              <w:tab w:val="right" w:leader="dot" w:pos="9016"/>
            </w:tabs>
            <w:rPr>
              <w:rFonts w:eastAsiaTheme="minorEastAsia"/>
              <w:noProof/>
              <w:lang w:val="en-US"/>
            </w:rPr>
          </w:pPr>
          <w:hyperlink w:anchor="_Toc235049526" w:history="1">
            <w:r w:rsidRPr="00EF086E">
              <w:rPr>
                <w:rStyle w:val="Hyperlink"/>
                <w:rFonts w:ascii="Arial" w:hAnsi="Arial" w:cs="Arial"/>
                <w:noProof/>
                <w:lang w:val="en-US"/>
              </w:rPr>
              <w:t>2. Key Contemporary HR Challenges at Tesco PLC</w:t>
            </w:r>
            <w:r w:rsidRPr="00EF086E">
              <w:rPr>
                <w:noProof/>
                <w:webHidden/>
              </w:rPr>
              <w:tab/>
            </w:r>
            <w:r w:rsidRPr="00EF086E">
              <w:rPr>
                <w:noProof/>
                <w:webHidden/>
              </w:rPr>
              <w:fldChar w:fldCharType="begin"/>
            </w:r>
            <w:r w:rsidRPr="00EF086E">
              <w:rPr>
                <w:noProof/>
                <w:webHidden/>
              </w:rPr>
              <w:instrText xml:space="preserve"> PAGEREF _Toc235049526 \h </w:instrText>
            </w:r>
            <w:r w:rsidRPr="00EF086E">
              <w:rPr>
                <w:noProof/>
                <w:webHidden/>
              </w:rPr>
            </w:r>
            <w:r w:rsidRPr="00EF086E">
              <w:rPr>
                <w:noProof/>
                <w:webHidden/>
              </w:rPr>
              <w:fldChar w:fldCharType="separate"/>
            </w:r>
            <w:r w:rsidRPr="00EF086E">
              <w:rPr>
                <w:noProof/>
                <w:webHidden/>
              </w:rPr>
              <w:t>5</w:t>
            </w:r>
            <w:r w:rsidRPr="00EF086E">
              <w:rPr>
                <w:noProof/>
                <w:webHidden/>
              </w:rPr>
              <w:fldChar w:fldCharType="end"/>
            </w:r>
          </w:hyperlink>
        </w:p>
        <w:p w14:paraId="312F18BA" w14:textId="663E2C7B" w:rsidR="00E30985" w:rsidRPr="00EF086E" w:rsidRDefault="00E30985">
          <w:pPr>
            <w:pStyle w:val="TOC2"/>
            <w:tabs>
              <w:tab w:val="right" w:leader="dot" w:pos="9016"/>
            </w:tabs>
            <w:rPr>
              <w:rFonts w:eastAsiaTheme="minorEastAsia"/>
              <w:noProof/>
              <w:lang w:val="en-US"/>
            </w:rPr>
          </w:pPr>
          <w:hyperlink w:anchor="_Toc235049527" w:history="1">
            <w:r w:rsidRPr="00EF086E">
              <w:rPr>
                <w:rStyle w:val="Hyperlink"/>
                <w:rFonts w:ascii="Arial" w:hAnsi="Arial" w:cs="Arial"/>
                <w:noProof/>
                <w:lang w:val="en-US"/>
              </w:rPr>
              <w:t>2.1 Adapting to Technological Advancements</w:t>
            </w:r>
            <w:r w:rsidRPr="00EF086E">
              <w:rPr>
                <w:noProof/>
                <w:webHidden/>
              </w:rPr>
              <w:tab/>
            </w:r>
            <w:r w:rsidRPr="00EF086E">
              <w:rPr>
                <w:noProof/>
                <w:webHidden/>
              </w:rPr>
              <w:fldChar w:fldCharType="begin"/>
            </w:r>
            <w:r w:rsidRPr="00EF086E">
              <w:rPr>
                <w:noProof/>
                <w:webHidden/>
              </w:rPr>
              <w:instrText xml:space="preserve"> PAGEREF _Toc235049527 \h </w:instrText>
            </w:r>
            <w:r w:rsidRPr="00EF086E">
              <w:rPr>
                <w:noProof/>
                <w:webHidden/>
              </w:rPr>
            </w:r>
            <w:r w:rsidRPr="00EF086E">
              <w:rPr>
                <w:noProof/>
                <w:webHidden/>
              </w:rPr>
              <w:fldChar w:fldCharType="separate"/>
            </w:r>
            <w:r w:rsidRPr="00EF086E">
              <w:rPr>
                <w:noProof/>
                <w:webHidden/>
              </w:rPr>
              <w:t>5</w:t>
            </w:r>
            <w:r w:rsidRPr="00EF086E">
              <w:rPr>
                <w:noProof/>
                <w:webHidden/>
              </w:rPr>
              <w:fldChar w:fldCharType="end"/>
            </w:r>
          </w:hyperlink>
        </w:p>
        <w:p w14:paraId="76D4700F" w14:textId="1C71CF3B" w:rsidR="00E30985" w:rsidRPr="00EF086E" w:rsidRDefault="00E30985">
          <w:pPr>
            <w:pStyle w:val="TOC2"/>
            <w:tabs>
              <w:tab w:val="right" w:leader="dot" w:pos="9016"/>
            </w:tabs>
            <w:rPr>
              <w:rFonts w:eastAsiaTheme="minorEastAsia"/>
              <w:noProof/>
              <w:lang w:val="en-US"/>
            </w:rPr>
          </w:pPr>
          <w:hyperlink w:anchor="_Toc235049528" w:history="1">
            <w:r w:rsidRPr="00EF086E">
              <w:rPr>
                <w:rStyle w:val="Hyperlink"/>
                <w:rFonts w:ascii="Arial" w:hAnsi="Arial" w:cs="Arial"/>
                <w:noProof/>
                <w:lang w:val="en-US"/>
              </w:rPr>
              <w:t>2.2 Talent Acquisition and Retention</w:t>
            </w:r>
            <w:r w:rsidRPr="00EF086E">
              <w:rPr>
                <w:noProof/>
                <w:webHidden/>
              </w:rPr>
              <w:tab/>
            </w:r>
            <w:r w:rsidRPr="00EF086E">
              <w:rPr>
                <w:noProof/>
                <w:webHidden/>
              </w:rPr>
              <w:fldChar w:fldCharType="begin"/>
            </w:r>
            <w:r w:rsidRPr="00EF086E">
              <w:rPr>
                <w:noProof/>
                <w:webHidden/>
              </w:rPr>
              <w:instrText xml:space="preserve"> PAGEREF _Toc235049528 \h </w:instrText>
            </w:r>
            <w:r w:rsidRPr="00EF086E">
              <w:rPr>
                <w:noProof/>
                <w:webHidden/>
              </w:rPr>
            </w:r>
            <w:r w:rsidRPr="00EF086E">
              <w:rPr>
                <w:noProof/>
                <w:webHidden/>
              </w:rPr>
              <w:fldChar w:fldCharType="separate"/>
            </w:r>
            <w:r w:rsidRPr="00EF086E">
              <w:rPr>
                <w:noProof/>
                <w:webHidden/>
              </w:rPr>
              <w:t>5</w:t>
            </w:r>
            <w:r w:rsidRPr="00EF086E">
              <w:rPr>
                <w:noProof/>
                <w:webHidden/>
              </w:rPr>
              <w:fldChar w:fldCharType="end"/>
            </w:r>
          </w:hyperlink>
        </w:p>
        <w:p w14:paraId="4EDBDD25" w14:textId="74FD33A7" w:rsidR="00E30985" w:rsidRPr="00EF086E" w:rsidRDefault="00E30985">
          <w:pPr>
            <w:pStyle w:val="TOC2"/>
            <w:tabs>
              <w:tab w:val="right" w:leader="dot" w:pos="9016"/>
            </w:tabs>
            <w:rPr>
              <w:rFonts w:eastAsiaTheme="minorEastAsia"/>
              <w:noProof/>
              <w:lang w:val="en-US"/>
            </w:rPr>
          </w:pPr>
          <w:hyperlink w:anchor="_Toc235049529" w:history="1">
            <w:r w:rsidRPr="00EF086E">
              <w:rPr>
                <w:rStyle w:val="Hyperlink"/>
                <w:rFonts w:ascii="Arial" w:hAnsi="Arial" w:cs="Arial"/>
                <w:noProof/>
                <w:lang w:val="en-US"/>
              </w:rPr>
              <w:t>2.3 Diversity, Equity and Inclusion (DEI)</w:t>
            </w:r>
            <w:r w:rsidRPr="00EF086E">
              <w:rPr>
                <w:noProof/>
                <w:webHidden/>
              </w:rPr>
              <w:tab/>
            </w:r>
            <w:r w:rsidRPr="00EF086E">
              <w:rPr>
                <w:noProof/>
                <w:webHidden/>
              </w:rPr>
              <w:fldChar w:fldCharType="begin"/>
            </w:r>
            <w:r w:rsidRPr="00EF086E">
              <w:rPr>
                <w:noProof/>
                <w:webHidden/>
              </w:rPr>
              <w:instrText xml:space="preserve"> PAGEREF _Toc235049529 \h </w:instrText>
            </w:r>
            <w:r w:rsidRPr="00EF086E">
              <w:rPr>
                <w:noProof/>
                <w:webHidden/>
              </w:rPr>
            </w:r>
            <w:r w:rsidRPr="00EF086E">
              <w:rPr>
                <w:noProof/>
                <w:webHidden/>
              </w:rPr>
              <w:fldChar w:fldCharType="separate"/>
            </w:r>
            <w:r w:rsidRPr="00EF086E">
              <w:rPr>
                <w:noProof/>
                <w:webHidden/>
              </w:rPr>
              <w:t>6</w:t>
            </w:r>
            <w:r w:rsidRPr="00EF086E">
              <w:rPr>
                <w:noProof/>
                <w:webHidden/>
              </w:rPr>
              <w:fldChar w:fldCharType="end"/>
            </w:r>
          </w:hyperlink>
        </w:p>
        <w:p w14:paraId="63BFAB48" w14:textId="71D54716" w:rsidR="00E30985" w:rsidRPr="00EF086E" w:rsidRDefault="00E30985">
          <w:pPr>
            <w:pStyle w:val="TOC1"/>
            <w:tabs>
              <w:tab w:val="right" w:leader="dot" w:pos="9016"/>
            </w:tabs>
            <w:rPr>
              <w:rFonts w:eastAsiaTheme="minorEastAsia"/>
              <w:noProof/>
              <w:lang w:val="en-US"/>
            </w:rPr>
          </w:pPr>
          <w:hyperlink w:anchor="_Toc235049530" w:history="1">
            <w:r w:rsidRPr="00EF086E">
              <w:rPr>
                <w:rStyle w:val="Hyperlink"/>
                <w:rFonts w:ascii="Arial" w:hAnsi="Arial" w:cs="Arial"/>
                <w:noProof/>
                <w:lang w:val="en-US"/>
              </w:rPr>
              <w:t>3. Evaluation of Contemporary HR Practices</w:t>
            </w:r>
            <w:r w:rsidRPr="00EF086E">
              <w:rPr>
                <w:noProof/>
                <w:webHidden/>
              </w:rPr>
              <w:tab/>
            </w:r>
            <w:r w:rsidRPr="00EF086E">
              <w:rPr>
                <w:noProof/>
                <w:webHidden/>
              </w:rPr>
              <w:fldChar w:fldCharType="begin"/>
            </w:r>
            <w:r w:rsidRPr="00EF086E">
              <w:rPr>
                <w:noProof/>
                <w:webHidden/>
              </w:rPr>
              <w:instrText xml:space="preserve"> PAGEREF _Toc235049530 \h </w:instrText>
            </w:r>
            <w:r w:rsidRPr="00EF086E">
              <w:rPr>
                <w:noProof/>
                <w:webHidden/>
              </w:rPr>
            </w:r>
            <w:r w:rsidRPr="00EF086E">
              <w:rPr>
                <w:noProof/>
                <w:webHidden/>
              </w:rPr>
              <w:fldChar w:fldCharType="separate"/>
            </w:r>
            <w:r w:rsidRPr="00EF086E">
              <w:rPr>
                <w:noProof/>
                <w:webHidden/>
              </w:rPr>
              <w:t>7</w:t>
            </w:r>
            <w:r w:rsidRPr="00EF086E">
              <w:rPr>
                <w:noProof/>
                <w:webHidden/>
              </w:rPr>
              <w:fldChar w:fldCharType="end"/>
            </w:r>
          </w:hyperlink>
        </w:p>
        <w:p w14:paraId="4B1AD700" w14:textId="27A6A7AD" w:rsidR="00E30985" w:rsidRPr="00EF086E" w:rsidRDefault="00E30985">
          <w:pPr>
            <w:pStyle w:val="TOC2"/>
            <w:tabs>
              <w:tab w:val="right" w:leader="dot" w:pos="9016"/>
            </w:tabs>
            <w:rPr>
              <w:rFonts w:eastAsiaTheme="minorEastAsia"/>
              <w:noProof/>
              <w:lang w:val="en-US"/>
            </w:rPr>
          </w:pPr>
          <w:hyperlink w:anchor="_Toc235049531" w:history="1">
            <w:r w:rsidRPr="00EF086E">
              <w:rPr>
                <w:rStyle w:val="Hyperlink"/>
                <w:rFonts w:ascii="Arial" w:hAnsi="Arial" w:cs="Arial"/>
                <w:noProof/>
                <w:lang w:val="en-US"/>
              </w:rPr>
              <w:t>3.1 Digital HR Systems and Workforce Analytics</w:t>
            </w:r>
            <w:r w:rsidRPr="00EF086E">
              <w:rPr>
                <w:noProof/>
                <w:webHidden/>
              </w:rPr>
              <w:tab/>
            </w:r>
            <w:r w:rsidRPr="00EF086E">
              <w:rPr>
                <w:noProof/>
                <w:webHidden/>
              </w:rPr>
              <w:fldChar w:fldCharType="begin"/>
            </w:r>
            <w:r w:rsidRPr="00EF086E">
              <w:rPr>
                <w:noProof/>
                <w:webHidden/>
              </w:rPr>
              <w:instrText xml:space="preserve"> PAGEREF _Toc235049531 \h </w:instrText>
            </w:r>
            <w:r w:rsidRPr="00EF086E">
              <w:rPr>
                <w:noProof/>
                <w:webHidden/>
              </w:rPr>
            </w:r>
            <w:r w:rsidRPr="00EF086E">
              <w:rPr>
                <w:noProof/>
                <w:webHidden/>
              </w:rPr>
              <w:fldChar w:fldCharType="separate"/>
            </w:r>
            <w:r w:rsidRPr="00EF086E">
              <w:rPr>
                <w:noProof/>
                <w:webHidden/>
              </w:rPr>
              <w:t>7</w:t>
            </w:r>
            <w:r w:rsidRPr="00EF086E">
              <w:rPr>
                <w:noProof/>
                <w:webHidden/>
              </w:rPr>
              <w:fldChar w:fldCharType="end"/>
            </w:r>
          </w:hyperlink>
        </w:p>
        <w:p w14:paraId="5FB6FFC7" w14:textId="7D71E25B" w:rsidR="00E30985" w:rsidRPr="00EF086E" w:rsidRDefault="00E30985">
          <w:pPr>
            <w:pStyle w:val="TOC2"/>
            <w:tabs>
              <w:tab w:val="right" w:leader="dot" w:pos="9016"/>
            </w:tabs>
            <w:rPr>
              <w:rFonts w:eastAsiaTheme="minorEastAsia"/>
              <w:noProof/>
              <w:lang w:val="en-US"/>
            </w:rPr>
          </w:pPr>
          <w:hyperlink w:anchor="_Toc235049532" w:history="1">
            <w:r w:rsidRPr="00EF086E">
              <w:rPr>
                <w:rStyle w:val="Hyperlink"/>
                <w:rFonts w:ascii="Arial" w:hAnsi="Arial" w:cs="Arial"/>
                <w:noProof/>
                <w:lang w:val="en-US"/>
              </w:rPr>
              <w:t>3.2 Strategic Workforce Planning and Employee Engagement</w:t>
            </w:r>
            <w:r w:rsidRPr="00EF086E">
              <w:rPr>
                <w:noProof/>
                <w:webHidden/>
              </w:rPr>
              <w:tab/>
            </w:r>
            <w:r w:rsidRPr="00EF086E">
              <w:rPr>
                <w:noProof/>
                <w:webHidden/>
              </w:rPr>
              <w:fldChar w:fldCharType="begin"/>
            </w:r>
            <w:r w:rsidRPr="00EF086E">
              <w:rPr>
                <w:noProof/>
                <w:webHidden/>
              </w:rPr>
              <w:instrText xml:space="preserve"> PAGEREF _Toc235049532 \h </w:instrText>
            </w:r>
            <w:r w:rsidRPr="00EF086E">
              <w:rPr>
                <w:noProof/>
                <w:webHidden/>
              </w:rPr>
            </w:r>
            <w:r w:rsidRPr="00EF086E">
              <w:rPr>
                <w:noProof/>
                <w:webHidden/>
              </w:rPr>
              <w:fldChar w:fldCharType="separate"/>
            </w:r>
            <w:r w:rsidRPr="00EF086E">
              <w:rPr>
                <w:noProof/>
                <w:webHidden/>
              </w:rPr>
              <w:t>7</w:t>
            </w:r>
            <w:r w:rsidRPr="00EF086E">
              <w:rPr>
                <w:noProof/>
                <w:webHidden/>
              </w:rPr>
              <w:fldChar w:fldCharType="end"/>
            </w:r>
          </w:hyperlink>
        </w:p>
        <w:p w14:paraId="0A7F5AE6" w14:textId="18D2DE29" w:rsidR="00E30985" w:rsidRPr="00EF086E" w:rsidRDefault="00E30985">
          <w:pPr>
            <w:pStyle w:val="TOC2"/>
            <w:tabs>
              <w:tab w:val="right" w:leader="dot" w:pos="9016"/>
            </w:tabs>
            <w:rPr>
              <w:rFonts w:eastAsiaTheme="minorEastAsia"/>
              <w:noProof/>
              <w:lang w:val="en-US"/>
            </w:rPr>
          </w:pPr>
          <w:hyperlink w:anchor="_Toc235049533" w:history="1">
            <w:r w:rsidRPr="00EF086E">
              <w:rPr>
                <w:rStyle w:val="Hyperlink"/>
                <w:rFonts w:ascii="Arial" w:hAnsi="Arial" w:cs="Arial"/>
                <w:noProof/>
                <w:lang w:val="en-US"/>
              </w:rPr>
              <w:t>3.3 Inclusive Recruitment, Leadership Development and DEI Initiatives</w:t>
            </w:r>
            <w:r w:rsidRPr="00EF086E">
              <w:rPr>
                <w:noProof/>
                <w:webHidden/>
              </w:rPr>
              <w:tab/>
            </w:r>
            <w:r w:rsidRPr="00EF086E">
              <w:rPr>
                <w:noProof/>
                <w:webHidden/>
              </w:rPr>
              <w:fldChar w:fldCharType="begin"/>
            </w:r>
            <w:r w:rsidRPr="00EF086E">
              <w:rPr>
                <w:noProof/>
                <w:webHidden/>
              </w:rPr>
              <w:instrText xml:space="preserve"> PAGEREF _Toc235049533 \h </w:instrText>
            </w:r>
            <w:r w:rsidRPr="00EF086E">
              <w:rPr>
                <w:noProof/>
                <w:webHidden/>
              </w:rPr>
            </w:r>
            <w:r w:rsidRPr="00EF086E">
              <w:rPr>
                <w:noProof/>
                <w:webHidden/>
              </w:rPr>
              <w:fldChar w:fldCharType="separate"/>
            </w:r>
            <w:r w:rsidRPr="00EF086E">
              <w:rPr>
                <w:noProof/>
                <w:webHidden/>
              </w:rPr>
              <w:t>8</w:t>
            </w:r>
            <w:r w:rsidRPr="00EF086E">
              <w:rPr>
                <w:noProof/>
                <w:webHidden/>
              </w:rPr>
              <w:fldChar w:fldCharType="end"/>
            </w:r>
          </w:hyperlink>
        </w:p>
        <w:p w14:paraId="52CEE8B8" w14:textId="0C2BE0A9" w:rsidR="00E30985" w:rsidRPr="00EF086E" w:rsidRDefault="00E30985">
          <w:pPr>
            <w:pStyle w:val="TOC1"/>
            <w:tabs>
              <w:tab w:val="right" w:leader="dot" w:pos="9016"/>
            </w:tabs>
            <w:rPr>
              <w:rFonts w:eastAsiaTheme="minorEastAsia"/>
              <w:noProof/>
              <w:lang w:val="en-US"/>
            </w:rPr>
          </w:pPr>
          <w:hyperlink w:anchor="_Toc235049534" w:history="1">
            <w:r w:rsidRPr="00EF086E">
              <w:rPr>
                <w:rStyle w:val="Hyperlink"/>
                <w:rFonts w:ascii="Arial" w:hAnsi="Arial" w:cs="Arial"/>
                <w:noProof/>
                <w:lang w:val="en-US"/>
              </w:rPr>
              <w:t>4. Critical Evaluation of Managerial Implementation</w:t>
            </w:r>
            <w:r w:rsidRPr="00EF086E">
              <w:rPr>
                <w:noProof/>
                <w:webHidden/>
              </w:rPr>
              <w:tab/>
            </w:r>
            <w:r w:rsidRPr="00EF086E">
              <w:rPr>
                <w:noProof/>
                <w:webHidden/>
              </w:rPr>
              <w:fldChar w:fldCharType="begin"/>
            </w:r>
            <w:r w:rsidRPr="00EF086E">
              <w:rPr>
                <w:noProof/>
                <w:webHidden/>
              </w:rPr>
              <w:instrText xml:space="preserve"> PAGEREF _Toc235049534 \h </w:instrText>
            </w:r>
            <w:r w:rsidRPr="00EF086E">
              <w:rPr>
                <w:noProof/>
                <w:webHidden/>
              </w:rPr>
            </w:r>
            <w:r w:rsidRPr="00EF086E">
              <w:rPr>
                <w:noProof/>
                <w:webHidden/>
              </w:rPr>
              <w:fldChar w:fldCharType="separate"/>
            </w:r>
            <w:r w:rsidRPr="00EF086E">
              <w:rPr>
                <w:noProof/>
                <w:webHidden/>
              </w:rPr>
              <w:t>9</w:t>
            </w:r>
            <w:r w:rsidRPr="00EF086E">
              <w:rPr>
                <w:noProof/>
                <w:webHidden/>
              </w:rPr>
              <w:fldChar w:fldCharType="end"/>
            </w:r>
          </w:hyperlink>
        </w:p>
        <w:p w14:paraId="66C2B967" w14:textId="2E6219F2" w:rsidR="00E30985" w:rsidRPr="00EF086E" w:rsidRDefault="00E30985">
          <w:pPr>
            <w:pStyle w:val="TOC2"/>
            <w:tabs>
              <w:tab w:val="right" w:leader="dot" w:pos="9016"/>
            </w:tabs>
            <w:rPr>
              <w:rFonts w:eastAsiaTheme="minorEastAsia"/>
              <w:noProof/>
              <w:lang w:val="en-US"/>
            </w:rPr>
          </w:pPr>
          <w:hyperlink w:anchor="_Toc235049535" w:history="1">
            <w:r w:rsidRPr="00EF086E">
              <w:rPr>
                <w:rStyle w:val="Hyperlink"/>
                <w:rFonts w:ascii="Arial" w:hAnsi="Arial" w:cs="Arial"/>
                <w:noProof/>
                <w:lang w:val="en-US"/>
              </w:rPr>
              <w:t>4.1 Leadership Accountability and Communication Strategies</w:t>
            </w:r>
            <w:r w:rsidRPr="00EF086E">
              <w:rPr>
                <w:noProof/>
                <w:webHidden/>
              </w:rPr>
              <w:tab/>
            </w:r>
            <w:r w:rsidRPr="00EF086E">
              <w:rPr>
                <w:noProof/>
                <w:webHidden/>
              </w:rPr>
              <w:fldChar w:fldCharType="begin"/>
            </w:r>
            <w:r w:rsidRPr="00EF086E">
              <w:rPr>
                <w:noProof/>
                <w:webHidden/>
              </w:rPr>
              <w:instrText xml:space="preserve"> PAGEREF _Toc235049535 \h </w:instrText>
            </w:r>
            <w:r w:rsidRPr="00EF086E">
              <w:rPr>
                <w:noProof/>
                <w:webHidden/>
              </w:rPr>
            </w:r>
            <w:r w:rsidRPr="00EF086E">
              <w:rPr>
                <w:noProof/>
                <w:webHidden/>
              </w:rPr>
              <w:fldChar w:fldCharType="separate"/>
            </w:r>
            <w:r w:rsidRPr="00EF086E">
              <w:rPr>
                <w:noProof/>
                <w:webHidden/>
              </w:rPr>
              <w:t>9</w:t>
            </w:r>
            <w:r w:rsidRPr="00EF086E">
              <w:rPr>
                <w:noProof/>
                <w:webHidden/>
              </w:rPr>
              <w:fldChar w:fldCharType="end"/>
            </w:r>
          </w:hyperlink>
        </w:p>
        <w:p w14:paraId="574F8719" w14:textId="42DB7E08" w:rsidR="00E30985" w:rsidRPr="00EF086E" w:rsidRDefault="00E30985">
          <w:pPr>
            <w:pStyle w:val="TOC2"/>
            <w:tabs>
              <w:tab w:val="right" w:leader="dot" w:pos="9016"/>
            </w:tabs>
            <w:rPr>
              <w:rFonts w:eastAsiaTheme="minorEastAsia"/>
              <w:noProof/>
              <w:lang w:val="en-US"/>
            </w:rPr>
          </w:pPr>
          <w:hyperlink w:anchor="_Toc235049536" w:history="1">
            <w:r w:rsidRPr="00EF086E">
              <w:rPr>
                <w:rStyle w:val="Hyperlink"/>
                <w:rFonts w:ascii="Arial" w:hAnsi="Arial" w:cs="Arial"/>
                <w:noProof/>
                <w:lang w:val="en-US"/>
              </w:rPr>
              <w:t>4.2 Monitoring Performance and Organisational Culture</w:t>
            </w:r>
            <w:r w:rsidRPr="00EF086E">
              <w:rPr>
                <w:noProof/>
                <w:webHidden/>
              </w:rPr>
              <w:tab/>
            </w:r>
            <w:r w:rsidRPr="00EF086E">
              <w:rPr>
                <w:noProof/>
                <w:webHidden/>
              </w:rPr>
              <w:fldChar w:fldCharType="begin"/>
            </w:r>
            <w:r w:rsidRPr="00EF086E">
              <w:rPr>
                <w:noProof/>
                <w:webHidden/>
              </w:rPr>
              <w:instrText xml:space="preserve"> PAGEREF _Toc235049536 \h </w:instrText>
            </w:r>
            <w:r w:rsidRPr="00EF086E">
              <w:rPr>
                <w:noProof/>
                <w:webHidden/>
              </w:rPr>
            </w:r>
            <w:r w:rsidRPr="00EF086E">
              <w:rPr>
                <w:noProof/>
                <w:webHidden/>
              </w:rPr>
              <w:fldChar w:fldCharType="separate"/>
            </w:r>
            <w:r w:rsidRPr="00EF086E">
              <w:rPr>
                <w:noProof/>
                <w:webHidden/>
              </w:rPr>
              <w:t>9</w:t>
            </w:r>
            <w:r w:rsidRPr="00EF086E">
              <w:rPr>
                <w:noProof/>
                <w:webHidden/>
              </w:rPr>
              <w:fldChar w:fldCharType="end"/>
            </w:r>
          </w:hyperlink>
        </w:p>
        <w:p w14:paraId="20FEAC64" w14:textId="0E541E7F" w:rsidR="00E30985" w:rsidRPr="00EF086E" w:rsidRDefault="00E30985">
          <w:pPr>
            <w:pStyle w:val="TOC2"/>
            <w:tabs>
              <w:tab w:val="right" w:leader="dot" w:pos="9016"/>
            </w:tabs>
            <w:rPr>
              <w:rFonts w:eastAsiaTheme="minorEastAsia"/>
              <w:noProof/>
              <w:lang w:val="en-US"/>
            </w:rPr>
          </w:pPr>
          <w:hyperlink w:anchor="_Toc235049537" w:history="1">
            <w:r w:rsidRPr="00EF086E">
              <w:rPr>
                <w:rStyle w:val="Hyperlink"/>
                <w:rFonts w:ascii="Arial" w:hAnsi="Arial" w:cs="Arial"/>
                <w:noProof/>
                <w:lang w:val="en-US"/>
              </w:rPr>
              <w:t>4.3 Barriers to Implementation and Overcoming Challenges</w:t>
            </w:r>
            <w:r w:rsidRPr="00EF086E">
              <w:rPr>
                <w:noProof/>
                <w:webHidden/>
              </w:rPr>
              <w:tab/>
            </w:r>
            <w:r w:rsidRPr="00EF086E">
              <w:rPr>
                <w:noProof/>
                <w:webHidden/>
              </w:rPr>
              <w:fldChar w:fldCharType="begin"/>
            </w:r>
            <w:r w:rsidRPr="00EF086E">
              <w:rPr>
                <w:noProof/>
                <w:webHidden/>
              </w:rPr>
              <w:instrText xml:space="preserve"> PAGEREF _Toc235049537 \h </w:instrText>
            </w:r>
            <w:r w:rsidRPr="00EF086E">
              <w:rPr>
                <w:noProof/>
                <w:webHidden/>
              </w:rPr>
            </w:r>
            <w:r w:rsidRPr="00EF086E">
              <w:rPr>
                <w:noProof/>
                <w:webHidden/>
              </w:rPr>
              <w:fldChar w:fldCharType="separate"/>
            </w:r>
            <w:r w:rsidRPr="00EF086E">
              <w:rPr>
                <w:noProof/>
                <w:webHidden/>
              </w:rPr>
              <w:t>10</w:t>
            </w:r>
            <w:r w:rsidRPr="00EF086E">
              <w:rPr>
                <w:noProof/>
                <w:webHidden/>
              </w:rPr>
              <w:fldChar w:fldCharType="end"/>
            </w:r>
          </w:hyperlink>
        </w:p>
        <w:p w14:paraId="652837CA" w14:textId="6A0BB9C5" w:rsidR="00E30985" w:rsidRPr="00EF086E" w:rsidRDefault="00E30985">
          <w:pPr>
            <w:pStyle w:val="TOC1"/>
            <w:tabs>
              <w:tab w:val="right" w:leader="dot" w:pos="9016"/>
            </w:tabs>
            <w:rPr>
              <w:rFonts w:eastAsiaTheme="minorEastAsia"/>
              <w:noProof/>
              <w:lang w:val="en-US"/>
            </w:rPr>
          </w:pPr>
          <w:hyperlink w:anchor="_Toc235049538" w:history="1">
            <w:r w:rsidRPr="00EF086E">
              <w:rPr>
                <w:rStyle w:val="Hyperlink"/>
                <w:rFonts w:ascii="Arial" w:hAnsi="Arial" w:cs="Arial"/>
                <w:noProof/>
                <w:lang w:val="en-US"/>
              </w:rPr>
              <w:t>5. Recommendations</w:t>
            </w:r>
            <w:r w:rsidRPr="00EF086E">
              <w:rPr>
                <w:noProof/>
                <w:webHidden/>
              </w:rPr>
              <w:tab/>
            </w:r>
            <w:r w:rsidRPr="00EF086E">
              <w:rPr>
                <w:noProof/>
                <w:webHidden/>
              </w:rPr>
              <w:fldChar w:fldCharType="begin"/>
            </w:r>
            <w:r w:rsidRPr="00EF086E">
              <w:rPr>
                <w:noProof/>
                <w:webHidden/>
              </w:rPr>
              <w:instrText xml:space="preserve"> PAGEREF _Toc235049538 \h </w:instrText>
            </w:r>
            <w:r w:rsidRPr="00EF086E">
              <w:rPr>
                <w:noProof/>
                <w:webHidden/>
              </w:rPr>
            </w:r>
            <w:r w:rsidRPr="00EF086E">
              <w:rPr>
                <w:noProof/>
                <w:webHidden/>
              </w:rPr>
              <w:fldChar w:fldCharType="separate"/>
            </w:r>
            <w:r w:rsidRPr="00EF086E">
              <w:rPr>
                <w:noProof/>
                <w:webHidden/>
              </w:rPr>
              <w:t>10</w:t>
            </w:r>
            <w:r w:rsidRPr="00EF086E">
              <w:rPr>
                <w:noProof/>
                <w:webHidden/>
              </w:rPr>
              <w:fldChar w:fldCharType="end"/>
            </w:r>
          </w:hyperlink>
        </w:p>
        <w:p w14:paraId="52F13AD1" w14:textId="39E7B777" w:rsidR="00E30985" w:rsidRPr="00EF086E" w:rsidRDefault="00E30985">
          <w:pPr>
            <w:pStyle w:val="TOC1"/>
            <w:tabs>
              <w:tab w:val="right" w:leader="dot" w:pos="9016"/>
            </w:tabs>
            <w:rPr>
              <w:rFonts w:eastAsiaTheme="minorEastAsia"/>
              <w:noProof/>
              <w:lang w:val="en-US"/>
            </w:rPr>
          </w:pPr>
          <w:hyperlink w:anchor="_Toc235049539" w:history="1">
            <w:r w:rsidRPr="00EF086E">
              <w:rPr>
                <w:rStyle w:val="Hyperlink"/>
                <w:rFonts w:ascii="Arial" w:hAnsi="Arial" w:cs="Arial"/>
                <w:noProof/>
                <w:lang w:val="en-US"/>
              </w:rPr>
              <w:t>6. Conclusion</w:t>
            </w:r>
            <w:r w:rsidRPr="00EF086E">
              <w:rPr>
                <w:noProof/>
                <w:webHidden/>
              </w:rPr>
              <w:tab/>
            </w:r>
            <w:r w:rsidRPr="00EF086E">
              <w:rPr>
                <w:noProof/>
                <w:webHidden/>
              </w:rPr>
              <w:fldChar w:fldCharType="begin"/>
            </w:r>
            <w:r w:rsidRPr="00EF086E">
              <w:rPr>
                <w:noProof/>
                <w:webHidden/>
              </w:rPr>
              <w:instrText xml:space="preserve"> PAGEREF _Toc235049539 \h </w:instrText>
            </w:r>
            <w:r w:rsidRPr="00EF086E">
              <w:rPr>
                <w:noProof/>
                <w:webHidden/>
              </w:rPr>
            </w:r>
            <w:r w:rsidRPr="00EF086E">
              <w:rPr>
                <w:noProof/>
                <w:webHidden/>
              </w:rPr>
              <w:fldChar w:fldCharType="separate"/>
            </w:r>
            <w:r w:rsidRPr="00EF086E">
              <w:rPr>
                <w:noProof/>
                <w:webHidden/>
              </w:rPr>
              <w:t>12</w:t>
            </w:r>
            <w:r w:rsidRPr="00EF086E">
              <w:rPr>
                <w:noProof/>
                <w:webHidden/>
              </w:rPr>
              <w:fldChar w:fldCharType="end"/>
            </w:r>
          </w:hyperlink>
        </w:p>
        <w:p w14:paraId="0B6A3620" w14:textId="14195326" w:rsidR="00E30985" w:rsidRPr="00EF086E" w:rsidRDefault="00E30985">
          <w:pPr>
            <w:pStyle w:val="TOC1"/>
            <w:tabs>
              <w:tab w:val="right" w:leader="dot" w:pos="9016"/>
            </w:tabs>
            <w:rPr>
              <w:rFonts w:eastAsiaTheme="minorEastAsia"/>
              <w:noProof/>
              <w:lang w:val="en-US"/>
            </w:rPr>
          </w:pPr>
          <w:hyperlink w:anchor="_Toc235049540" w:history="1">
            <w:r w:rsidRPr="00EF086E">
              <w:rPr>
                <w:rStyle w:val="Hyperlink"/>
                <w:rFonts w:ascii="Arial" w:hAnsi="Arial" w:cs="Arial"/>
                <w:noProof/>
                <w:lang w:val="en-US"/>
              </w:rPr>
              <w:t>7. References</w:t>
            </w:r>
            <w:r w:rsidRPr="00EF086E">
              <w:rPr>
                <w:noProof/>
                <w:webHidden/>
              </w:rPr>
              <w:tab/>
            </w:r>
            <w:r w:rsidRPr="00EF086E">
              <w:rPr>
                <w:noProof/>
                <w:webHidden/>
              </w:rPr>
              <w:fldChar w:fldCharType="begin"/>
            </w:r>
            <w:r w:rsidRPr="00EF086E">
              <w:rPr>
                <w:noProof/>
                <w:webHidden/>
              </w:rPr>
              <w:instrText xml:space="preserve"> PAGEREF _Toc235049540 \h </w:instrText>
            </w:r>
            <w:r w:rsidRPr="00EF086E">
              <w:rPr>
                <w:noProof/>
                <w:webHidden/>
              </w:rPr>
            </w:r>
            <w:r w:rsidRPr="00EF086E">
              <w:rPr>
                <w:noProof/>
                <w:webHidden/>
              </w:rPr>
              <w:fldChar w:fldCharType="separate"/>
            </w:r>
            <w:r w:rsidRPr="00EF086E">
              <w:rPr>
                <w:noProof/>
                <w:webHidden/>
              </w:rPr>
              <w:t>13</w:t>
            </w:r>
            <w:r w:rsidRPr="00EF086E">
              <w:rPr>
                <w:noProof/>
                <w:webHidden/>
              </w:rPr>
              <w:fldChar w:fldCharType="end"/>
            </w:r>
          </w:hyperlink>
        </w:p>
        <w:p w14:paraId="4D86DDAA" w14:textId="2A9781F1" w:rsidR="00E30985" w:rsidRPr="00EF086E" w:rsidRDefault="00E30985">
          <w:r w:rsidRPr="00EF086E">
            <w:rPr>
              <w:noProof/>
            </w:rPr>
            <w:fldChar w:fldCharType="end"/>
          </w:r>
        </w:p>
      </w:sdtContent>
    </w:sdt>
    <w:p w14:paraId="65C8A782" w14:textId="77777777" w:rsidR="003C2227" w:rsidRPr="00853209" w:rsidRDefault="003C2227" w:rsidP="00BF071C">
      <w:pPr>
        <w:pStyle w:val="Heading1"/>
        <w:jc w:val="both"/>
        <w:rPr>
          <w:rFonts w:ascii="Arial" w:hAnsi="Arial" w:cs="Arial"/>
          <w:color w:val="002060"/>
          <w:sz w:val="28"/>
          <w:szCs w:val="28"/>
        </w:rPr>
      </w:pPr>
    </w:p>
    <w:p w14:paraId="69DE05B4" w14:textId="77777777" w:rsidR="003C2227" w:rsidRPr="00853209" w:rsidRDefault="003C2227" w:rsidP="00BF071C">
      <w:pPr>
        <w:pStyle w:val="Heading1"/>
        <w:jc w:val="both"/>
        <w:rPr>
          <w:rFonts w:ascii="Arial" w:hAnsi="Arial" w:cs="Arial"/>
          <w:color w:val="002060"/>
          <w:sz w:val="28"/>
          <w:szCs w:val="28"/>
        </w:rPr>
      </w:pPr>
    </w:p>
    <w:p w14:paraId="5AEF7770" w14:textId="77777777" w:rsidR="00227E35" w:rsidRPr="00853209" w:rsidRDefault="00227E35" w:rsidP="00227E35">
      <w:pPr>
        <w:rPr>
          <w:rFonts w:ascii="Arial" w:hAnsi="Arial" w:cs="Arial"/>
        </w:rPr>
      </w:pPr>
    </w:p>
    <w:p w14:paraId="573A59E9" w14:textId="21ED430C" w:rsidR="004E3B0D" w:rsidRPr="00853209" w:rsidRDefault="004E3B0D">
      <w:pPr>
        <w:rPr>
          <w:rFonts w:ascii="Arial" w:hAnsi="Arial" w:cs="Arial"/>
        </w:rPr>
      </w:pPr>
      <w:r w:rsidRPr="00853209">
        <w:rPr>
          <w:rFonts w:ascii="Arial" w:hAnsi="Arial" w:cs="Arial"/>
        </w:rPr>
        <w:br w:type="page"/>
      </w:r>
    </w:p>
    <w:p w14:paraId="600EDE70" w14:textId="637C5C27" w:rsidR="00BF071C" w:rsidRPr="00853209" w:rsidRDefault="008027C9" w:rsidP="00BF071C">
      <w:pPr>
        <w:pStyle w:val="Heading1"/>
        <w:jc w:val="both"/>
        <w:rPr>
          <w:rFonts w:ascii="Arial" w:hAnsi="Arial" w:cs="Arial"/>
          <w:b/>
          <w:bCs/>
          <w:color w:val="002060"/>
          <w:sz w:val="28"/>
          <w:szCs w:val="28"/>
        </w:rPr>
      </w:pPr>
      <w:bookmarkStart w:id="3" w:name="_Toc235049524"/>
      <w:r w:rsidRPr="00853209">
        <w:rPr>
          <w:rFonts w:ascii="Arial" w:hAnsi="Arial" w:cs="Arial"/>
          <w:b/>
          <w:bCs/>
          <w:color w:val="002060"/>
          <w:sz w:val="28"/>
          <w:szCs w:val="28"/>
        </w:rPr>
        <w:lastRenderedPageBreak/>
        <w:t>Executive su</w:t>
      </w:r>
      <w:r w:rsidR="00981B0D" w:rsidRPr="00853209">
        <w:rPr>
          <w:rFonts w:ascii="Arial" w:hAnsi="Arial" w:cs="Arial"/>
          <w:b/>
          <w:bCs/>
          <w:color w:val="002060"/>
          <w:sz w:val="28"/>
          <w:szCs w:val="28"/>
        </w:rPr>
        <w:t>mmary</w:t>
      </w:r>
      <w:bookmarkEnd w:id="2"/>
      <w:bookmarkEnd w:id="1"/>
      <w:bookmarkEnd w:id="3"/>
    </w:p>
    <w:p w14:paraId="3E0FC264" w14:textId="77777777" w:rsidR="000A78AC" w:rsidRPr="00853209" w:rsidRDefault="000A78AC" w:rsidP="000A78AC">
      <w:pPr>
        <w:spacing w:line="360" w:lineRule="auto"/>
        <w:jc w:val="both"/>
        <w:rPr>
          <w:rFonts w:ascii="Arial" w:hAnsi="Arial" w:cs="Arial"/>
          <w:sz w:val="22"/>
          <w:szCs w:val="22"/>
          <w:lang w:val="en-US"/>
        </w:rPr>
      </w:pPr>
      <w:r w:rsidRPr="00853209">
        <w:rPr>
          <w:rFonts w:ascii="Arial" w:hAnsi="Arial" w:cs="Arial"/>
          <w:sz w:val="22"/>
          <w:szCs w:val="22"/>
          <w:lang w:val="en-US"/>
        </w:rPr>
        <w:t>This report critically examines the contemporary Human Resource (HR) challenges facing Tesco PLC within the UK retail sector. It focuses on three key issues: technological advancement, talent acquisition and retention, and Diversity, Equity and Inclusion (DEI), analysing their impact on organisational performance, employee engagement and long-term sustainability.</w:t>
      </w:r>
    </w:p>
    <w:p w14:paraId="7DA15855" w14:textId="77777777" w:rsidR="000A78AC" w:rsidRPr="00853209" w:rsidRDefault="000A78AC" w:rsidP="000A78AC">
      <w:pPr>
        <w:spacing w:line="360" w:lineRule="auto"/>
        <w:jc w:val="both"/>
        <w:rPr>
          <w:rFonts w:ascii="Arial" w:hAnsi="Arial" w:cs="Arial"/>
          <w:sz w:val="22"/>
          <w:szCs w:val="22"/>
          <w:lang w:val="en-US"/>
        </w:rPr>
      </w:pPr>
      <w:r w:rsidRPr="00853209">
        <w:rPr>
          <w:rFonts w:ascii="Arial" w:hAnsi="Arial" w:cs="Arial"/>
          <w:sz w:val="22"/>
          <w:szCs w:val="22"/>
          <w:lang w:val="en-US"/>
        </w:rPr>
        <w:t>The report evaluates contemporary HR practices, including digital HR systems, workforce analytics, strategic workforce planning, employee engagement initiatives and inclusive recruitment, while critically assessing the role of departmental managers in implementing these practices effectively. Finally, practical recommendations are proposed to strengthen digital capability, leadership development, employee engagement and evidence-based decision-making. Overall, the report concludes that strategic Human Resource Management is essential for maintaining Tesco's competitiveness and supporting sustainable organisational success.</w:t>
      </w:r>
    </w:p>
    <w:p w14:paraId="0175020B" w14:textId="77777777" w:rsidR="00981B0D" w:rsidRPr="00853209" w:rsidRDefault="00981B0D" w:rsidP="00A762F5">
      <w:pPr>
        <w:spacing w:line="360" w:lineRule="auto"/>
        <w:jc w:val="both"/>
        <w:rPr>
          <w:rFonts w:ascii="Arial" w:hAnsi="Arial" w:cs="Arial"/>
          <w:lang w:val="en-US"/>
        </w:rPr>
      </w:pPr>
    </w:p>
    <w:p w14:paraId="16C9D049" w14:textId="77777777" w:rsidR="00981B0D" w:rsidRPr="00853209" w:rsidRDefault="00981B0D" w:rsidP="00981B0D">
      <w:pPr>
        <w:rPr>
          <w:rFonts w:ascii="Arial" w:hAnsi="Arial" w:cs="Arial"/>
        </w:rPr>
      </w:pPr>
    </w:p>
    <w:p w14:paraId="0BFD5A55" w14:textId="77777777" w:rsidR="00981B0D" w:rsidRPr="00853209" w:rsidRDefault="00981B0D" w:rsidP="00981B0D">
      <w:pPr>
        <w:rPr>
          <w:rFonts w:ascii="Arial" w:hAnsi="Arial" w:cs="Arial"/>
        </w:rPr>
      </w:pPr>
    </w:p>
    <w:p w14:paraId="586C4B2A" w14:textId="77777777" w:rsidR="00981B0D" w:rsidRPr="00853209" w:rsidRDefault="00981B0D" w:rsidP="00981B0D">
      <w:pPr>
        <w:rPr>
          <w:rFonts w:ascii="Arial" w:hAnsi="Arial" w:cs="Arial"/>
        </w:rPr>
      </w:pPr>
    </w:p>
    <w:p w14:paraId="207B2724" w14:textId="77777777" w:rsidR="00981B0D" w:rsidRPr="00853209" w:rsidRDefault="00981B0D" w:rsidP="00981B0D">
      <w:pPr>
        <w:rPr>
          <w:rFonts w:ascii="Arial" w:hAnsi="Arial" w:cs="Arial"/>
        </w:rPr>
      </w:pPr>
    </w:p>
    <w:p w14:paraId="27FD7686" w14:textId="77777777" w:rsidR="00981B0D" w:rsidRPr="00853209" w:rsidRDefault="00981B0D" w:rsidP="00981B0D">
      <w:pPr>
        <w:rPr>
          <w:rFonts w:ascii="Arial" w:hAnsi="Arial" w:cs="Arial"/>
        </w:rPr>
      </w:pPr>
    </w:p>
    <w:p w14:paraId="674ED5B9" w14:textId="77777777" w:rsidR="00981B0D" w:rsidRPr="00853209" w:rsidRDefault="00981B0D" w:rsidP="00981B0D">
      <w:pPr>
        <w:rPr>
          <w:rFonts w:ascii="Arial" w:hAnsi="Arial" w:cs="Arial"/>
        </w:rPr>
      </w:pPr>
    </w:p>
    <w:p w14:paraId="3BDDC9D9" w14:textId="77777777" w:rsidR="00981B0D" w:rsidRPr="00853209" w:rsidRDefault="00981B0D" w:rsidP="00981B0D">
      <w:pPr>
        <w:rPr>
          <w:rFonts w:ascii="Arial" w:hAnsi="Arial" w:cs="Arial"/>
        </w:rPr>
      </w:pPr>
    </w:p>
    <w:p w14:paraId="6B8AF5C0" w14:textId="77777777" w:rsidR="00981B0D" w:rsidRPr="00853209" w:rsidRDefault="00981B0D" w:rsidP="00981B0D">
      <w:pPr>
        <w:rPr>
          <w:rFonts w:ascii="Arial" w:hAnsi="Arial" w:cs="Arial"/>
        </w:rPr>
      </w:pPr>
    </w:p>
    <w:p w14:paraId="7B8693C4" w14:textId="77777777" w:rsidR="00981B0D" w:rsidRPr="00853209" w:rsidRDefault="00981B0D" w:rsidP="00981B0D">
      <w:pPr>
        <w:rPr>
          <w:rFonts w:ascii="Arial" w:hAnsi="Arial" w:cs="Arial"/>
        </w:rPr>
      </w:pPr>
    </w:p>
    <w:p w14:paraId="45F10AF1" w14:textId="77777777" w:rsidR="00981B0D" w:rsidRPr="00853209" w:rsidRDefault="00981B0D" w:rsidP="00981B0D">
      <w:pPr>
        <w:rPr>
          <w:rFonts w:ascii="Arial" w:hAnsi="Arial" w:cs="Arial"/>
        </w:rPr>
      </w:pPr>
    </w:p>
    <w:p w14:paraId="15A55DD4" w14:textId="77777777" w:rsidR="00981B0D" w:rsidRPr="00853209" w:rsidRDefault="00981B0D" w:rsidP="00981B0D">
      <w:pPr>
        <w:rPr>
          <w:rFonts w:ascii="Arial" w:hAnsi="Arial" w:cs="Arial"/>
        </w:rPr>
      </w:pPr>
    </w:p>
    <w:p w14:paraId="0F8FE2AB" w14:textId="77777777" w:rsidR="00981B0D" w:rsidRPr="00853209" w:rsidRDefault="00981B0D" w:rsidP="00981B0D">
      <w:pPr>
        <w:rPr>
          <w:rFonts w:ascii="Arial" w:hAnsi="Arial" w:cs="Arial"/>
        </w:rPr>
      </w:pPr>
    </w:p>
    <w:p w14:paraId="37FADAD7" w14:textId="77777777" w:rsidR="00981B0D" w:rsidRPr="00853209" w:rsidRDefault="00981B0D" w:rsidP="00981B0D">
      <w:pPr>
        <w:rPr>
          <w:rFonts w:ascii="Arial" w:hAnsi="Arial" w:cs="Arial"/>
        </w:rPr>
      </w:pPr>
    </w:p>
    <w:p w14:paraId="78C6A388" w14:textId="77777777" w:rsidR="00981B0D" w:rsidRPr="00853209" w:rsidRDefault="00981B0D" w:rsidP="00981B0D">
      <w:pPr>
        <w:rPr>
          <w:rFonts w:ascii="Arial" w:hAnsi="Arial" w:cs="Arial"/>
        </w:rPr>
      </w:pPr>
    </w:p>
    <w:p w14:paraId="7EE98D97" w14:textId="77777777" w:rsidR="00981B0D" w:rsidRPr="00853209" w:rsidRDefault="00981B0D" w:rsidP="00981B0D">
      <w:pPr>
        <w:rPr>
          <w:rFonts w:ascii="Arial" w:hAnsi="Arial" w:cs="Arial"/>
        </w:rPr>
      </w:pPr>
    </w:p>
    <w:p w14:paraId="6B831C25" w14:textId="326D6B8C" w:rsidR="00981B0D" w:rsidRPr="00853209" w:rsidRDefault="00B452B8" w:rsidP="00981B0D">
      <w:pPr>
        <w:pStyle w:val="Heading1"/>
        <w:jc w:val="both"/>
        <w:rPr>
          <w:rFonts w:ascii="Arial" w:hAnsi="Arial" w:cs="Arial"/>
          <w:b/>
          <w:bCs/>
          <w:color w:val="002060"/>
          <w:sz w:val="28"/>
          <w:szCs w:val="28"/>
        </w:rPr>
      </w:pPr>
      <w:bookmarkStart w:id="4" w:name="_Toc234790131"/>
      <w:bookmarkStart w:id="5" w:name="_Toc234790167"/>
      <w:bookmarkStart w:id="6" w:name="_Toc235049525"/>
      <w:r w:rsidRPr="00853209">
        <w:rPr>
          <w:rFonts w:ascii="Arial" w:hAnsi="Arial" w:cs="Arial"/>
          <w:b/>
          <w:bCs/>
          <w:color w:val="002060"/>
          <w:sz w:val="28"/>
          <w:szCs w:val="28"/>
        </w:rPr>
        <w:lastRenderedPageBreak/>
        <w:t>1</w:t>
      </w:r>
      <w:r w:rsidR="00363919" w:rsidRPr="00853209">
        <w:rPr>
          <w:rFonts w:ascii="Arial" w:hAnsi="Arial" w:cs="Arial"/>
          <w:b/>
          <w:bCs/>
          <w:color w:val="002060"/>
          <w:sz w:val="28"/>
          <w:szCs w:val="28"/>
        </w:rPr>
        <w:t>. Introduction</w:t>
      </w:r>
      <w:bookmarkEnd w:id="4"/>
      <w:bookmarkEnd w:id="5"/>
      <w:bookmarkEnd w:id="6"/>
    </w:p>
    <w:p w14:paraId="24E2CA39" w14:textId="5B7476EA" w:rsidR="00A26EA8" w:rsidRPr="00853209" w:rsidRDefault="00351E64" w:rsidP="00A762F5">
      <w:pPr>
        <w:spacing w:line="360" w:lineRule="auto"/>
        <w:jc w:val="both"/>
        <w:rPr>
          <w:rFonts w:ascii="Arial" w:hAnsi="Arial" w:cs="Arial"/>
          <w:sz w:val="22"/>
          <w:szCs w:val="22"/>
          <w:lang w:val="en-US"/>
        </w:rPr>
      </w:pPr>
      <w:r w:rsidRPr="00853209">
        <w:rPr>
          <w:rFonts w:ascii="Arial" w:hAnsi="Arial" w:cs="Arial"/>
          <w:sz w:val="22"/>
          <w:szCs w:val="22"/>
        </w:rPr>
        <w:t>Human Resource Management (HRM) has become a strategic organisational function that enables businesses to respond effectively to economic, technological and social change while enhancing employee performance and long-term sustainability</w:t>
      </w:r>
      <w:r w:rsidR="00E91952" w:rsidRPr="00853209">
        <w:rPr>
          <w:rFonts w:ascii="Arial" w:hAnsi="Arial" w:cs="Arial"/>
          <w:sz w:val="22"/>
          <w:szCs w:val="22"/>
        </w:rPr>
        <w:t xml:space="preserve"> (</w:t>
      </w:r>
      <w:r w:rsidR="00E91952" w:rsidRPr="00853209">
        <w:rPr>
          <w:rFonts w:ascii="Arial" w:hAnsi="Arial" w:cs="Arial"/>
        </w:rPr>
        <w:t>Gunawan and Mikhail, 2025)</w:t>
      </w:r>
      <w:r w:rsidRPr="00853209">
        <w:rPr>
          <w:rFonts w:ascii="Arial" w:hAnsi="Arial" w:cs="Arial"/>
          <w:sz w:val="22"/>
          <w:szCs w:val="22"/>
        </w:rPr>
        <w:t>.</w:t>
      </w:r>
      <w:r w:rsidR="004B3933" w:rsidRPr="00853209">
        <w:rPr>
          <w:rFonts w:ascii="Arial" w:hAnsi="Arial" w:cs="Arial"/>
          <w:sz w:val="22"/>
          <w:szCs w:val="22"/>
        </w:rPr>
        <w:t xml:space="preserve"> </w:t>
      </w:r>
      <w:r w:rsidR="002303C1" w:rsidRPr="00853209">
        <w:rPr>
          <w:rFonts w:ascii="Arial" w:hAnsi="Arial" w:cs="Arial"/>
          <w:sz w:val="22"/>
          <w:szCs w:val="22"/>
        </w:rPr>
        <w:t>According to Hassan (2025), organisations in the UK retail sector face increasing challenges from technological advancement, competition for skilled employees and the growing importance of Diversity, Equity and Inclusion (DEI</w:t>
      </w:r>
      <w:r w:rsidR="001D078A" w:rsidRPr="00853209">
        <w:rPr>
          <w:rFonts w:ascii="Arial" w:hAnsi="Arial" w:cs="Arial"/>
          <w:sz w:val="22"/>
          <w:szCs w:val="22"/>
        </w:rPr>
        <w:t>).</w:t>
      </w:r>
      <w:r w:rsidR="001D078A" w:rsidRPr="00853209">
        <w:rPr>
          <w:rFonts w:ascii="Arial" w:hAnsi="Arial" w:cs="Arial"/>
          <w:sz w:val="22"/>
          <w:szCs w:val="22"/>
          <w:lang w:val="en-US"/>
        </w:rPr>
        <w:t xml:space="preserve"> These</w:t>
      </w:r>
      <w:r w:rsidR="00A26EA8" w:rsidRPr="00853209">
        <w:rPr>
          <w:rFonts w:ascii="Arial" w:hAnsi="Arial" w:cs="Arial"/>
          <w:sz w:val="22"/>
          <w:szCs w:val="22"/>
          <w:lang w:val="en-US"/>
        </w:rPr>
        <w:t xml:space="preserve"> challenges require HR strategies that are flexible, innovative and aligned with organisational objectives</w:t>
      </w:r>
      <w:r w:rsidR="00C715B3" w:rsidRPr="00853209">
        <w:rPr>
          <w:rFonts w:ascii="Arial" w:hAnsi="Arial" w:cs="Arial"/>
          <w:sz w:val="22"/>
          <w:szCs w:val="22"/>
          <w:lang w:val="en-US"/>
        </w:rPr>
        <w:t xml:space="preserve"> (Hassan, 2025</w:t>
      </w:r>
      <w:r w:rsidR="00B65397" w:rsidRPr="00853209">
        <w:rPr>
          <w:rFonts w:ascii="Arial" w:hAnsi="Arial" w:cs="Arial"/>
          <w:sz w:val="22"/>
          <w:szCs w:val="22"/>
          <w:lang w:val="en-US"/>
        </w:rPr>
        <w:t>;</w:t>
      </w:r>
      <w:r w:rsidR="0000114A" w:rsidRPr="00853209">
        <w:rPr>
          <w:rFonts w:ascii="Arial" w:hAnsi="Arial" w:cs="Arial"/>
          <w:sz w:val="22"/>
          <w:szCs w:val="22"/>
          <w:lang w:val="en-US"/>
        </w:rPr>
        <w:t xml:space="preserve"> </w:t>
      </w:r>
      <w:r w:rsidR="0000114A" w:rsidRPr="00853209">
        <w:rPr>
          <w:rFonts w:ascii="Arial" w:hAnsi="Arial" w:cs="Arial"/>
          <w:sz w:val="22"/>
          <w:szCs w:val="22"/>
        </w:rPr>
        <w:t>Asokan, Smith and Huq,</w:t>
      </w:r>
      <w:r w:rsidR="006A1FC6" w:rsidRPr="00853209">
        <w:rPr>
          <w:rFonts w:ascii="Arial" w:hAnsi="Arial" w:cs="Arial"/>
          <w:sz w:val="22"/>
          <w:szCs w:val="22"/>
        </w:rPr>
        <w:t xml:space="preserve"> </w:t>
      </w:r>
      <w:r w:rsidR="0000114A" w:rsidRPr="00853209">
        <w:rPr>
          <w:rFonts w:ascii="Arial" w:hAnsi="Arial" w:cs="Arial"/>
          <w:sz w:val="22"/>
          <w:szCs w:val="22"/>
        </w:rPr>
        <w:t>2026</w:t>
      </w:r>
      <w:r w:rsidR="006A1FC6" w:rsidRPr="00853209">
        <w:rPr>
          <w:rFonts w:ascii="Arial" w:hAnsi="Arial" w:cs="Arial"/>
          <w:sz w:val="22"/>
          <w:szCs w:val="22"/>
        </w:rPr>
        <w:t>).</w:t>
      </w:r>
    </w:p>
    <w:p w14:paraId="2B74AD86" w14:textId="28EEEB4F" w:rsidR="00A26EA8" w:rsidRPr="00853209" w:rsidRDefault="00A26EA8" w:rsidP="00A762F5">
      <w:pPr>
        <w:spacing w:line="360" w:lineRule="auto"/>
        <w:jc w:val="both"/>
        <w:rPr>
          <w:rFonts w:ascii="Arial" w:hAnsi="Arial" w:cs="Arial"/>
          <w:sz w:val="22"/>
          <w:szCs w:val="22"/>
          <w:lang w:val="en-US"/>
        </w:rPr>
      </w:pPr>
      <w:r w:rsidRPr="00853209">
        <w:rPr>
          <w:rFonts w:ascii="Arial" w:hAnsi="Arial" w:cs="Arial"/>
          <w:sz w:val="22"/>
          <w:szCs w:val="22"/>
          <w:lang w:val="en-US"/>
        </w:rPr>
        <w:t xml:space="preserve">This report critically examines the contemporary HR challenges facing Tesco PLC, one of the UK's largest retailers. It evaluates how technological change, talent acquisition and retention, and DEI influence organisational performance. </w:t>
      </w:r>
      <w:r w:rsidR="0006745D" w:rsidRPr="00853209">
        <w:rPr>
          <w:rFonts w:ascii="Arial" w:hAnsi="Arial" w:cs="Arial"/>
          <w:sz w:val="22"/>
          <w:szCs w:val="22"/>
        </w:rPr>
        <w:t>The report concludes by presenting practical recommendations designed to strengthen Tesco's HR strategy and support sustainable organisational success within the UK's highly competitive retail sector.</w:t>
      </w:r>
    </w:p>
    <w:p w14:paraId="3BBCFCCA" w14:textId="77777777" w:rsidR="001D1884" w:rsidRPr="00853209" w:rsidRDefault="00681A1C" w:rsidP="001D1884">
      <w:pPr>
        <w:pStyle w:val="Heading1"/>
        <w:rPr>
          <w:rFonts w:ascii="Arial" w:hAnsi="Arial" w:cs="Arial"/>
          <w:b/>
          <w:bCs/>
          <w:sz w:val="28"/>
          <w:szCs w:val="28"/>
          <w:lang w:val="en-US"/>
        </w:rPr>
      </w:pPr>
      <w:r w:rsidRPr="00853209">
        <w:rPr>
          <w:rFonts w:ascii="Arial" w:hAnsi="Arial" w:cs="Arial"/>
          <w:sz w:val="22"/>
          <w:szCs w:val="22"/>
          <w:lang w:val="en-US"/>
        </w:rPr>
        <w:br w:type="page"/>
      </w:r>
      <w:bookmarkStart w:id="7" w:name="_Toc235049526"/>
      <w:r w:rsidR="001D1884" w:rsidRPr="00853209">
        <w:rPr>
          <w:rFonts w:ascii="Arial" w:hAnsi="Arial" w:cs="Arial"/>
          <w:b/>
          <w:bCs/>
          <w:sz w:val="28"/>
          <w:szCs w:val="28"/>
          <w:lang w:val="en-US"/>
        </w:rPr>
        <w:lastRenderedPageBreak/>
        <w:t>2. Key Contemporary HR Challenges at Tesco PLC</w:t>
      </w:r>
      <w:bookmarkEnd w:id="7"/>
    </w:p>
    <w:p w14:paraId="5C3AA06E" w14:textId="77777777" w:rsidR="001D1884" w:rsidRPr="00853209" w:rsidRDefault="001D1884" w:rsidP="001D1884">
      <w:pPr>
        <w:pStyle w:val="Heading2"/>
        <w:rPr>
          <w:rFonts w:ascii="Arial" w:hAnsi="Arial" w:cs="Arial"/>
          <w:b/>
          <w:bCs/>
          <w:sz w:val="24"/>
          <w:szCs w:val="24"/>
          <w:lang w:val="en-US"/>
        </w:rPr>
      </w:pPr>
      <w:bookmarkStart w:id="8" w:name="_Toc235049527"/>
      <w:r w:rsidRPr="00853209">
        <w:rPr>
          <w:rFonts w:ascii="Arial" w:hAnsi="Arial" w:cs="Arial"/>
          <w:b/>
          <w:bCs/>
          <w:sz w:val="24"/>
          <w:szCs w:val="24"/>
          <w:lang w:val="en-US"/>
        </w:rPr>
        <w:t>2.1 Adapting to Technological Advancements</w:t>
      </w:r>
      <w:bookmarkEnd w:id="8"/>
    </w:p>
    <w:p w14:paraId="5202DF48" w14:textId="77777777" w:rsidR="00230309" w:rsidRPr="00853209" w:rsidRDefault="00931A2D" w:rsidP="001D1884">
      <w:pPr>
        <w:spacing w:line="360" w:lineRule="auto"/>
        <w:jc w:val="both"/>
        <w:rPr>
          <w:rFonts w:ascii="Arial" w:hAnsi="Arial" w:cs="Arial"/>
          <w:sz w:val="22"/>
          <w:szCs w:val="22"/>
        </w:rPr>
      </w:pPr>
      <w:r w:rsidRPr="00853209">
        <w:rPr>
          <w:rFonts w:ascii="Arial" w:hAnsi="Arial" w:cs="Arial"/>
          <w:sz w:val="22"/>
          <w:szCs w:val="22"/>
        </w:rPr>
        <w:t>Technological advancement has fundamentally transformed the UK retail sector through the adoption of artificial intelligence (AI), automation, self-service technologies and workforce analytics. For Tesco PLC, digital transformation has enhanced operational efficiency, improved customer experience and supported data-driven decision-making. However, these developments have also increased demand for employees with advanced digital competencies and greater adaptability. Consequently, Human Resource Management (HRM) must ensure that recruitment, workforce planning and learning strategies are aligned with the organisation's future capability requirements (Storey, 1995).</w:t>
      </w:r>
    </w:p>
    <w:p w14:paraId="65149760" w14:textId="25A8BC2C" w:rsidR="00BA0FD2" w:rsidRPr="00853209" w:rsidRDefault="00BA0FD2" w:rsidP="001D1884">
      <w:pPr>
        <w:spacing w:line="360" w:lineRule="auto"/>
        <w:jc w:val="both"/>
        <w:rPr>
          <w:rFonts w:ascii="Arial" w:hAnsi="Arial" w:cs="Arial"/>
          <w:sz w:val="22"/>
          <w:szCs w:val="22"/>
        </w:rPr>
      </w:pPr>
      <w:r w:rsidRPr="00853209">
        <w:rPr>
          <w:rFonts w:ascii="Arial" w:hAnsi="Arial" w:cs="Arial"/>
          <w:sz w:val="22"/>
          <w:szCs w:val="22"/>
        </w:rPr>
        <w:t>Continuous learning and development are essential to enable employees to adapt successfully to technological change and minimise resistance to new ways of working. Armstrong and Taylor (2023) argue that organisations achieve sustainable competitive advantage when technological investment is supported by effective HR strategies. Nevertheless, rapid digital transformation may create concerns relating to job security, employee wellbeing and changing job roles. Tesco should therefore balance technological innovation with continuous training, effective communication and career development opportunities to maintain employee engagement and organisational performance (Kaplan and Norton, 2004).</w:t>
      </w:r>
    </w:p>
    <w:p w14:paraId="699E5A9B" w14:textId="57E34299" w:rsidR="00880F2E" w:rsidRPr="00853209" w:rsidRDefault="00BA0FD2" w:rsidP="001D1884">
      <w:pPr>
        <w:spacing w:line="360" w:lineRule="auto"/>
        <w:jc w:val="both"/>
        <w:rPr>
          <w:rFonts w:ascii="Arial" w:hAnsi="Arial" w:cs="Arial"/>
          <w:sz w:val="22"/>
          <w:szCs w:val="22"/>
          <w:lang w:val="en-US"/>
        </w:rPr>
      </w:pPr>
      <w:r w:rsidRPr="00853209">
        <w:rPr>
          <w:rFonts w:ascii="Arial" w:hAnsi="Arial" w:cs="Arial"/>
          <w:sz w:val="22"/>
          <w:szCs w:val="22"/>
        </w:rPr>
        <w:t>Furthermore, technological advancement provides opportunities to redesign jobs, improve productivity and enhance operational flexibility. However, these benefits can only be achieved when employees receive appropriate training and continuous organisational support throughout the change process. Tesco should therefore adopt a proactive HR approach by integrating digital investment with structured learning programmes that develop future skills and encourage adaptability. Such an approach not only strengthens organisational resilience but also improves employee confidence, engagement and readiness for future technological developments.</w:t>
      </w:r>
    </w:p>
    <w:p w14:paraId="1C28F750" w14:textId="77777777" w:rsidR="00B46E53" w:rsidRPr="00853209" w:rsidRDefault="00B46E53" w:rsidP="00295EA4">
      <w:pPr>
        <w:pStyle w:val="Heading2"/>
        <w:rPr>
          <w:rFonts w:ascii="Arial" w:hAnsi="Arial" w:cs="Arial"/>
          <w:b/>
          <w:bCs/>
          <w:sz w:val="24"/>
          <w:szCs w:val="24"/>
          <w:lang w:val="en-US"/>
        </w:rPr>
      </w:pPr>
      <w:bookmarkStart w:id="9" w:name="_Toc235049528"/>
      <w:r w:rsidRPr="00853209">
        <w:rPr>
          <w:rFonts w:ascii="Arial" w:hAnsi="Arial" w:cs="Arial"/>
          <w:b/>
          <w:bCs/>
          <w:sz w:val="24"/>
          <w:szCs w:val="24"/>
          <w:lang w:val="en-US"/>
        </w:rPr>
        <w:t>2.2 Talent Acquisition and Retention</w:t>
      </w:r>
      <w:bookmarkEnd w:id="9"/>
    </w:p>
    <w:p w14:paraId="0D4E6FC0" w14:textId="77777777" w:rsidR="008E393A" w:rsidRPr="00853209" w:rsidRDefault="008E393A" w:rsidP="003F47C1">
      <w:pPr>
        <w:spacing w:line="360" w:lineRule="auto"/>
        <w:jc w:val="both"/>
        <w:rPr>
          <w:rFonts w:ascii="Arial" w:hAnsi="Arial" w:cs="Arial"/>
          <w:sz w:val="22"/>
          <w:szCs w:val="22"/>
          <w:lang w:val="en-US"/>
        </w:rPr>
      </w:pPr>
      <w:r w:rsidRPr="00853209">
        <w:rPr>
          <w:rFonts w:ascii="Arial" w:hAnsi="Arial" w:cs="Arial"/>
          <w:sz w:val="22"/>
          <w:szCs w:val="22"/>
          <w:lang w:val="en-US"/>
        </w:rPr>
        <w:t xml:space="preserve">Attracting and retaining talented employees remains one of Tesco PLC's most significant Human Resource (HR) challenges due to increasing competition for skilled employees within the UK retail sector. Strategic Workforce Planning enables the organisation to anticipate future workforce requirements, align recruitment with business objectives and reduce potential skills shortages (Armstrong and Taylor, 2023). However, recruitment strategies alone are insufficient </w:t>
      </w:r>
      <w:r w:rsidRPr="00853209">
        <w:rPr>
          <w:rFonts w:ascii="Arial" w:hAnsi="Arial" w:cs="Arial"/>
          <w:sz w:val="22"/>
          <w:szCs w:val="22"/>
          <w:lang w:val="en-US"/>
        </w:rPr>
        <w:lastRenderedPageBreak/>
        <w:t>if organisations fail to create an attractive working environment that encourages long-term employee commitment.</w:t>
      </w:r>
    </w:p>
    <w:p w14:paraId="1521C808" w14:textId="10E6DB8C" w:rsidR="008E393A" w:rsidRPr="00853209" w:rsidRDefault="008E393A" w:rsidP="003F47C1">
      <w:pPr>
        <w:spacing w:line="360" w:lineRule="auto"/>
        <w:jc w:val="both"/>
        <w:rPr>
          <w:rFonts w:ascii="Arial" w:hAnsi="Arial" w:cs="Arial"/>
          <w:sz w:val="22"/>
          <w:szCs w:val="22"/>
          <w:lang w:val="en-US"/>
        </w:rPr>
      </w:pPr>
      <w:r w:rsidRPr="00853209">
        <w:rPr>
          <w:rFonts w:ascii="Arial" w:hAnsi="Arial" w:cs="Arial"/>
          <w:sz w:val="22"/>
          <w:szCs w:val="22"/>
          <w:lang w:val="en-US"/>
        </w:rPr>
        <w:t>Employee retention is equally important because high staff turnover increases recruitment and training costs, disrupts operational efficiency and may negatively affect customer service quality. According to CIPD (</w:t>
      </w:r>
      <w:proofErr w:type="gramStart"/>
      <w:r w:rsidRPr="00853209">
        <w:rPr>
          <w:rFonts w:ascii="Arial" w:hAnsi="Arial" w:cs="Arial"/>
          <w:sz w:val="22"/>
          <w:szCs w:val="22"/>
          <w:lang w:val="en-US"/>
        </w:rPr>
        <w:t>2024</w:t>
      </w:r>
      <w:r w:rsidR="00B47E17" w:rsidRPr="00853209">
        <w:rPr>
          <w:rFonts w:ascii="Arial" w:hAnsi="Arial" w:cs="Arial"/>
          <w:sz w:val="22"/>
          <w:szCs w:val="22"/>
          <w:lang w:val="en-US"/>
        </w:rPr>
        <w:t>d</w:t>
      </w:r>
      <w:proofErr w:type="gramEnd"/>
      <w:r w:rsidRPr="00853209">
        <w:rPr>
          <w:rFonts w:ascii="Arial" w:hAnsi="Arial" w:cs="Arial"/>
          <w:sz w:val="22"/>
          <w:szCs w:val="22"/>
          <w:lang w:val="en-US"/>
        </w:rPr>
        <w:t xml:space="preserve">), organisations that invest in career development, employee wellbeing and employee recognition achieve higher levels of engagement, motivation and retention. Nevertheless, these initiatives require continuous managerial commitment and regular evaluation to ensure they remain effective in a changing </w:t>
      </w:r>
      <w:proofErr w:type="spellStart"/>
      <w:r w:rsidRPr="00853209">
        <w:rPr>
          <w:rFonts w:ascii="Arial" w:hAnsi="Arial" w:cs="Arial"/>
          <w:sz w:val="22"/>
          <w:szCs w:val="22"/>
          <w:lang w:val="en-US"/>
        </w:rPr>
        <w:t>labour</w:t>
      </w:r>
      <w:proofErr w:type="spellEnd"/>
      <w:r w:rsidRPr="00853209">
        <w:rPr>
          <w:rFonts w:ascii="Arial" w:hAnsi="Arial" w:cs="Arial"/>
          <w:sz w:val="22"/>
          <w:szCs w:val="22"/>
          <w:lang w:val="en-US"/>
        </w:rPr>
        <w:t xml:space="preserve"> market. For Tesco, combining strategic workforce planning with employee development, supportive leadership and career progression opportunities will strengthen organisational resilience while maintaining a skilled, motivated and high-performing workforce.</w:t>
      </w:r>
    </w:p>
    <w:p w14:paraId="7B7DFD63" w14:textId="77777777" w:rsidR="00FF76A4" w:rsidRPr="00853209" w:rsidRDefault="00FF76A4" w:rsidP="008E393A">
      <w:pPr>
        <w:jc w:val="both"/>
        <w:rPr>
          <w:rFonts w:ascii="Arial" w:hAnsi="Arial" w:cs="Arial"/>
          <w:sz w:val="22"/>
          <w:szCs w:val="22"/>
          <w:lang w:val="en-US"/>
        </w:rPr>
      </w:pPr>
    </w:p>
    <w:p w14:paraId="189150A5" w14:textId="77777777" w:rsidR="00FF76A4" w:rsidRPr="00853209" w:rsidRDefault="00FF76A4" w:rsidP="00FF76A4">
      <w:pPr>
        <w:pStyle w:val="Heading2"/>
        <w:rPr>
          <w:rFonts w:ascii="Arial" w:hAnsi="Arial" w:cs="Arial"/>
          <w:b/>
          <w:bCs/>
          <w:sz w:val="24"/>
          <w:szCs w:val="24"/>
          <w:lang w:val="en-US"/>
        </w:rPr>
      </w:pPr>
      <w:bookmarkStart w:id="10" w:name="_Toc235049529"/>
      <w:r w:rsidRPr="00853209">
        <w:rPr>
          <w:rFonts w:ascii="Arial" w:hAnsi="Arial" w:cs="Arial"/>
          <w:b/>
          <w:bCs/>
          <w:sz w:val="24"/>
          <w:szCs w:val="24"/>
          <w:lang w:val="en-US"/>
        </w:rPr>
        <w:t>2.3 Diversity, Equity and Inclusion (DEI)</w:t>
      </w:r>
      <w:bookmarkEnd w:id="10"/>
    </w:p>
    <w:p w14:paraId="19CF9792" w14:textId="1A04C5F9" w:rsidR="00FF76A4" w:rsidRPr="00853209" w:rsidRDefault="0013084B" w:rsidP="003F47C1">
      <w:pPr>
        <w:spacing w:line="360" w:lineRule="auto"/>
        <w:jc w:val="both"/>
        <w:rPr>
          <w:rFonts w:ascii="Arial" w:hAnsi="Arial" w:cs="Arial"/>
          <w:sz w:val="22"/>
          <w:szCs w:val="22"/>
          <w:lang w:val="en-US"/>
        </w:rPr>
      </w:pPr>
      <w:r w:rsidRPr="00853209">
        <w:rPr>
          <w:rFonts w:ascii="Arial" w:hAnsi="Arial" w:cs="Arial"/>
          <w:sz w:val="22"/>
          <w:szCs w:val="22"/>
        </w:rPr>
        <w:t>Asokan, Smith and Huq (2026) and Hassan (2025) suggest that Diversity, Equity and Inclusion (DEI) has become a strategic priority for organisations seeking to improve innovation, employee engagement and long-term organisational performance.</w:t>
      </w:r>
      <w:r w:rsidR="00FF76A4" w:rsidRPr="00853209">
        <w:rPr>
          <w:rFonts w:ascii="Arial" w:hAnsi="Arial" w:cs="Arial"/>
          <w:sz w:val="22"/>
          <w:szCs w:val="22"/>
          <w:lang w:val="en-US"/>
        </w:rPr>
        <w:t xml:space="preserve"> Within Tesco PLC, inclusive HR practices support equal employment opportunities, flexible working arrangements and compliance with the Equality Act 2010 (UK Government, 2010). These initiatives also contribute to strengthening Tesco's reputation as an employer of choice within the competitive UK retail sector.</w:t>
      </w:r>
    </w:p>
    <w:p w14:paraId="4BF67668" w14:textId="61ABCBE6" w:rsidR="00FF76A4" w:rsidRPr="00853209" w:rsidRDefault="00FF76A4" w:rsidP="003F47C1">
      <w:pPr>
        <w:spacing w:line="360" w:lineRule="auto"/>
        <w:jc w:val="both"/>
        <w:rPr>
          <w:rFonts w:ascii="Arial" w:hAnsi="Arial" w:cs="Arial"/>
          <w:sz w:val="22"/>
          <w:szCs w:val="22"/>
        </w:rPr>
      </w:pPr>
      <w:r w:rsidRPr="00853209">
        <w:rPr>
          <w:rFonts w:ascii="Arial" w:hAnsi="Arial" w:cs="Arial"/>
          <w:sz w:val="22"/>
          <w:szCs w:val="22"/>
          <w:lang w:val="en-US"/>
        </w:rPr>
        <w:t>However, implementing DEI successfully requires more than organisational policies alone. Inconsistent managerial practices, unconscious bias and limited leadership commitment may reduce the effectiveness of inclusion initiatives</w:t>
      </w:r>
      <w:r w:rsidR="00F81338" w:rsidRPr="00853209">
        <w:rPr>
          <w:rFonts w:ascii="Arial" w:hAnsi="Arial" w:cs="Arial"/>
          <w:sz w:val="22"/>
          <w:szCs w:val="22"/>
          <w:lang w:val="en-US"/>
        </w:rPr>
        <w:t xml:space="preserve"> (Hassan, 2025</w:t>
      </w:r>
      <w:r w:rsidR="004401A7" w:rsidRPr="00853209">
        <w:rPr>
          <w:rFonts w:ascii="Arial" w:hAnsi="Arial" w:cs="Arial"/>
          <w:sz w:val="22"/>
          <w:szCs w:val="22"/>
          <w:lang w:val="en-US"/>
        </w:rPr>
        <w:t>)</w:t>
      </w:r>
      <w:r w:rsidRPr="00853209">
        <w:rPr>
          <w:rFonts w:ascii="Arial" w:hAnsi="Arial" w:cs="Arial"/>
          <w:sz w:val="22"/>
          <w:szCs w:val="22"/>
          <w:lang w:val="en-US"/>
        </w:rPr>
        <w:t xml:space="preserve">. Therefore, managers must actively promote inclusive leadership, ensure fair recruitment and promotion processes and encourage open communication across diverse teams. </w:t>
      </w:r>
      <w:r w:rsidR="00CE2AF4" w:rsidRPr="00853209">
        <w:rPr>
          <w:rFonts w:ascii="Arial" w:hAnsi="Arial" w:cs="Arial"/>
          <w:sz w:val="22"/>
          <w:szCs w:val="22"/>
        </w:rPr>
        <w:t>According to CIPD (2024</w:t>
      </w:r>
      <w:r w:rsidR="007F1AC6" w:rsidRPr="00853209">
        <w:rPr>
          <w:rFonts w:ascii="Arial" w:hAnsi="Arial" w:cs="Arial"/>
          <w:sz w:val="22"/>
          <w:szCs w:val="22"/>
        </w:rPr>
        <w:t>a</w:t>
      </w:r>
      <w:r w:rsidR="00CE2AF4" w:rsidRPr="00853209">
        <w:rPr>
          <w:rFonts w:ascii="Arial" w:hAnsi="Arial" w:cs="Arial"/>
          <w:sz w:val="22"/>
          <w:szCs w:val="22"/>
        </w:rPr>
        <w:t>)</w:t>
      </w:r>
      <w:r w:rsidRPr="00853209">
        <w:rPr>
          <w:rFonts w:ascii="Arial" w:hAnsi="Arial" w:cs="Arial"/>
          <w:sz w:val="22"/>
          <w:szCs w:val="22"/>
          <w:lang w:val="en-US"/>
        </w:rPr>
        <w:t>, organisations that embed inclusive practices into their organisational culture are more likely to improve employee wellbeing, innovation and organisational performance. For Tesco, integrating DEI into strategic HR decision-making will strengthen employee commitment, support business sustainability and enhance long-term competitive advantage</w:t>
      </w:r>
      <w:r w:rsidR="00BD5DBE" w:rsidRPr="00853209">
        <w:rPr>
          <w:rFonts w:ascii="Arial" w:hAnsi="Arial" w:cs="Arial"/>
          <w:sz w:val="22"/>
          <w:szCs w:val="22"/>
          <w:lang w:val="en-US"/>
        </w:rPr>
        <w:t xml:space="preserve"> </w:t>
      </w:r>
      <w:r w:rsidR="00373149" w:rsidRPr="00853209">
        <w:rPr>
          <w:rFonts w:ascii="Arial" w:hAnsi="Arial" w:cs="Arial"/>
          <w:sz w:val="22"/>
          <w:szCs w:val="22"/>
          <w:lang w:val="en-US"/>
        </w:rPr>
        <w:t>(Asokan</w:t>
      </w:r>
      <w:r w:rsidR="00373149" w:rsidRPr="00853209">
        <w:rPr>
          <w:rFonts w:ascii="Arial" w:hAnsi="Arial" w:cs="Arial"/>
          <w:sz w:val="22"/>
          <w:szCs w:val="22"/>
        </w:rPr>
        <w:t>, Smith and Huq, 2026).</w:t>
      </w:r>
    </w:p>
    <w:p w14:paraId="785C418C" w14:textId="77777777" w:rsidR="00DC7787" w:rsidRPr="00853209" w:rsidRDefault="00DC7787" w:rsidP="008E393A">
      <w:pPr>
        <w:jc w:val="both"/>
        <w:rPr>
          <w:rFonts w:ascii="Arial" w:hAnsi="Arial" w:cs="Arial"/>
          <w:sz w:val="22"/>
          <w:szCs w:val="22"/>
          <w:lang w:val="en-US"/>
        </w:rPr>
      </w:pPr>
    </w:p>
    <w:p w14:paraId="7A586750" w14:textId="77777777" w:rsidR="00DC7787" w:rsidRPr="00853209" w:rsidRDefault="00DC7787" w:rsidP="000653B2">
      <w:pPr>
        <w:pStyle w:val="Heading1"/>
        <w:rPr>
          <w:rFonts w:ascii="Arial" w:hAnsi="Arial" w:cs="Arial"/>
          <w:b/>
          <w:bCs/>
          <w:sz w:val="28"/>
          <w:szCs w:val="28"/>
          <w:lang w:val="en-US"/>
        </w:rPr>
      </w:pPr>
      <w:bookmarkStart w:id="11" w:name="_Toc235049530"/>
      <w:r w:rsidRPr="00853209">
        <w:rPr>
          <w:rFonts w:ascii="Arial" w:hAnsi="Arial" w:cs="Arial"/>
          <w:b/>
          <w:bCs/>
          <w:sz w:val="28"/>
          <w:szCs w:val="28"/>
          <w:lang w:val="en-US"/>
        </w:rPr>
        <w:lastRenderedPageBreak/>
        <w:t>3. Evaluation of Contemporary HR Practices</w:t>
      </w:r>
      <w:bookmarkEnd w:id="11"/>
    </w:p>
    <w:p w14:paraId="2C805E3A" w14:textId="77777777" w:rsidR="00DC7787" w:rsidRPr="00853209" w:rsidRDefault="00DC7787" w:rsidP="000653B2">
      <w:pPr>
        <w:pStyle w:val="Heading2"/>
        <w:rPr>
          <w:rFonts w:ascii="Arial" w:hAnsi="Arial" w:cs="Arial"/>
          <w:b/>
          <w:bCs/>
          <w:sz w:val="24"/>
          <w:szCs w:val="24"/>
          <w:lang w:val="en-US"/>
        </w:rPr>
      </w:pPr>
      <w:bookmarkStart w:id="12" w:name="_Toc235049531"/>
      <w:r w:rsidRPr="00853209">
        <w:rPr>
          <w:rFonts w:ascii="Arial" w:hAnsi="Arial" w:cs="Arial"/>
          <w:b/>
          <w:bCs/>
          <w:sz w:val="24"/>
          <w:szCs w:val="24"/>
          <w:lang w:val="en-US"/>
        </w:rPr>
        <w:t>3.1 Digital HR Systems and Workforce Analytics</w:t>
      </w:r>
      <w:bookmarkEnd w:id="12"/>
    </w:p>
    <w:p w14:paraId="48FC163B" w14:textId="0413E7F2" w:rsidR="000235D4" w:rsidRPr="00853209" w:rsidRDefault="00367FA2" w:rsidP="003F47C1">
      <w:pPr>
        <w:spacing w:line="360" w:lineRule="auto"/>
        <w:jc w:val="both"/>
        <w:rPr>
          <w:rFonts w:ascii="Arial" w:hAnsi="Arial" w:cs="Arial"/>
          <w:sz w:val="22"/>
          <w:szCs w:val="22"/>
          <w:lang w:val="en-US"/>
        </w:rPr>
      </w:pPr>
      <w:r w:rsidRPr="00853209">
        <w:rPr>
          <w:rFonts w:ascii="Arial" w:hAnsi="Arial" w:cs="Arial"/>
          <w:sz w:val="22"/>
          <w:szCs w:val="22"/>
        </w:rPr>
        <w:t>Digital HR systems and workforce analytics have become fundamental components of strategic Human Resource Management, enabling organisations to enhance operational effectiveness, support evidence-based decision-making and improve the overall employee experience.</w:t>
      </w:r>
      <w:r w:rsidR="000235D4" w:rsidRPr="00853209">
        <w:rPr>
          <w:rFonts w:ascii="Arial" w:hAnsi="Arial" w:cs="Arial"/>
          <w:sz w:val="22"/>
          <w:szCs w:val="22"/>
          <w:lang w:val="en-US"/>
        </w:rPr>
        <w:t xml:space="preserve"> </w:t>
      </w:r>
      <w:r w:rsidR="00C37CE5" w:rsidRPr="00853209">
        <w:rPr>
          <w:rFonts w:ascii="Arial" w:hAnsi="Arial" w:cs="Arial"/>
          <w:sz w:val="22"/>
          <w:szCs w:val="22"/>
        </w:rPr>
        <w:t xml:space="preserve">Workforce analytics also enables managers to monitor recruitment, turnover and employee performance, allowing evidence-based decisions that support strategic workforce planning (Bratton and Gold, 2023). Tesco also highlights continued investment in colleague development, digital capability and workforce productivity as part of its long-term business strategy (Tesco PLC, 2025). Recent research also demonstrates that a well-developed digital HR strategy improves organisational performance by integrating HR processes with digital technologies (Ruiz et al., 2024). </w:t>
      </w:r>
      <w:r w:rsidR="000235D4" w:rsidRPr="00853209">
        <w:rPr>
          <w:rFonts w:ascii="Arial" w:hAnsi="Arial" w:cs="Arial"/>
          <w:sz w:val="22"/>
          <w:szCs w:val="22"/>
          <w:lang w:val="en-US"/>
        </w:rPr>
        <w:t>However, digital HR systems also present challenges, including data privacy concerns and the risk of relying too heavily on technology. Tesco should ensure that digital tools support, rather than replace, managerial judgement when making decisions about recruitment, performance and employee development.</w:t>
      </w:r>
    </w:p>
    <w:p w14:paraId="0103DC52" w14:textId="31236573" w:rsidR="00026EBC" w:rsidRPr="00853209" w:rsidRDefault="00026EBC" w:rsidP="003F47C1">
      <w:pPr>
        <w:spacing w:line="360" w:lineRule="auto"/>
        <w:jc w:val="both"/>
        <w:rPr>
          <w:rFonts w:ascii="Arial" w:hAnsi="Arial" w:cs="Arial"/>
          <w:sz w:val="22"/>
          <w:szCs w:val="22"/>
          <w:lang w:val="en-US"/>
        </w:rPr>
      </w:pPr>
      <w:r w:rsidRPr="00853209">
        <w:rPr>
          <w:rFonts w:ascii="Arial" w:hAnsi="Arial" w:cs="Arial"/>
          <w:sz w:val="22"/>
          <w:szCs w:val="22"/>
        </w:rPr>
        <w:t>The effectiveness of digital HR systems should be measured through key performance indicators such as recruitment efficiency, employee retention, training completion rates and employee satisfaction. Regular evaluation enables Tesco to identify areas for improvement and ensure that digital technologies continue to support both organisational objectives and employee needs.</w:t>
      </w:r>
    </w:p>
    <w:p w14:paraId="4FB85CC9" w14:textId="77777777" w:rsidR="00880F2E" w:rsidRPr="00853209" w:rsidRDefault="00880F2E" w:rsidP="000235D4">
      <w:pPr>
        <w:spacing w:after="0" w:line="360" w:lineRule="auto"/>
        <w:ind w:left="357"/>
        <w:jc w:val="both"/>
        <w:rPr>
          <w:rFonts w:ascii="Arial" w:hAnsi="Arial" w:cs="Arial"/>
          <w:sz w:val="22"/>
          <w:szCs w:val="22"/>
          <w:lang w:val="en-US"/>
        </w:rPr>
      </w:pPr>
    </w:p>
    <w:p w14:paraId="427D3245" w14:textId="77777777" w:rsidR="00160C46" w:rsidRPr="00853209" w:rsidRDefault="00160C46" w:rsidP="000653B2">
      <w:pPr>
        <w:pStyle w:val="Heading2"/>
        <w:rPr>
          <w:rFonts w:ascii="Arial" w:hAnsi="Arial" w:cs="Arial"/>
          <w:b/>
          <w:bCs/>
          <w:sz w:val="24"/>
          <w:szCs w:val="24"/>
          <w:lang w:val="en-US"/>
        </w:rPr>
      </w:pPr>
      <w:bookmarkStart w:id="13" w:name="_Toc235049532"/>
      <w:r w:rsidRPr="00853209">
        <w:rPr>
          <w:rFonts w:ascii="Arial" w:hAnsi="Arial" w:cs="Arial"/>
          <w:b/>
          <w:bCs/>
          <w:sz w:val="24"/>
          <w:szCs w:val="24"/>
          <w:lang w:val="en-US"/>
        </w:rPr>
        <w:t>3.2 Strategic Workforce Planning and Employee Engagement</w:t>
      </w:r>
      <w:bookmarkEnd w:id="13"/>
    </w:p>
    <w:p w14:paraId="047B8CFC" w14:textId="77777777" w:rsidR="00761AF3" w:rsidRPr="00853209" w:rsidRDefault="00761AF3" w:rsidP="00761AF3">
      <w:pPr>
        <w:spacing w:line="360" w:lineRule="auto"/>
        <w:jc w:val="both"/>
        <w:rPr>
          <w:rFonts w:ascii="Arial" w:hAnsi="Arial" w:cs="Arial"/>
          <w:sz w:val="22"/>
          <w:szCs w:val="22"/>
          <w:lang w:val="en-US"/>
        </w:rPr>
      </w:pPr>
      <w:r w:rsidRPr="00853209">
        <w:rPr>
          <w:rFonts w:ascii="Arial" w:hAnsi="Arial" w:cs="Arial"/>
          <w:sz w:val="22"/>
          <w:szCs w:val="22"/>
          <w:lang w:val="en-US"/>
        </w:rPr>
        <w:t>Strategic Workforce Planning enables Tesco PLC to anticipate future workforce requirements, identify critical skills gaps and align human resource capability with organisational objectives. This proactive approach supports succession planning, improves recruitment efficiency and increases organisational resilience in a highly competitive retail environment.</w:t>
      </w:r>
    </w:p>
    <w:p w14:paraId="5D01739A" w14:textId="77777777" w:rsidR="00AB4A05" w:rsidRPr="00853209" w:rsidRDefault="00761AF3" w:rsidP="00AB4A05">
      <w:pPr>
        <w:spacing w:line="360" w:lineRule="auto"/>
        <w:jc w:val="both"/>
        <w:rPr>
          <w:rFonts w:ascii="Arial" w:hAnsi="Arial" w:cs="Arial"/>
          <w:sz w:val="22"/>
          <w:szCs w:val="22"/>
          <w:lang w:val="en-US"/>
        </w:rPr>
      </w:pPr>
      <w:r w:rsidRPr="00853209">
        <w:rPr>
          <w:rFonts w:ascii="Arial" w:hAnsi="Arial" w:cs="Arial"/>
          <w:sz w:val="22"/>
          <w:szCs w:val="22"/>
          <w:lang w:val="en-US"/>
        </w:rPr>
        <w:t xml:space="preserve">Employee engagement is equally important because engaged employees demonstrate higher levels of motivation, productivity and organisational commitment. </w:t>
      </w:r>
      <w:r w:rsidR="00AB4A05" w:rsidRPr="00853209">
        <w:rPr>
          <w:rFonts w:ascii="Arial" w:hAnsi="Arial" w:cs="Arial"/>
          <w:sz w:val="22"/>
          <w:szCs w:val="22"/>
          <w:lang w:val="en-US"/>
        </w:rPr>
        <w:t xml:space="preserve">According to CIPD (2024b), investment in career development, employee wellbeing and recognition contributes significantly to engagement and retention. This is supported by </w:t>
      </w:r>
      <w:proofErr w:type="spellStart"/>
      <w:r w:rsidR="00AB4A05" w:rsidRPr="00853209">
        <w:rPr>
          <w:rFonts w:ascii="Arial" w:hAnsi="Arial" w:cs="Arial"/>
          <w:sz w:val="22"/>
          <w:szCs w:val="22"/>
          <w:lang w:val="en-US"/>
        </w:rPr>
        <w:t>Stachová</w:t>
      </w:r>
      <w:proofErr w:type="spellEnd"/>
      <w:r w:rsidR="00AB4A05" w:rsidRPr="00853209">
        <w:rPr>
          <w:rFonts w:ascii="Arial" w:hAnsi="Arial" w:cs="Arial"/>
          <w:sz w:val="22"/>
          <w:szCs w:val="22"/>
          <w:lang w:val="en-US"/>
        </w:rPr>
        <w:t xml:space="preserve"> et al. (2024), who found that digital HR tools positively influence employee engagement when organisations combine technology with effective people management practices. </w:t>
      </w:r>
    </w:p>
    <w:p w14:paraId="12DC5B91" w14:textId="1BBCBB9B" w:rsidR="00761AF3" w:rsidRPr="00853209" w:rsidRDefault="00761AF3" w:rsidP="00761AF3">
      <w:pPr>
        <w:spacing w:line="360" w:lineRule="auto"/>
        <w:jc w:val="both"/>
        <w:rPr>
          <w:rFonts w:ascii="Arial" w:hAnsi="Arial" w:cs="Arial"/>
          <w:sz w:val="22"/>
          <w:szCs w:val="22"/>
          <w:lang w:val="en-US"/>
        </w:rPr>
      </w:pPr>
      <w:r w:rsidRPr="00853209">
        <w:rPr>
          <w:rFonts w:ascii="Arial" w:hAnsi="Arial" w:cs="Arial"/>
          <w:sz w:val="22"/>
          <w:szCs w:val="22"/>
          <w:lang w:val="en-US"/>
        </w:rPr>
        <w:t xml:space="preserve">However, these initiatives require consistent implementation across all organisational levels to achieve sustainable results. Furthermore, workforce planning should be reviewed regularly </w:t>
      </w:r>
      <w:r w:rsidRPr="00853209">
        <w:rPr>
          <w:rFonts w:ascii="Arial" w:hAnsi="Arial" w:cs="Arial"/>
          <w:sz w:val="22"/>
          <w:szCs w:val="22"/>
          <w:lang w:val="en-US"/>
        </w:rPr>
        <w:lastRenderedPageBreak/>
        <w:t xml:space="preserve">to ensure that HR strategies remain responsive to </w:t>
      </w:r>
      <w:proofErr w:type="spellStart"/>
      <w:r w:rsidRPr="00853209">
        <w:rPr>
          <w:rFonts w:ascii="Arial" w:hAnsi="Arial" w:cs="Arial"/>
          <w:sz w:val="22"/>
          <w:szCs w:val="22"/>
          <w:lang w:val="en-US"/>
        </w:rPr>
        <w:t>labour</w:t>
      </w:r>
      <w:proofErr w:type="spellEnd"/>
      <w:r w:rsidRPr="00853209">
        <w:rPr>
          <w:rFonts w:ascii="Arial" w:hAnsi="Arial" w:cs="Arial"/>
          <w:sz w:val="22"/>
          <w:szCs w:val="22"/>
          <w:lang w:val="en-US"/>
        </w:rPr>
        <w:t xml:space="preserve"> market changes, technological developments and evolving business priorities. For Tesco, integrating workforce planning with employee engagement initiatives will strengthen organisational performance and support long-term business sustainability.</w:t>
      </w:r>
    </w:p>
    <w:p w14:paraId="22AEE92C" w14:textId="0EA9C872" w:rsidR="007437AE" w:rsidRPr="00853209" w:rsidRDefault="007437AE" w:rsidP="00761AF3">
      <w:pPr>
        <w:spacing w:line="360" w:lineRule="auto"/>
        <w:jc w:val="both"/>
        <w:rPr>
          <w:rFonts w:ascii="Arial" w:hAnsi="Arial" w:cs="Arial"/>
          <w:sz w:val="22"/>
          <w:szCs w:val="22"/>
          <w:lang w:val="en-US"/>
        </w:rPr>
      </w:pPr>
      <w:r w:rsidRPr="00853209">
        <w:rPr>
          <w:rFonts w:ascii="Arial" w:hAnsi="Arial" w:cs="Arial"/>
          <w:sz w:val="22"/>
          <w:szCs w:val="22"/>
        </w:rPr>
        <w:t>However, workforce planning may be less effective when organisations fail to anticipate changing labour market conditions or emerging skill requirements. Regular review of workforce data and close collaboration between HR and operational managers are therefore essential to ensure that workforce planning remains responsive to organisational needs and future business challenges.</w:t>
      </w:r>
    </w:p>
    <w:p w14:paraId="42453A4D" w14:textId="77777777" w:rsidR="00507316" w:rsidRPr="00853209" w:rsidRDefault="00507316" w:rsidP="00160C46">
      <w:pPr>
        <w:spacing w:after="0" w:line="360" w:lineRule="auto"/>
        <w:ind w:left="357"/>
        <w:jc w:val="both"/>
        <w:rPr>
          <w:rFonts w:ascii="Arial" w:hAnsi="Arial" w:cs="Arial"/>
          <w:sz w:val="22"/>
          <w:szCs w:val="22"/>
          <w:lang w:val="en-US"/>
        </w:rPr>
      </w:pPr>
    </w:p>
    <w:p w14:paraId="508B0B20" w14:textId="77777777" w:rsidR="00507316" w:rsidRPr="00853209" w:rsidRDefault="00507316" w:rsidP="000653B2">
      <w:pPr>
        <w:pStyle w:val="Heading2"/>
        <w:rPr>
          <w:rFonts w:ascii="Arial" w:hAnsi="Arial" w:cs="Arial"/>
          <w:b/>
          <w:bCs/>
          <w:sz w:val="24"/>
          <w:szCs w:val="24"/>
          <w:lang w:val="en-US"/>
        </w:rPr>
      </w:pPr>
      <w:bookmarkStart w:id="14" w:name="_Toc235049533"/>
      <w:r w:rsidRPr="00853209">
        <w:rPr>
          <w:rFonts w:ascii="Arial" w:hAnsi="Arial" w:cs="Arial"/>
          <w:b/>
          <w:bCs/>
          <w:sz w:val="24"/>
          <w:szCs w:val="24"/>
          <w:lang w:val="en-US"/>
        </w:rPr>
        <w:t>3.3 Inclusive Recruitment, Leadership Development and DEI Initiatives</w:t>
      </w:r>
      <w:bookmarkEnd w:id="14"/>
    </w:p>
    <w:p w14:paraId="145A693D" w14:textId="77777777" w:rsidR="000D2031" w:rsidRPr="00853209" w:rsidRDefault="000D2031" w:rsidP="000D2031">
      <w:pPr>
        <w:spacing w:line="360" w:lineRule="auto"/>
        <w:jc w:val="both"/>
        <w:rPr>
          <w:rFonts w:ascii="Arial" w:hAnsi="Arial" w:cs="Arial"/>
          <w:sz w:val="22"/>
          <w:szCs w:val="22"/>
          <w:lang w:val="en-US"/>
        </w:rPr>
      </w:pPr>
      <w:r w:rsidRPr="00853209">
        <w:rPr>
          <w:rFonts w:ascii="Arial" w:hAnsi="Arial" w:cs="Arial"/>
          <w:sz w:val="22"/>
          <w:szCs w:val="22"/>
          <w:lang w:val="en-US"/>
        </w:rPr>
        <w:t>Inclusive recruitment and leadership development help Tesco attract diverse talent and create an inclusive workplace. Recruitment based on skills and potential broadens the talent pool, while leadership development prepares managers to lead diverse teams and support organisational change.</w:t>
      </w:r>
    </w:p>
    <w:p w14:paraId="6B83FD88" w14:textId="6737F69D" w:rsidR="000D2031" w:rsidRPr="00853209" w:rsidRDefault="000D2031" w:rsidP="000D2031">
      <w:pPr>
        <w:spacing w:line="360" w:lineRule="auto"/>
        <w:jc w:val="both"/>
        <w:rPr>
          <w:rFonts w:ascii="Arial" w:hAnsi="Arial" w:cs="Arial"/>
          <w:sz w:val="22"/>
          <w:szCs w:val="22"/>
          <w:lang w:val="en-US"/>
        </w:rPr>
      </w:pPr>
      <w:r w:rsidRPr="00853209">
        <w:rPr>
          <w:rFonts w:ascii="Arial" w:hAnsi="Arial" w:cs="Arial"/>
          <w:sz w:val="22"/>
          <w:szCs w:val="22"/>
          <w:lang w:val="en-US"/>
        </w:rPr>
        <w:t>Although these initiatives strengthen innovation and employer branding, they require continuous monitoring to ensure equal opportunities for recruitment, promotion and career development</w:t>
      </w:r>
      <w:r w:rsidR="00D04833" w:rsidRPr="00853209">
        <w:rPr>
          <w:rFonts w:ascii="Arial" w:hAnsi="Arial" w:cs="Arial"/>
          <w:sz w:val="22"/>
          <w:szCs w:val="22"/>
          <w:lang w:val="en-US"/>
        </w:rPr>
        <w:t xml:space="preserve"> </w:t>
      </w:r>
      <w:r w:rsidR="00D04833" w:rsidRPr="00853209">
        <w:rPr>
          <w:rFonts w:ascii="Arial" w:hAnsi="Arial" w:cs="Arial"/>
          <w:sz w:val="22"/>
          <w:szCs w:val="22"/>
        </w:rPr>
        <w:t>(Barney, 1991)</w:t>
      </w:r>
      <w:r w:rsidRPr="00853209">
        <w:rPr>
          <w:rFonts w:ascii="Arial" w:hAnsi="Arial" w:cs="Arial"/>
          <w:sz w:val="22"/>
          <w:szCs w:val="22"/>
          <w:lang w:val="en-US"/>
        </w:rPr>
        <w:t>.</w:t>
      </w:r>
      <w:r w:rsidR="00D31113" w:rsidRPr="00853209">
        <w:rPr>
          <w:rFonts w:ascii="Arial" w:hAnsi="Arial" w:cs="Arial"/>
          <w:sz w:val="22"/>
          <w:szCs w:val="22"/>
          <w:lang w:val="en-US"/>
        </w:rPr>
        <w:t xml:space="preserve"> </w:t>
      </w:r>
      <w:r w:rsidR="00D31113" w:rsidRPr="00853209">
        <w:rPr>
          <w:rFonts w:ascii="Arial" w:hAnsi="Arial" w:cs="Arial"/>
          <w:sz w:val="22"/>
          <w:szCs w:val="22"/>
        </w:rPr>
        <w:t>However, without clear accountability and regular evaluation, organisations may struggle to achieve consistent outcomes across different departments.</w:t>
      </w:r>
      <w:r w:rsidRPr="00853209">
        <w:rPr>
          <w:rFonts w:ascii="Arial" w:hAnsi="Arial" w:cs="Arial"/>
          <w:sz w:val="22"/>
          <w:szCs w:val="22"/>
          <w:lang w:val="en-US"/>
        </w:rPr>
        <w:t xml:space="preserve"> </w:t>
      </w:r>
    </w:p>
    <w:p w14:paraId="0F2C2F0E" w14:textId="7B74DA55" w:rsidR="00A24707" w:rsidRPr="00853209" w:rsidRDefault="00A24707" w:rsidP="000D2031">
      <w:pPr>
        <w:spacing w:line="360" w:lineRule="auto"/>
        <w:jc w:val="both"/>
        <w:rPr>
          <w:rFonts w:ascii="Arial" w:hAnsi="Arial" w:cs="Arial"/>
          <w:sz w:val="22"/>
          <w:szCs w:val="22"/>
          <w:lang w:val="en-US"/>
        </w:rPr>
      </w:pPr>
      <w:r w:rsidRPr="00853209">
        <w:rPr>
          <w:rFonts w:ascii="Arial" w:hAnsi="Arial" w:cs="Arial"/>
          <w:sz w:val="22"/>
          <w:szCs w:val="22"/>
        </w:rPr>
        <w:t>This demonstrates that inclusive recruitment and leadership development are not isolated HR activities but strategic practices that contribute directly to long-term organisational performance.</w:t>
      </w:r>
    </w:p>
    <w:p w14:paraId="1A12708F" w14:textId="5379F535" w:rsidR="00234B88" w:rsidRPr="00853209" w:rsidRDefault="00234B88" w:rsidP="000D2031">
      <w:pPr>
        <w:spacing w:line="360" w:lineRule="auto"/>
        <w:jc w:val="both"/>
        <w:rPr>
          <w:rFonts w:ascii="Arial" w:hAnsi="Arial" w:cs="Arial"/>
          <w:sz w:val="22"/>
          <w:szCs w:val="22"/>
        </w:rPr>
      </w:pPr>
      <w:r w:rsidRPr="00853209">
        <w:rPr>
          <w:rFonts w:ascii="Arial" w:hAnsi="Arial" w:cs="Arial"/>
          <w:sz w:val="22"/>
          <w:szCs w:val="22"/>
        </w:rPr>
        <w:t>Furthermore, effective DEI initiatives contribute to stronger organisational performance by encouraging innovation, collaboration and better decision-making. Employees who feel respected and included are more likely to contribute new ideas and remain committed to organisational objectives. Consequently, integrating inclusive leadership with wider HR strategies enables Tesco to strengthen both employee wellbeing and long-term business performance.</w:t>
      </w:r>
    </w:p>
    <w:p w14:paraId="1649B104" w14:textId="535C8FD0" w:rsidR="004B039E" w:rsidRPr="00853209" w:rsidRDefault="004B039E" w:rsidP="000D2031">
      <w:pPr>
        <w:spacing w:line="360" w:lineRule="auto"/>
        <w:jc w:val="both"/>
        <w:rPr>
          <w:rFonts w:ascii="Arial" w:hAnsi="Arial" w:cs="Arial"/>
          <w:sz w:val="22"/>
          <w:szCs w:val="22"/>
          <w:lang w:val="en-US"/>
        </w:rPr>
      </w:pPr>
      <w:r w:rsidRPr="00853209">
        <w:rPr>
          <w:rFonts w:ascii="Arial" w:hAnsi="Arial" w:cs="Arial"/>
          <w:sz w:val="22"/>
          <w:szCs w:val="22"/>
        </w:rPr>
        <w:t xml:space="preserve">The success of DEI initiatives should be monitored through measurable indicators such as workforce diversity, promotion rates, employee engagement surveys and retention data. </w:t>
      </w:r>
      <w:r w:rsidR="00082E77" w:rsidRPr="00853209">
        <w:rPr>
          <w:rFonts w:ascii="Arial" w:hAnsi="Arial" w:cs="Arial"/>
          <w:sz w:val="22"/>
          <w:szCs w:val="22"/>
        </w:rPr>
        <w:t>Therefore, Tesco should integrate inclusive recruitment, leadership development and DEI initiatives into its overall HR strategy to strengthen employee engagement, organisational resilience and long-term competitive advantage (Barney, 1991; Qiao, Li and Hong, 2024).</w:t>
      </w:r>
    </w:p>
    <w:p w14:paraId="5CC49E82" w14:textId="77777777" w:rsidR="00BD0FB4" w:rsidRPr="00853209" w:rsidRDefault="00BD0FB4" w:rsidP="000653B2">
      <w:pPr>
        <w:pStyle w:val="Heading1"/>
        <w:rPr>
          <w:rFonts w:ascii="Arial" w:hAnsi="Arial" w:cs="Arial"/>
          <w:b/>
          <w:bCs/>
          <w:sz w:val="28"/>
          <w:szCs w:val="28"/>
          <w:lang w:val="en-US"/>
        </w:rPr>
      </w:pPr>
      <w:bookmarkStart w:id="15" w:name="_Toc235049534"/>
      <w:r w:rsidRPr="00853209">
        <w:rPr>
          <w:rFonts w:ascii="Arial" w:hAnsi="Arial" w:cs="Arial"/>
          <w:b/>
          <w:bCs/>
          <w:sz w:val="28"/>
          <w:szCs w:val="28"/>
          <w:lang w:val="en-US"/>
        </w:rPr>
        <w:lastRenderedPageBreak/>
        <w:t>4. Critical Evaluation of Managerial Implementation</w:t>
      </w:r>
      <w:bookmarkEnd w:id="15"/>
    </w:p>
    <w:p w14:paraId="7E01B7C4" w14:textId="77777777" w:rsidR="00BD0FB4" w:rsidRPr="00853209" w:rsidRDefault="00BD0FB4" w:rsidP="000653B2">
      <w:pPr>
        <w:pStyle w:val="Heading2"/>
        <w:rPr>
          <w:rFonts w:ascii="Arial" w:hAnsi="Arial" w:cs="Arial"/>
          <w:b/>
          <w:bCs/>
          <w:sz w:val="24"/>
          <w:szCs w:val="24"/>
          <w:lang w:val="en-US"/>
        </w:rPr>
      </w:pPr>
      <w:bookmarkStart w:id="16" w:name="_Toc235049535"/>
      <w:r w:rsidRPr="00853209">
        <w:rPr>
          <w:rFonts w:ascii="Arial" w:hAnsi="Arial" w:cs="Arial"/>
          <w:b/>
          <w:bCs/>
          <w:sz w:val="24"/>
          <w:szCs w:val="24"/>
          <w:lang w:val="en-US"/>
        </w:rPr>
        <w:t>4.1 Leadership Accountability and Communication Strategies</w:t>
      </w:r>
      <w:bookmarkEnd w:id="16"/>
    </w:p>
    <w:p w14:paraId="5F607635" w14:textId="57B73713" w:rsidR="00135B3D" w:rsidRPr="00853209" w:rsidRDefault="00135B3D" w:rsidP="00135B3D">
      <w:pPr>
        <w:spacing w:line="360" w:lineRule="auto"/>
        <w:jc w:val="both"/>
        <w:rPr>
          <w:rFonts w:ascii="Arial" w:hAnsi="Arial" w:cs="Arial"/>
          <w:sz w:val="22"/>
          <w:szCs w:val="22"/>
          <w:lang w:val="en-US"/>
        </w:rPr>
      </w:pPr>
      <w:r w:rsidRPr="00853209">
        <w:rPr>
          <w:rFonts w:ascii="Arial" w:hAnsi="Arial" w:cs="Arial"/>
          <w:sz w:val="22"/>
          <w:szCs w:val="22"/>
          <w:lang w:val="en-US"/>
        </w:rPr>
        <w:t>The successful implementation of contemporary HR practices depends on effective leadership and managerial accountability. While HR departments develop organisational policies, departmental managers are responsible for ensuring that these policies are consistently applied. Tesco's managers should act as role models by promoting organisational values, supporting employee development and encouraging continuous learning.</w:t>
      </w:r>
      <w:r w:rsidR="009E5B2B" w:rsidRPr="00853209">
        <w:rPr>
          <w:rFonts w:ascii="Arial" w:hAnsi="Arial" w:cs="Arial"/>
          <w:sz w:val="22"/>
          <w:szCs w:val="22"/>
          <w:lang w:val="en-US"/>
        </w:rPr>
        <w:t xml:space="preserve"> </w:t>
      </w:r>
      <w:r w:rsidR="009E5B2B" w:rsidRPr="00853209">
        <w:rPr>
          <w:rFonts w:ascii="Arial" w:hAnsi="Arial" w:cs="Arial"/>
          <w:sz w:val="22"/>
          <w:szCs w:val="22"/>
        </w:rPr>
        <w:t>This approach is consistent with Transformational Leadership Theory, which emphasises inspiring employees, encouraging innovation and supporting organisational change through effective leadership (Qiao, Li and Hong, 2024).</w:t>
      </w:r>
    </w:p>
    <w:p w14:paraId="12A3B35C" w14:textId="77777777" w:rsidR="00135B3D" w:rsidRPr="00853209" w:rsidRDefault="00135B3D" w:rsidP="00135B3D">
      <w:pPr>
        <w:spacing w:line="360" w:lineRule="auto"/>
        <w:jc w:val="both"/>
        <w:rPr>
          <w:rFonts w:ascii="Arial" w:hAnsi="Arial" w:cs="Arial"/>
          <w:sz w:val="22"/>
          <w:szCs w:val="22"/>
          <w:lang w:val="en-US"/>
        </w:rPr>
      </w:pPr>
      <w:r w:rsidRPr="00853209">
        <w:rPr>
          <w:rFonts w:ascii="Arial" w:hAnsi="Arial" w:cs="Arial"/>
          <w:sz w:val="22"/>
          <w:szCs w:val="22"/>
          <w:lang w:val="en-US"/>
        </w:rPr>
        <w:t>Effective communication is equally important during organisational change. Managers should explain the purpose of new HR initiatives, encourage employee feedback and address concerns promptly. Open communication strengthens trust, improves employee engagement and reduces resistance to change, increasing the likelihood of successful implementation.</w:t>
      </w:r>
    </w:p>
    <w:p w14:paraId="00D05CE3" w14:textId="77777777" w:rsidR="00214EFC" w:rsidRPr="00853209" w:rsidRDefault="00214EFC" w:rsidP="00135B3D">
      <w:pPr>
        <w:spacing w:line="360" w:lineRule="auto"/>
        <w:jc w:val="both"/>
        <w:rPr>
          <w:rFonts w:ascii="Arial" w:hAnsi="Arial" w:cs="Arial"/>
          <w:sz w:val="22"/>
          <w:szCs w:val="22"/>
          <w:lang w:val="en-US"/>
        </w:rPr>
      </w:pPr>
    </w:p>
    <w:p w14:paraId="6637AB37" w14:textId="77777777" w:rsidR="00FD3ED1" w:rsidRPr="00853209" w:rsidRDefault="00FD3ED1" w:rsidP="000653B2">
      <w:pPr>
        <w:pStyle w:val="Heading2"/>
        <w:rPr>
          <w:rFonts w:ascii="Arial" w:hAnsi="Arial" w:cs="Arial"/>
          <w:b/>
          <w:bCs/>
          <w:sz w:val="24"/>
          <w:szCs w:val="24"/>
          <w:lang w:val="en-US"/>
        </w:rPr>
      </w:pPr>
      <w:bookmarkStart w:id="17" w:name="_Toc235049536"/>
      <w:r w:rsidRPr="00853209">
        <w:rPr>
          <w:rFonts w:ascii="Arial" w:hAnsi="Arial" w:cs="Arial"/>
          <w:b/>
          <w:bCs/>
          <w:sz w:val="24"/>
          <w:szCs w:val="24"/>
          <w:lang w:val="en-US"/>
        </w:rPr>
        <w:t>4.2 Monitoring Performance and Organisational Culture</w:t>
      </w:r>
      <w:bookmarkEnd w:id="17"/>
    </w:p>
    <w:p w14:paraId="7A51F90F" w14:textId="77777777" w:rsidR="00592779" w:rsidRPr="00853209" w:rsidRDefault="002414C5" w:rsidP="002414C5">
      <w:pPr>
        <w:spacing w:after="0" w:line="360" w:lineRule="auto"/>
        <w:ind w:left="357"/>
        <w:jc w:val="both"/>
        <w:rPr>
          <w:rFonts w:ascii="Arial" w:hAnsi="Arial" w:cs="Arial"/>
          <w:sz w:val="22"/>
          <w:szCs w:val="22"/>
        </w:rPr>
      </w:pPr>
      <w:r w:rsidRPr="00853209">
        <w:rPr>
          <w:rFonts w:ascii="Arial" w:hAnsi="Arial" w:cs="Arial"/>
          <w:sz w:val="22"/>
          <w:szCs w:val="22"/>
          <w:lang w:val="en-US"/>
        </w:rPr>
        <w:t xml:space="preserve">Managers should continuously monitor the effectiveness of HR practices using Key Performance Indicators (KPIs) such as employee turnover, engagement, training completion and customer satisfaction. Regular performance reviews and workforce analytics enable evidence-based decision-making and help identify areas requiring improvement </w:t>
      </w:r>
      <w:r w:rsidR="00592779" w:rsidRPr="00853209">
        <w:rPr>
          <w:rFonts w:ascii="Arial" w:hAnsi="Arial" w:cs="Arial"/>
          <w:sz w:val="22"/>
          <w:szCs w:val="22"/>
        </w:rPr>
        <w:t>(Armstrong and Taylor, 2023; CIPD, 2024c).</w:t>
      </w:r>
    </w:p>
    <w:p w14:paraId="49C4994A" w14:textId="7BE42450" w:rsidR="000F5A8D" w:rsidRPr="00853209" w:rsidRDefault="002414C5" w:rsidP="002414C5">
      <w:pPr>
        <w:spacing w:after="0" w:line="360" w:lineRule="auto"/>
        <w:ind w:left="357"/>
        <w:jc w:val="both"/>
        <w:rPr>
          <w:rFonts w:ascii="Arial" w:hAnsi="Arial" w:cs="Arial"/>
          <w:sz w:val="22"/>
          <w:szCs w:val="22"/>
        </w:rPr>
      </w:pPr>
      <w:r w:rsidRPr="00853209">
        <w:rPr>
          <w:rFonts w:ascii="Arial" w:hAnsi="Arial" w:cs="Arial"/>
          <w:sz w:val="22"/>
          <w:szCs w:val="22"/>
          <w:lang w:val="en-US"/>
        </w:rPr>
        <w:t>A positive organisational culture also supports successful implementation by encouraging collaboration, inclusion and continuous improvement. Managers should reinforce organisational values through consistent leadership, recognition and equal development opportunities.</w:t>
      </w:r>
      <w:r w:rsidR="00652695" w:rsidRPr="00853209">
        <w:rPr>
          <w:rFonts w:ascii="Arial" w:hAnsi="Arial" w:cs="Arial"/>
          <w:sz w:val="22"/>
          <w:szCs w:val="22"/>
          <w:lang w:val="en-US"/>
        </w:rPr>
        <w:t xml:space="preserve"> </w:t>
      </w:r>
      <w:r w:rsidR="00151DCA" w:rsidRPr="00853209">
        <w:rPr>
          <w:rFonts w:ascii="Arial" w:hAnsi="Arial" w:cs="Arial"/>
          <w:sz w:val="22"/>
          <w:szCs w:val="22"/>
        </w:rPr>
        <w:t>This view is consistent with Hofstede's cultural dimensions theory, which suggests that organisational values and collaborative workplace cultures significantly influence employee behaviour and organisational effectiveness (Hofstede, 2001).</w:t>
      </w:r>
    </w:p>
    <w:p w14:paraId="09D47608" w14:textId="2ACB067C" w:rsidR="00E17BA2" w:rsidRPr="00853209" w:rsidRDefault="00E17BA2" w:rsidP="002414C5">
      <w:pPr>
        <w:spacing w:after="0" w:line="360" w:lineRule="auto"/>
        <w:ind w:left="357"/>
        <w:jc w:val="both"/>
        <w:rPr>
          <w:rFonts w:ascii="Arial" w:hAnsi="Arial" w:cs="Arial"/>
          <w:sz w:val="22"/>
          <w:szCs w:val="22"/>
          <w:lang w:val="en-US"/>
        </w:rPr>
      </w:pPr>
      <w:r w:rsidRPr="00853209">
        <w:rPr>
          <w:rFonts w:ascii="Arial" w:hAnsi="Arial" w:cs="Arial"/>
          <w:sz w:val="22"/>
          <w:szCs w:val="22"/>
        </w:rPr>
        <w:t>Effective performance management should also encourage continuous professional development by identifying individual strengths and areas for improvement. Regular coaching, mentoring and constructive feedback enable employees to enhance their skills while supporting organisational objectives. For Tesco, investing in employee development not only improves performance but also increases motivation, job satisfaction and retention. This proactive approach creates a learning culture in which employees are better prepared to respond to technological change and evolving customer expectations, contributing to sustainable organisational success.</w:t>
      </w:r>
    </w:p>
    <w:p w14:paraId="42E6E600" w14:textId="77777777" w:rsidR="001D4F60" w:rsidRPr="00853209" w:rsidRDefault="001D4F60" w:rsidP="00FD3ED1">
      <w:pPr>
        <w:spacing w:after="0" w:line="360" w:lineRule="auto"/>
        <w:ind w:left="357"/>
        <w:jc w:val="both"/>
        <w:rPr>
          <w:rFonts w:ascii="Arial" w:hAnsi="Arial" w:cs="Arial"/>
          <w:sz w:val="22"/>
          <w:szCs w:val="22"/>
          <w:lang w:val="en-US"/>
        </w:rPr>
      </w:pPr>
    </w:p>
    <w:p w14:paraId="38DF0E82" w14:textId="77777777" w:rsidR="001D4F60" w:rsidRPr="00853209" w:rsidRDefault="001D4F60" w:rsidP="000653B2">
      <w:pPr>
        <w:pStyle w:val="Heading2"/>
        <w:rPr>
          <w:rFonts w:ascii="Arial" w:hAnsi="Arial" w:cs="Arial"/>
          <w:b/>
          <w:bCs/>
          <w:sz w:val="24"/>
          <w:szCs w:val="24"/>
          <w:lang w:val="en-US"/>
        </w:rPr>
      </w:pPr>
      <w:bookmarkStart w:id="18" w:name="_Toc235049537"/>
      <w:r w:rsidRPr="00853209">
        <w:rPr>
          <w:rFonts w:ascii="Arial" w:hAnsi="Arial" w:cs="Arial"/>
          <w:b/>
          <w:bCs/>
          <w:sz w:val="24"/>
          <w:szCs w:val="24"/>
          <w:lang w:val="en-US"/>
        </w:rPr>
        <w:t>4.3 Barriers to Implementation and Overcoming Challenges</w:t>
      </w:r>
      <w:bookmarkEnd w:id="18"/>
    </w:p>
    <w:p w14:paraId="3CBCA3E2" w14:textId="77777777" w:rsidR="00E817E3" w:rsidRPr="00853209" w:rsidRDefault="00E817E3" w:rsidP="00E817E3">
      <w:pPr>
        <w:spacing w:line="360" w:lineRule="auto"/>
        <w:jc w:val="both"/>
        <w:rPr>
          <w:rFonts w:ascii="Arial" w:hAnsi="Arial" w:cs="Arial"/>
          <w:sz w:val="22"/>
          <w:szCs w:val="22"/>
          <w:lang w:val="en-US"/>
        </w:rPr>
      </w:pPr>
      <w:r w:rsidRPr="00853209">
        <w:rPr>
          <w:rFonts w:ascii="Arial" w:hAnsi="Arial" w:cs="Arial"/>
          <w:sz w:val="22"/>
          <w:szCs w:val="22"/>
          <w:lang w:val="en-US"/>
        </w:rPr>
        <w:t>Tesco may face barriers such as resistance to change, inconsistent leadership and limited resources when implementing contemporary HR practices. Employees may be reluctant to adopt new technologies, while differences in management capability can result in inconsistent employee experiences across departments.</w:t>
      </w:r>
    </w:p>
    <w:p w14:paraId="2BE7F7A2" w14:textId="77777777" w:rsidR="00E817E3" w:rsidRPr="00853209" w:rsidRDefault="00E817E3" w:rsidP="00E817E3">
      <w:pPr>
        <w:spacing w:line="360" w:lineRule="auto"/>
        <w:jc w:val="both"/>
        <w:rPr>
          <w:rFonts w:ascii="Arial" w:hAnsi="Arial" w:cs="Arial"/>
          <w:sz w:val="22"/>
          <w:szCs w:val="22"/>
          <w:lang w:val="en-US"/>
        </w:rPr>
      </w:pPr>
      <w:r w:rsidRPr="00853209">
        <w:rPr>
          <w:rFonts w:ascii="Arial" w:hAnsi="Arial" w:cs="Arial"/>
          <w:sz w:val="22"/>
          <w:szCs w:val="22"/>
          <w:lang w:val="en-US"/>
        </w:rPr>
        <w:t>To overcome these challenges, Tesco should provide leadership development, continuous communication and employee involvement throughout the change process. Regular monitoring through workforce analytics and employee feedback will enable managers to identify problems early and implement timely improvements. By addressing these barriers proactively, Tesco can strengthen employee engagement, improve organisational performance and maintain a sustainable competitive advantage.</w:t>
      </w:r>
    </w:p>
    <w:p w14:paraId="152474C9" w14:textId="27A38DB3" w:rsidR="005548F1" w:rsidRPr="00853209" w:rsidRDefault="005548F1" w:rsidP="00E817E3">
      <w:pPr>
        <w:spacing w:line="360" w:lineRule="auto"/>
        <w:jc w:val="both"/>
        <w:rPr>
          <w:rFonts w:ascii="Arial" w:hAnsi="Arial" w:cs="Arial"/>
          <w:sz w:val="22"/>
          <w:szCs w:val="22"/>
          <w:lang w:val="en-US"/>
        </w:rPr>
      </w:pPr>
      <w:r w:rsidRPr="00853209">
        <w:rPr>
          <w:rFonts w:ascii="Arial" w:hAnsi="Arial" w:cs="Arial"/>
          <w:sz w:val="22"/>
          <w:szCs w:val="22"/>
        </w:rPr>
        <w:t>Implementing these HR practices as a matter of urgency is essential for Tesco to remain competitive within the rapidly evolving UK retail sector. Delays in adopting digital technologies, strengthening talent management and embedding inclusive practices may result in increased employee turnover, reduced workforce capability and slower organisational adaptation to changing customer expectations. Prompt managerial action will therefore minimise organisational risk while supporting sustainable business performance.</w:t>
      </w:r>
    </w:p>
    <w:p w14:paraId="43F0BDAE" w14:textId="19B76212" w:rsidR="009A09D8" w:rsidRPr="00853209" w:rsidRDefault="009A09D8" w:rsidP="00E817E3">
      <w:pPr>
        <w:spacing w:line="360" w:lineRule="auto"/>
        <w:jc w:val="both"/>
        <w:rPr>
          <w:rFonts w:ascii="Arial" w:hAnsi="Arial" w:cs="Arial"/>
          <w:sz w:val="22"/>
          <w:szCs w:val="22"/>
          <w:lang w:val="en-US"/>
        </w:rPr>
      </w:pPr>
      <w:r w:rsidRPr="00853209">
        <w:rPr>
          <w:rFonts w:ascii="Arial" w:hAnsi="Arial" w:cs="Arial"/>
          <w:sz w:val="22"/>
          <w:szCs w:val="22"/>
        </w:rPr>
        <w:t>Managers should also encourage a culture of continuous improvement by involving employees in organisational change and recognising their contributions to business success. Employee participation increases commitment, improves communication and creates greater acceptance of new HR initiatives, supporting successful implementation across the organisation.</w:t>
      </w:r>
    </w:p>
    <w:p w14:paraId="54BF6E3B" w14:textId="77777777" w:rsidR="00EA14E1" w:rsidRPr="00853209" w:rsidRDefault="00EA14E1" w:rsidP="000653B2">
      <w:pPr>
        <w:pStyle w:val="Heading1"/>
        <w:rPr>
          <w:rFonts w:ascii="Arial" w:hAnsi="Arial" w:cs="Arial"/>
          <w:b/>
          <w:bCs/>
          <w:sz w:val="28"/>
          <w:szCs w:val="28"/>
          <w:lang w:val="en-US"/>
        </w:rPr>
      </w:pPr>
      <w:bookmarkStart w:id="19" w:name="_Toc235049538"/>
      <w:r w:rsidRPr="00853209">
        <w:rPr>
          <w:rFonts w:ascii="Arial" w:hAnsi="Arial" w:cs="Arial"/>
          <w:b/>
          <w:bCs/>
          <w:sz w:val="28"/>
          <w:szCs w:val="28"/>
          <w:lang w:val="en-US"/>
        </w:rPr>
        <w:t>5. Recommendations</w:t>
      </w:r>
      <w:bookmarkEnd w:id="19"/>
    </w:p>
    <w:p w14:paraId="40E9BD37" w14:textId="729A8529" w:rsidR="00905E42" w:rsidRPr="00853209" w:rsidRDefault="00513E3E" w:rsidP="00ED1E6C">
      <w:pPr>
        <w:spacing w:line="360" w:lineRule="auto"/>
        <w:jc w:val="both"/>
        <w:rPr>
          <w:rFonts w:ascii="Arial" w:hAnsi="Arial" w:cs="Arial"/>
          <w:sz w:val="22"/>
          <w:szCs w:val="22"/>
          <w:lang w:val="en-US"/>
        </w:rPr>
      </w:pPr>
      <w:r w:rsidRPr="00853209">
        <w:rPr>
          <w:rFonts w:ascii="Arial" w:hAnsi="Arial" w:cs="Arial"/>
          <w:sz w:val="22"/>
          <w:szCs w:val="22"/>
        </w:rPr>
        <w:t xml:space="preserve">Based on the findings of this report, Tesco PLC should prioritise five key actions. First, </w:t>
      </w:r>
      <w:r w:rsidR="008D079E" w:rsidRPr="00853209">
        <w:rPr>
          <w:rFonts w:ascii="Arial" w:hAnsi="Arial" w:cs="Arial"/>
          <w:sz w:val="22"/>
          <w:szCs w:val="22"/>
        </w:rPr>
        <w:t xml:space="preserve">expand structured digital learning programmes </w:t>
      </w:r>
      <w:r w:rsidRPr="00853209">
        <w:rPr>
          <w:rFonts w:ascii="Arial" w:hAnsi="Arial" w:cs="Arial"/>
          <w:sz w:val="22"/>
          <w:szCs w:val="22"/>
        </w:rPr>
        <w:t>to improve employees' technological skills. Second, strengthen talent development and succession planning to improve retention and leadership continuity. Third, enhance Diversity, Equity and Inclusion (DEI) by monitoring diversity outcomes and providing unconscious bias training for managers. Fourth, implement continuous performance management through regular feedback and coaching rather than relying solely on annual appraisals. Finally, increase the use of workforce analytics to support evidence-based decision-making and improve organisational performance. These recommendations will strengthen Tesco's workforce capability, employee engagement and long-term business sustainability.</w:t>
      </w:r>
      <w:r w:rsidR="004B3874" w:rsidRPr="00853209">
        <w:rPr>
          <w:rFonts w:ascii="Arial" w:hAnsi="Arial" w:cs="Arial"/>
          <w:sz w:val="22"/>
          <w:szCs w:val="22"/>
        </w:rPr>
        <w:t xml:space="preserve"> Implementing these recommendations will also help Tesco </w:t>
      </w:r>
      <w:r w:rsidR="004B3874" w:rsidRPr="00853209">
        <w:rPr>
          <w:rFonts w:ascii="Arial" w:hAnsi="Arial" w:cs="Arial"/>
          <w:sz w:val="22"/>
          <w:szCs w:val="22"/>
        </w:rPr>
        <w:lastRenderedPageBreak/>
        <w:t>respond more effectively to future organisational challenges while supporting innovation, employee wellbeing and long-term organisational resilience.</w:t>
      </w:r>
    </w:p>
    <w:p w14:paraId="039C0B6D" w14:textId="146EFBB7" w:rsidR="008F4647" w:rsidRPr="00853209" w:rsidRDefault="008F4647">
      <w:pPr>
        <w:rPr>
          <w:rFonts w:ascii="Arial" w:hAnsi="Arial" w:cs="Arial"/>
          <w:sz w:val="22"/>
          <w:szCs w:val="22"/>
          <w:lang w:val="en-US"/>
        </w:rPr>
      </w:pPr>
      <w:r w:rsidRPr="00853209">
        <w:rPr>
          <w:rFonts w:ascii="Arial" w:hAnsi="Arial" w:cs="Arial"/>
          <w:sz w:val="22"/>
          <w:szCs w:val="22"/>
          <w:lang w:val="en-US"/>
        </w:rPr>
        <w:br w:type="page"/>
      </w:r>
    </w:p>
    <w:p w14:paraId="090C8B46" w14:textId="77777777" w:rsidR="008F4647" w:rsidRPr="00853209" w:rsidRDefault="008F4647" w:rsidP="000653B2">
      <w:pPr>
        <w:pStyle w:val="Heading1"/>
        <w:rPr>
          <w:rFonts w:ascii="Arial" w:hAnsi="Arial" w:cs="Arial"/>
          <w:b/>
          <w:bCs/>
          <w:sz w:val="28"/>
          <w:szCs w:val="28"/>
          <w:lang w:val="en-US"/>
        </w:rPr>
      </w:pPr>
      <w:bookmarkStart w:id="20" w:name="_Toc235049539"/>
      <w:r w:rsidRPr="00853209">
        <w:rPr>
          <w:rFonts w:ascii="Arial" w:hAnsi="Arial" w:cs="Arial"/>
          <w:b/>
          <w:bCs/>
          <w:sz w:val="28"/>
          <w:szCs w:val="28"/>
          <w:lang w:val="en-US"/>
        </w:rPr>
        <w:lastRenderedPageBreak/>
        <w:t>6. Conclusion</w:t>
      </w:r>
      <w:bookmarkEnd w:id="20"/>
    </w:p>
    <w:p w14:paraId="57B3901A" w14:textId="31FA6158" w:rsidR="00645307" w:rsidRPr="00853209" w:rsidRDefault="00645307" w:rsidP="00ED1E6C">
      <w:pPr>
        <w:spacing w:line="360" w:lineRule="auto"/>
        <w:jc w:val="both"/>
        <w:rPr>
          <w:rFonts w:ascii="Arial" w:hAnsi="Arial" w:cs="Arial"/>
          <w:sz w:val="22"/>
          <w:szCs w:val="22"/>
          <w:lang w:val="en-US"/>
        </w:rPr>
      </w:pPr>
      <w:r w:rsidRPr="00853209">
        <w:rPr>
          <w:rFonts w:ascii="Arial" w:hAnsi="Arial" w:cs="Arial"/>
          <w:sz w:val="22"/>
          <w:szCs w:val="22"/>
          <w:lang w:val="en-US"/>
        </w:rPr>
        <w:t>This report examined the key contemporary HR challenges facing Tesco PLC, focusing on technological advancement, talent acquisition and retention, and Diversity, Equity and Inclusion (DEI). It evaluated contemporary HR practices that can address these challenges and highlighted the importance of effective leadership, communication and performance management in ensuring successful implementation. Overall, Tesco's long-term success depends on balancing technological innovation with investment in people.</w:t>
      </w:r>
      <w:r w:rsidR="0090636E" w:rsidRPr="00853209">
        <w:rPr>
          <w:rFonts w:ascii="Arial" w:hAnsi="Arial" w:cs="Arial"/>
          <w:sz w:val="22"/>
          <w:szCs w:val="22"/>
          <w:lang w:val="en-US"/>
        </w:rPr>
        <w:t xml:space="preserve"> </w:t>
      </w:r>
      <w:r w:rsidR="0090636E" w:rsidRPr="00853209">
        <w:rPr>
          <w:rFonts w:ascii="Arial" w:hAnsi="Arial" w:cs="Arial"/>
          <w:sz w:val="22"/>
          <w:szCs w:val="22"/>
        </w:rPr>
        <w:t>In addition, organisations that successfully integrate strategic HR practices with business objectives are better positioned to respond to future workforce challenges, improve employee engagement and achieve sustainable organisational performance in an increasingly competitive business environment.</w:t>
      </w:r>
      <w:r w:rsidRPr="00853209">
        <w:rPr>
          <w:rFonts w:ascii="Arial" w:hAnsi="Arial" w:cs="Arial"/>
          <w:sz w:val="22"/>
          <w:szCs w:val="22"/>
          <w:lang w:val="en-US"/>
        </w:rPr>
        <w:t xml:space="preserve"> By adopting the recommendations outlined in this report, the organisation can improve employee capability, strengthen organisational resilience and maintain a sustainable competitive advantage within the UK retail sector.</w:t>
      </w:r>
      <w:r w:rsidR="00943060" w:rsidRPr="00853209">
        <w:rPr>
          <w:rFonts w:ascii="Arial" w:hAnsi="Arial" w:cs="Arial"/>
          <w:sz w:val="22"/>
          <w:szCs w:val="22"/>
          <w:lang w:val="en-US"/>
        </w:rPr>
        <w:t xml:space="preserve"> </w:t>
      </w:r>
      <w:r w:rsidR="00943060" w:rsidRPr="00853209">
        <w:rPr>
          <w:rFonts w:ascii="Arial" w:hAnsi="Arial" w:cs="Arial"/>
          <w:sz w:val="22"/>
          <w:szCs w:val="22"/>
        </w:rPr>
        <w:t>These actions will also strengthen employee engagement, support continuous organisational improvement and ensure that Tesco remains well positioned to respond to future challenges in the rapidly changing retail environment.</w:t>
      </w:r>
    </w:p>
    <w:p w14:paraId="7298FD60" w14:textId="77777777" w:rsidR="001D4F60" w:rsidRPr="00853209" w:rsidRDefault="001D4F60" w:rsidP="00ED1E6C">
      <w:pPr>
        <w:spacing w:line="360" w:lineRule="auto"/>
        <w:jc w:val="both"/>
        <w:rPr>
          <w:rFonts w:ascii="Arial" w:hAnsi="Arial" w:cs="Arial"/>
          <w:sz w:val="22"/>
          <w:szCs w:val="22"/>
          <w:lang w:val="en-US"/>
        </w:rPr>
      </w:pPr>
    </w:p>
    <w:p w14:paraId="00E91201" w14:textId="77777777" w:rsidR="00FD3ED1" w:rsidRPr="00853209" w:rsidRDefault="00FD3ED1" w:rsidP="00ED1E6C">
      <w:pPr>
        <w:spacing w:line="360" w:lineRule="auto"/>
        <w:jc w:val="both"/>
        <w:rPr>
          <w:rFonts w:ascii="Arial" w:hAnsi="Arial" w:cs="Arial"/>
          <w:sz w:val="22"/>
          <w:szCs w:val="22"/>
          <w:lang w:val="en-US"/>
        </w:rPr>
      </w:pPr>
    </w:p>
    <w:p w14:paraId="41B6AD67" w14:textId="77777777" w:rsidR="00C049A3" w:rsidRPr="00853209" w:rsidRDefault="00C049A3" w:rsidP="00BD0FB4">
      <w:pPr>
        <w:spacing w:after="0" w:line="360" w:lineRule="auto"/>
        <w:ind w:left="357"/>
        <w:jc w:val="both"/>
        <w:rPr>
          <w:rFonts w:ascii="Arial" w:hAnsi="Arial" w:cs="Arial"/>
          <w:sz w:val="22"/>
          <w:szCs w:val="22"/>
          <w:lang w:val="en-US"/>
        </w:rPr>
      </w:pPr>
    </w:p>
    <w:p w14:paraId="6A7CA309" w14:textId="77777777" w:rsidR="00BD0FB4" w:rsidRPr="00853209" w:rsidRDefault="00BD0FB4" w:rsidP="00507316">
      <w:pPr>
        <w:spacing w:after="0" w:line="360" w:lineRule="auto"/>
        <w:ind w:left="357"/>
        <w:jc w:val="both"/>
        <w:rPr>
          <w:rFonts w:ascii="Arial" w:hAnsi="Arial" w:cs="Arial"/>
          <w:sz w:val="22"/>
          <w:szCs w:val="22"/>
          <w:lang w:val="en-US"/>
        </w:rPr>
      </w:pPr>
    </w:p>
    <w:p w14:paraId="5E256BF9" w14:textId="77777777" w:rsidR="00507316" w:rsidRPr="00853209" w:rsidRDefault="00507316" w:rsidP="00160C46">
      <w:pPr>
        <w:spacing w:after="0" w:line="360" w:lineRule="auto"/>
        <w:ind w:left="357"/>
        <w:jc w:val="both"/>
        <w:rPr>
          <w:rFonts w:ascii="Arial" w:hAnsi="Arial" w:cs="Arial"/>
          <w:sz w:val="22"/>
          <w:szCs w:val="22"/>
          <w:lang w:val="en-US"/>
        </w:rPr>
      </w:pPr>
    </w:p>
    <w:p w14:paraId="39A5E797" w14:textId="77777777" w:rsidR="001F441B" w:rsidRPr="00853209" w:rsidRDefault="001F441B" w:rsidP="00480278">
      <w:pPr>
        <w:spacing w:after="0" w:line="360" w:lineRule="auto"/>
        <w:ind w:left="357"/>
        <w:jc w:val="both"/>
        <w:rPr>
          <w:rFonts w:ascii="Arial" w:hAnsi="Arial" w:cs="Arial"/>
          <w:sz w:val="22"/>
          <w:szCs w:val="22"/>
          <w:lang w:val="en-US"/>
        </w:rPr>
      </w:pPr>
    </w:p>
    <w:p w14:paraId="02487D27" w14:textId="77777777" w:rsidR="00480278" w:rsidRPr="00853209" w:rsidRDefault="00480278" w:rsidP="00661032">
      <w:pPr>
        <w:spacing w:after="0" w:line="360" w:lineRule="auto"/>
        <w:ind w:left="357"/>
        <w:jc w:val="both"/>
        <w:rPr>
          <w:rFonts w:ascii="Arial" w:hAnsi="Arial" w:cs="Arial"/>
          <w:sz w:val="22"/>
          <w:szCs w:val="22"/>
          <w:lang w:val="en-US"/>
        </w:rPr>
      </w:pPr>
    </w:p>
    <w:p w14:paraId="3CD3B07E" w14:textId="77777777" w:rsidR="00661032" w:rsidRPr="00853209" w:rsidRDefault="00661032" w:rsidP="006D4E2D">
      <w:pPr>
        <w:spacing w:after="0" w:line="360" w:lineRule="auto"/>
        <w:ind w:left="357"/>
        <w:jc w:val="both"/>
        <w:rPr>
          <w:rFonts w:ascii="Arial" w:hAnsi="Arial" w:cs="Arial"/>
          <w:sz w:val="22"/>
          <w:szCs w:val="22"/>
          <w:lang w:val="en-US"/>
        </w:rPr>
      </w:pPr>
    </w:p>
    <w:p w14:paraId="1FFC0518" w14:textId="77777777" w:rsidR="00363919" w:rsidRPr="00853209" w:rsidRDefault="00363919" w:rsidP="00363919">
      <w:pPr>
        <w:spacing w:after="0" w:line="360" w:lineRule="auto"/>
        <w:ind w:left="357"/>
        <w:jc w:val="both"/>
        <w:rPr>
          <w:rFonts w:ascii="Arial" w:hAnsi="Arial" w:cs="Arial"/>
          <w:sz w:val="22"/>
          <w:szCs w:val="22"/>
          <w:lang w:val="en-US"/>
        </w:rPr>
      </w:pPr>
    </w:p>
    <w:p w14:paraId="0779ED6E" w14:textId="77777777" w:rsidR="00B91658" w:rsidRPr="00853209" w:rsidRDefault="00B91658" w:rsidP="00363919">
      <w:pPr>
        <w:spacing w:after="0" w:line="360" w:lineRule="auto"/>
        <w:ind w:left="357"/>
        <w:jc w:val="both"/>
        <w:rPr>
          <w:rFonts w:ascii="Arial" w:hAnsi="Arial" w:cs="Arial"/>
          <w:sz w:val="22"/>
          <w:szCs w:val="22"/>
        </w:rPr>
      </w:pPr>
    </w:p>
    <w:p w14:paraId="7D187CDE" w14:textId="2AF6F078" w:rsidR="002C2543" w:rsidRPr="00853209" w:rsidRDefault="002C2543">
      <w:pPr>
        <w:rPr>
          <w:rFonts w:ascii="Arial" w:hAnsi="Arial" w:cs="Arial"/>
          <w:sz w:val="22"/>
          <w:szCs w:val="22"/>
        </w:rPr>
      </w:pPr>
      <w:r w:rsidRPr="00853209">
        <w:rPr>
          <w:rFonts w:ascii="Arial" w:hAnsi="Arial" w:cs="Arial"/>
          <w:sz w:val="22"/>
          <w:szCs w:val="22"/>
        </w:rPr>
        <w:br w:type="page"/>
      </w:r>
    </w:p>
    <w:p w14:paraId="0BABF97A" w14:textId="10271BD6" w:rsidR="00CB2194" w:rsidRPr="00853209" w:rsidRDefault="00CB2194" w:rsidP="000653B2">
      <w:pPr>
        <w:pStyle w:val="Heading1"/>
        <w:rPr>
          <w:rFonts w:ascii="Arial" w:hAnsi="Arial" w:cs="Arial"/>
          <w:b/>
          <w:bCs/>
          <w:sz w:val="28"/>
          <w:szCs w:val="28"/>
          <w:lang w:val="en-US"/>
        </w:rPr>
      </w:pPr>
      <w:bookmarkStart w:id="21" w:name="_Toc235049540"/>
      <w:r w:rsidRPr="00853209">
        <w:rPr>
          <w:rFonts w:ascii="Arial" w:hAnsi="Arial" w:cs="Arial"/>
          <w:b/>
          <w:bCs/>
          <w:sz w:val="28"/>
          <w:szCs w:val="28"/>
          <w:lang w:val="en-US"/>
        </w:rPr>
        <w:lastRenderedPageBreak/>
        <w:t>7. Reference</w:t>
      </w:r>
      <w:r w:rsidR="00322914" w:rsidRPr="00853209">
        <w:rPr>
          <w:rFonts w:ascii="Arial" w:hAnsi="Arial" w:cs="Arial"/>
          <w:b/>
          <w:bCs/>
          <w:sz w:val="28"/>
          <w:szCs w:val="28"/>
          <w:lang w:val="en-US"/>
        </w:rPr>
        <w:t>s</w:t>
      </w:r>
      <w:bookmarkEnd w:id="21"/>
      <w:r w:rsidRPr="00853209">
        <w:rPr>
          <w:rFonts w:ascii="Arial" w:hAnsi="Arial" w:cs="Arial"/>
          <w:b/>
          <w:bCs/>
          <w:sz w:val="28"/>
          <w:szCs w:val="28"/>
          <w:lang w:val="en-US"/>
        </w:rPr>
        <w:t xml:space="preserve"> </w:t>
      </w:r>
    </w:p>
    <w:p w14:paraId="1B9AB7C1" w14:textId="77777777" w:rsidR="00322914" w:rsidRPr="00853209" w:rsidRDefault="00322914" w:rsidP="008B2844">
      <w:pPr>
        <w:jc w:val="both"/>
        <w:rPr>
          <w:rFonts w:ascii="Arial" w:hAnsi="Arial" w:cs="Arial"/>
          <w:sz w:val="22"/>
          <w:szCs w:val="22"/>
          <w:lang w:val="en-US"/>
        </w:rPr>
      </w:pPr>
      <w:r w:rsidRPr="00853209">
        <w:rPr>
          <w:rFonts w:ascii="Arial" w:hAnsi="Arial" w:cs="Arial"/>
          <w:sz w:val="22"/>
          <w:szCs w:val="22"/>
          <w:lang w:val="en-US"/>
        </w:rPr>
        <w:t xml:space="preserve">Armstrong, M. and Taylor, S. (2023) </w:t>
      </w:r>
      <w:r w:rsidRPr="00853209">
        <w:rPr>
          <w:rFonts w:ascii="Arial" w:hAnsi="Arial" w:cs="Arial"/>
          <w:i/>
          <w:iCs/>
          <w:sz w:val="22"/>
          <w:szCs w:val="22"/>
          <w:lang w:val="en-US"/>
        </w:rPr>
        <w:t>Armstrong's Handbook of Human Resource Management Practice</w:t>
      </w:r>
      <w:r w:rsidRPr="00853209">
        <w:rPr>
          <w:rFonts w:ascii="Arial" w:hAnsi="Arial" w:cs="Arial"/>
          <w:sz w:val="22"/>
          <w:szCs w:val="22"/>
          <w:lang w:val="en-US"/>
        </w:rPr>
        <w:t xml:space="preserve">. 16th </w:t>
      </w:r>
      <w:proofErr w:type="spellStart"/>
      <w:r w:rsidRPr="00853209">
        <w:rPr>
          <w:rFonts w:ascii="Arial" w:hAnsi="Arial" w:cs="Arial"/>
          <w:sz w:val="22"/>
          <w:szCs w:val="22"/>
          <w:lang w:val="en-US"/>
        </w:rPr>
        <w:t>edn</w:t>
      </w:r>
      <w:proofErr w:type="spellEnd"/>
      <w:r w:rsidRPr="00853209">
        <w:rPr>
          <w:rFonts w:ascii="Arial" w:hAnsi="Arial" w:cs="Arial"/>
          <w:sz w:val="22"/>
          <w:szCs w:val="22"/>
          <w:lang w:val="en-US"/>
        </w:rPr>
        <w:t>. London: Kogan Page.</w:t>
      </w:r>
    </w:p>
    <w:p w14:paraId="52F998C7" w14:textId="6A8C8B9A" w:rsidR="00A35E45" w:rsidRPr="00853209" w:rsidRDefault="00A35E45" w:rsidP="008B2844">
      <w:pPr>
        <w:jc w:val="both"/>
        <w:rPr>
          <w:rFonts w:ascii="Arial" w:hAnsi="Arial" w:cs="Arial"/>
          <w:sz w:val="22"/>
          <w:szCs w:val="22"/>
          <w:lang w:val="en-US"/>
        </w:rPr>
      </w:pPr>
      <w:r w:rsidRPr="00853209">
        <w:rPr>
          <w:rFonts w:ascii="Arial" w:hAnsi="Arial" w:cs="Arial"/>
          <w:sz w:val="22"/>
          <w:szCs w:val="22"/>
        </w:rPr>
        <w:t xml:space="preserve">Asokan, D.R., Smith, C.M. and Huq, F.A., </w:t>
      </w:r>
      <w:r w:rsidR="0000114A" w:rsidRPr="00853209">
        <w:rPr>
          <w:rFonts w:ascii="Arial" w:hAnsi="Arial" w:cs="Arial"/>
          <w:sz w:val="22"/>
          <w:szCs w:val="22"/>
        </w:rPr>
        <w:t>(</w:t>
      </w:r>
      <w:r w:rsidRPr="00853209">
        <w:rPr>
          <w:rFonts w:ascii="Arial" w:hAnsi="Arial" w:cs="Arial"/>
          <w:sz w:val="22"/>
          <w:szCs w:val="22"/>
        </w:rPr>
        <w:t>2026</w:t>
      </w:r>
      <w:r w:rsidR="0000114A" w:rsidRPr="00853209">
        <w:rPr>
          <w:rFonts w:ascii="Arial" w:hAnsi="Arial" w:cs="Arial"/>
          <w:sz w:val="22"/>
          <w:szCs w:val="22"/>
        </w:rPr>
        <w:t>)</w:t>
      </w:r>
      <w:r w:rsidRPr="00853209">
        <w:rPr>
          <w:rFonts w:ascii="Arial" w:hAnsi="Arial" w:cs="Arial"/>
          <w:sz w:val="22"/>
          <w:szCs w:val="22"/>
        </w:rPr>
        <w:t>. Digitalisation as a catalyst for supplier diversity, equity and inclusion. </w:t>
      </w:r>
      <w:r w:rsidRPr="00853209">
        <w:rPr>
          <w:rFonts w:ascii="Arial" w:hAnsi="Arial" w:cs="Arial"/>
          <w:i/>
          <w:iCs/>
          <w:sz w:val="22"/>
          <w:szCs w:val="22"/>
        </w:rPr>
        <w:t>International Journal of Operations &amp; Production Management</w:t>
      </w:r>
      <w:r w:rsidRPr="00853209">
        <w:rPr>
          <w:rFonts w:ascii="Arial" w:hAnsi="Arial" w:cs="Arial"/>
          <w:sz w:val="22"/>
          <w:szCs w:val="22"/>
        </w:rPr>
        <w:t>, </w:t>
      </w:r>
      <w:r w:rsidRPr="00853209">
        <w:rPr>
          <w:rFonts w:ascii="Arial" w:hAnsi="Arial" w:cs="Arial"/>
          <w:i/>
          <w:iCs/>
          <w:sz w:val="22"/>
          <w:szCs w:val="22"/>
        </w:rPr>
        <w:t>46</w:t>
      </w:r>
      <w:r w:rsidRPr="00853209">
        <w:rPr>
          <w:rFonts w:ascii="Arial" w:hAnsi="Arial" w:cs="Arial"/>
          <w:sz w:val="22"/>
          <w:szCs w:val="22"/>
        </w:rPr>
        <w:t>(3), pp.464-489.</w:t>
      </w:r>
    </w:p>
    <w:p w14:paraId="19882F32" w14:textId="77777777" w:rsidR="00322914" w:rsidRPr="00853209" w:rsidRDefault="00322914" w:rsidP="008B2844">
      <w:pPr>
        <w:jc w:val="both"/>
        <w:rPr>
          <w:rFonts w:ascii="Arial" w:hAnsi="Arial" w:cs="Arial"/>
          <w:sz w:val="22"/>
          <w:szCs w:val="22"/>
          <w:lang w:val="en-US"/>
        </w:rPr>
      </w:pPr>
      <w:r w:rsidRPr="00853209">
        <w:rPr>
          <w:rFonts w:ascii="Arial" w:hAnsi="Arial" w:cs="Arial"/>
          <w:sz w:val="22"/>
          <w:szCs w:val="22"/>
          <w:lang w:val="en-US"/>
        </w:rPr>
        <w:t xml:space="preserve">Barney, J.B. (1991) 'Firm resources and sustained competitive advantage', </w:t>
      </w:r>
      <w:r w:rsidRPr="00853209">
        <w:rPr>
          <w:rFonts w:ascii="Arial" w:hAnsi="Arial" w:cs="Arial"/>
          <w:i/>
          <w:iCs/>
          <w:sz w:val="22"/>
          <w:szCs w:val="22"/>
          <w:lang w:val="en-US"/>
        </w:rPr>
        <w:t>Journal of Management</w:t>
      </w:r>
      <w:r w:rsidRPr="00853209">
        <w:rPr>
          <w:rFonts w:ascii="Arial" w:hAnsi="Arial" w:cs="Arial"/>
          <w:sz w:val="22"/>
          <w:szCs w:val="22"/>
          <w:lang w:val="en-US"/>
        </w:rPr>
        <w:t>, 17(1), pp. 99–120.</w:t>
      </w:r>
    </w:p>
    <w:p w14:paraId="188760F7" w14:textId="77777777" w:rsidR="00322914" w:rsidRPr="00853209" w:rsidRDefault="00322914" w:rsidP="008B2844">
      <w:pPr>
        <w:jc w:val="both"/>
        <w:rPr>
          <w:rFonts w:ascii="Arial" w:hAnsi="Arial" w:cs="Arial"/>
          <w:sz w:val="22"/>
          <w:szCs w:val="22"/>
          <w:lang w:val="en-US"/>
        </w:rPr>
      </w:pPr>
      <w:r w:rsidRPr="00853209">
        <w:rPr>
          <w:rFonts w:ascii="Arial" w:hAnsi="Arial" w:cs="Arial"/>
          <w:sz w:val="22"/>
          <w:szCs w:val="22"/>
          <w:lang w:val="en-US"/>
        </w:rPr>
        <w:t xml:space="preserve">Bratton, J. and Gold, J. (2023) </w:t>
      </w:r>
      <w:r w:rsidRPr="00853209">
        <w:rPr>
          <w:rFonts w:ascii="Arial" w:hAnsi="Arial" w:cs="Arial"/>
          <w:i/>
          <w:iCs/>
          <w:sz w:val="22"/>
          <w:szCs w:val="22"/>
          <w:lang w:val="en-US"/>
        </w:rPr>
        <w:t>Human Resource Management: Theory and Practice</w:t>
      </w:r>
      <w:r w:rsidRPr="00853209">
        <w:rPr>
          <w:rFonts w:ascii="Arial" w:hAnsi="Arial" w:cs="Arial"/>
          <w:sz w:val="22"/>
          <w:szCs w:val="22"/>
          <w:lang w:val="en-US"/>
        </w:rPr>
        <w:t xml:space="preserve">. 8th </w:t>
      </w:r>
      <w:proofErr w:type="spellStart"/>
      <w:r w:rsidRPr="00853209">
        <w:rPr>
          <w:rFonts w:ascii="Arial" w:hAnsi="Arial" w:cs="Arial"/>
          <w:sz w:val="22"/>
          <w:szCs w:val="22"/>
          <w:lang w:val="en-US"/>
        </w:rPr>
        <w:t>edn</w:t>
      </w:r>
      <w:proofErr w:type="spellEnd"/>
      <w:r w:rsidRPr="00853209">
        <w:rPr>
          <w:rFonts w:ascii="Arial" w:hAnsi="Arial" w:cs="Arial"/>
          <w:sz w:val="22"/>
          <w:szCs w:val="22"/>
          <w:lang w:val="en-US"/>
        </w:rPr>
        <w:t>. London: Palgrave Macmillan.</w:t>
      </w:r>
    </w:p>
    <w:p w14:paraId="4017F3C9" w14:textId="77777777" w:rsidR="007465C7" w:rsidRPr="00853209" w:rsidRDefault="007465C7" w:rsidP="007465C7">
      <w:pPr>
        <w:jc w:val="both"/>
        <w:rPr>
          <w:rFonts w:ascii="Arial" w:hAnsi="Arial" w:cs="Arial"/>
          <w:sz w:val="22"/>
          <w:szCs w:val="22"/>
          <w:lang w:val="en-US"/>
        </w:rPr>
      </w:pPr>
      <w:r w:rsidRPr="00853209">
        <w:rPr>
          <w:rFonts w:ascii="Arial" w:hAnsi="Arial" w:cs="Arial"/>
          <w:sz w:val="22"/>
          <w:szCs w:val="22"/>
          <w:lang w:val="en-US"/>
        </w:rPr>
        <w:t xml:space="preserve">Chartered Institute of Personnel and Development (CIPD) (2024a) </w:t>
      </w:r>
      <w:r w:rsidRPr="00853209">
        <w:rPr>
          <w:rFonts w:ascii="Arial" w:hAnsi="Arial" w:cs="Arial"/>
          <w:i/>
          <w:iCs/>
          <w:sz w:val="22"/>
          <w:szCs w:val="22"/>
          <w:lang w:val="en-US"/>
        </w:rPr>
        <w:t>Diversity and inclusion at work</w:t>
      </w:r>
      <w:r w:rsidRPr="00853209">
        <w:rPr>
          <w:rFonts w:ascii="Arial" w:hAnsi="Arial" w:cs="Arial"/>
          <w:sz w:val="22"/>
          <w:szCs w:val="22"/>
          <w:lang w:val="en-US"/>
        </w:rPr>
        <w:t xml:space="preserve">. Available at: </w:t>
      </w:r>
      <w:hyperlink r:id="rId9" w:tgtFrame="_new" w:history="1">
        <w:r w:rsidRPr="00853209">
          <w:rPr>
            <w:rStyle w:val="Hyperlink"/>
            <w:rFonts w:ascii="Arial" w:hAnsi="Arial" w:cs="Arial"/>
            <w:sz w:val="22"/>
            <w:szCs w:val="22"/>
            <w:lang w:val="en-US"/>
          </w:rPr>
          <w:t>https://www.cipd.org</w:t>
        </w:r>
      </w:hyperlink>
      <w:r w:rsidRPr="00853209">
        <w:rPr>
          <w:rFonts w:ascii="Arial" w:hAnsi="Arial" w:cs="Arial"/>
          <w:sz w:val="22"/>
          <w:szCs w:val="22"/>
          <w:lang w:val="en-US"/>
        </w:rPr>
        <w:t xml:space="preserve"> (Accessed: 12 July 2026).</w:t>
      </w:r>
    </w:p>
    <w:p w14:paraId="62ED901D" w14:textId="77777777" w:rsidR="007465C7" w:rsidRPr="00853209" w:rsidRDefault="007465C7" w:rsidP="007465C7">
      <w:pPr>
        <w:jc w:val="both"/>
        <w:rPr>
          <w:rFonts w:ascii="Arial" w:hAnsi="Arial" w:cs="Arial"/>
          <w:sz w:val="22"/>
          <w:szCs w:val="22"/>
          <w:lang w:val="en-US"/>
        </w:rPr>
      </w:pPr>
      <w:r w:rsidRPr="00853209">
        <w:rPr>
          <w:rFonts w:ascii="Arial" w:hAnsi="Arial" w:cs="Arial"/>
          <w:sz w:val="22"/>
          <w:szCs w:val="22"/>
          <w:lang w:val="en-US"/>
        </w:rPr>
        <w:t xml:space="preserve">Chartered Institute of Personnel and Development (CIPD) (2024b) </w:t>
      </w:r>
      <w:r w:rsidRPr="00853209">
        <w:rPr>
          <w:rFonts w:ascii="Arial" w:hAnsi="Arial" w:cs="Arial"/>
          <w:i/>
          <w:iCs/>
          <w:sz w:val="22"/>
          <w:szCs w:val="22"/>
          <w:lang w:val="en-US"/>
        </w:rPr>
        <w:t>Employee engagement factsheet</w:t>
      </w:r>
      <w:r w:rsidRPr="00853209">
        <w:rPr>
          <w:rFonts w:ascii="Arial" w:hAnsi="Arial" w:cs="Arial"/>
          <w:sz w:val="22"/>
          <w:szCs w:val="22"/>
          <w:lang w:val="en-US"/>
        </w:rPr>
        <w:t xml:space="preserve">. Available at: </w:t>
      </w:r>
      <w:hyperlink r:id="rId10" w:tgtFrame="_new" w:history="1">
        <w:r w:rsidRPr="00853209">
          <w:rPr>
            <w:rStyle w:val="Hyperlink"/>
            <w:rFonts w:ascii="Arial" w:hAnsi="Arial" w:cs="Arial"/>
            <w:sz w:val="22"/>
            <w:szCs w:val="22"/>
            <w:lang w:val="en-US"/>
          </w:rPr>
          <w:t>https://www.cipd.org</w:t>
        </w:r>
      </w:hyperlink>
      <w:r w:rsidRPr="00853209">
        <w:rPr>
          <w:rFonts w:ascii="Arial" w:hAnsi="Arial" w:cs="Arial"/>
          <w:sz w:val="22"/>
          <w:szCs w:val="22"/>
          <w:lang w:val="en-US"/>
        </w:rPr>
        <w:t xml:space="preserve"> (Accessed: 12 July 2026).</w:t>
      </w:r>
    </w:p>
    <w:p w14:paraId="1C9FA85E" w14:textId="1B099B44" w:rsidR="00322914" w:rsidRPr="00853209" w:rsidRDefault="00322914" w:rsidP="008B2844">
      <w:pPr>
        <w:jc w:val="both"/>
        <w:rPr>
          <w:rFonts w:ascii="Arial" w:hAnsi="Arial" w:cs="Arial"/>
          <w:sz w:val="22"/>
          <w:szCs w:val="22"/>
          <w:lang w:val="en-US"/>
        </w:rPr>
      </w:pPr>
      <w:r w:rsidRPr="00853209">
        <w:rPr>
          <w:rFonts w:ascii="Arial" w:hAnsi="Arial" w:cs="Arial"/>
          <w:sz w:val="22"/>
          <w:szCs w:val="22"/>
          <w:lang w:val="en-US"/>
        </w:rPr>
        <w:t>Chartered Institute of Personnel and Development (CIPD) (2024</w:t>
      </w:r>
      <w:r w:rsidR="00CC29D6" w:rsidRPr="00853209">
        <w:rPr>
          <w:rFonts w:ascii="Arial" w:hAnsi="Arial" w:cs="Arial"/>
          <w:sz w:val="22"/>
          <w:szCs w:val="22"/>
          <w:lang w:val="en-US"/>
        </w:rPr>
        <w:t>c</w:t>
      </w:r>
      <w:r w:rsidRPr="00853209">
        <w:rPr>
          <w:rFonts w:ascii="Arial" w:hAnsi="Arial" w:cs="Arial"/>
          <w:sz w:val="22"/>
          <w:szCs w:val="22"/>
          <w:lang w:val="en-US"/>
        </w:rPr>
        <w:t xml:space="preserve">) </w:t>
      </w:r>
      <w:r w:rsidRPr="00853209">
        <w:rPr>
          <w:rFonts w:ascii="Arial" w:hAnsi="Arial" w:cs="Arial"/>
          <w:i/>
          <w:iCs/>
          <w:sz w:val="22"/>
          <w:szCs w:val="22"/>
          <w:lang w:val="en-US"/>
        </w:rPr>
        <w:t>Performance management factsheet</w:t>
      </w:r>
      <w:r w:rsidRPr="00853209">
        <w:rPr>
          <w:rFonts w:ascii="Arial" w:hAnsi="Arial" w:cs="Arial"/>
          <w:sz w:val="22"/>
          <w:szCs w:val="22"/>
          <w:lang w:val="en-US"/>
        </w:rPr>
        <w:t xml:space="preserve">. Available at: </w:t>
      </w:r>
      <w:hyperlink r:id="rId11" w:tgtFrame="_new" w:history="1">
        <w:r w:rsidRPr="00853209">
          <w:rPr>
            <w:rStyle w:val="Hyperlink"/>
            <w:rFonts w:ascii="Arial" w:hAnsi="Arial" w:cs="Arial"/>
            <w:sz w:val="22"/>
            <w:szCs w:val="22"/>
            <w:lang w:val="en-US"/>
          </w:rPr>
          <w:t>https://www.cipd.org</w:t>
        </w:r>
      </w:hyperlink>
      <w:r w:rsidRPr="00853209">
        <w:rPr>
          <w:rFonts w:ascii="Arial" w:hAnsi="Arial" w:cs="Arial"/>
          <w:sz w:val="22"/>
          <w:szCs w:val="22"/>
          <w:lang w:val="en-US"/>
        </w:rPr>
        <w:t xml:space="preserve"> (Accessed: 12 July 2026).</w:t>
      </w:r>
    </w:p>
    <w:p w14:paraId="3603B538" w14:textId="243EDF4F" w:rsidR="00477EB1" w:rsidRPr="00853209" w:rsidRDefault="00477EB1" w:rsidP="008B2844">
      <w:pPr>
        <w:jc w:val="both"/>
        <w:rPr>
          <w:rFonts w:ascii="Arial" w:hAnsi="Arial" w:cs="Arial"/>
          <w:sz w:val="22"/>
          <w:szCs w:val="22"/>
        </w:rPr>
      </w:pPr>
      <w:r w:rsidRPr="00853209">
        <w:rPr>
          <w:rFonts w:ascii="Arial" w:hAnsi="Arial" w:cs="Arial"/>
          <w:sz w:val="22"/>
          <w:szCs w:val="22"/>
        </w:rPr>
        <w:t>Chartered Institute of Personnel and Development (CIPD) (2024</w:t>
      </w:r>
      <w:r w:rsidR="00CC29D6" w:rsidRPr="00853209">
        <w:rPr>
          <w:rFonts w:ascii="Arial" w:hAnsi="Arial" w:cs="Arial"/>
          <w:sz w:val="22"/>
          <w:szCs w:val="22"/>
        </w:rPr>
        <w:t>d</w:t>
      </w:r>
      <w:r w:rsidRPr="00853209">
        <w:rPr>
          <w:rFonts w:ascii="Arial" w:hAnsi="Arial" w:cs="Arial"/>
          <w:sz w:val="22"/>
          <w:szCs w:val="22"/>
        </w:rPr>
        <w:t xml:space="preserve">) </w:t>
      </w:r>
      <w:r w:rsidRPr="00853209">
        <w:rPr>
          <w:rFonts w:ascii="Arial" w:hAnsi="Arial" w:cs="Arial"/>
          <w:i/>
          <w:iCs/>
          <w:sz w:val="22"/>
          <w:szCs w:val="22"/>
        </w:rPr>
        <w:t>Talent management factsheet</w:t>
      </w:r>
      <w:r w:rsidRPr="00853209">
        <w:rPr>
          <w:rFonts w:ascii="Arial" w:hAnsi="Arial" w:cs="Arial"/>
          <w:sz w:val="22"/>
          <w:szCs w:val="22"/>
        </w:rPr>
        <w:t xml:space="preserve">. Available at: </w:t>
      </w:r>
      <w:hyperlink r:id="rId12" w:tgtFrame="_new" w:history="1">
        <w:r w:rsidRPr="00853209">
          <w:rPr>
            <w:rStyle w:val="Hyperlink"/>
            <w:rFonts w:ascii="Arial" w:hAnsi="Arial" w:cs="Arial"/>
            <w:sz w:val="22"/>
            <w:szCs w:val="22"/>
          </w:rPr>
          <w:t>https://www.cipd.org</w:t>
        </w:r>
      </w:hyperlink>
      <w:r w:rsidRPr="00853209">
        <w:rPr>
          <w:rFonts w:ascii="Arial" w:hAnsi="Arial" w:cs="Arial"/>
          <w:sz w:val="22"/>
          <w:szCs w:val="22"/>
        </w:rPr>
        <w:t xml:space="preserve"> (Accessed: 12 July 2026).</w:t>
      </w:r>
    </w:p>
    <w:p w14:paraId="2DB93653" w14:textId="6D442258" w:rsidR="00E91952" w:rsidRPr="00853209" w:rsidRDefault="00E91952" w:rsidP="008B2844">
      <w:pPr>
        <w:jc w:val="both"/>
        <w:rPr>
          <w:rFonts w:ascii="Arial" w:hAnsi="Arial" w:cs="Arial"/>
          <w:sz w:val="22"/>
          <w:szCs w:val="22"/>
        </w:rPr>
      </w:pPr>
      <w:r w:rsidRPr="00853209">
        <w:rPr>
          <w:rFonts w:ascii="Arial" w:hAnsi="Arial" w:cs="Arial"/>
          <w:sz w:val="22"/>
          <w:szCs w:val="22"/>
        </w:rPr>
        <w:t xml:space="preserve">Gunawan, W.B. and Mikhail, L., </w:t>
      </w:r>
      <w:r w:rsidR="0000114A" w:rsidRPr="00853209">
        <w:rPr>
          <w:rFonts w:ascii="Arial" w:hAnsi="Arial" w:cs="Arial"/>
          <w:sz w:val="22"/>
          <w:szCs w:val="22"/>
        </w:rPr>
        <w:t>(</w:t>
      </w:r>
      <w:r w:rsidRPr="00853209">
        <w:rPr>
          <w:rFonts w:ascii="Arial" w:hAnsi="Arial" w:cs="Arial"/>
          <w:sz w:val="22"/>
          <w:szCs w:val="22"/>
        </w:rPr>
        <w:t>2025</w:t>
      </w:r>
      <w:r w:rsidR="0000114A" w:rsidRPr="00853209">
        <w:rPr>
          <w:rFonts w:ascii="Arial" w:hAnsi="Arial" w:cs="Arial"/>
          <w:sz w:val="22"/>
          <w:szCs w:val="22"/>
        </w:rPr>
        <w:t>)</w:t>
      </w:r>
      <w:r w:rsidRPr="00853209">
        <w:rPr>
          <w:rFonts w:ascii="Arial" w:hAnsi="Arial" w:cs="Arial"/>
          <w:sz w:val="22"/>
          <w:szCs w:val="22"/>
        </w:rPr>
        <w:t>. Strategic and sustainable human resource management: Twin weapon for achieving competitive advantage in organization. </w:t>
      </w:r>
      <w:proofErr w:type="spellStart"/>
      <w:r w:rsidRPr="00853209">
        <w:rPr>
          <w:rFonts w:ascii="Arial" w:hAnsi="Arial" w:cs="Arial"/>
          <w:i/>
          <w:iCs/>
          <w:sz w:val="22"/>
          <w:szCs w:val="22"/>
        </w:rPr>
        <w:t>Priviet</w:t>
      </w:r>
      <w:proofErr w:type="spellEnd"/>
      <w:r w:rsidRPr="00853209">
        <w:rPr>
          <w:rFonts w:ascii="Arial" w:hAnsi="Arial" w:cs="Arial"/>
          <w:i/>
          <w:iCs/>
          <w:sz w:val="22"/>
          <w:szCs w:val="22"/>
        </w:rPr>
        <w:t xml:space="preserve"> Social Sciences Journal</w:t>
      </w:r>
      <w:r w:rsidRPr="00853209">
        <w:rPr>
          <w:rFonts w:ascii="Arial" w:hAnsi="Arial" w:cs="Arial"/>
          <w:sz w:val="22"/>
          <w:szCs w:val="22"/>
        </w:rPr>
        <w:t>, </w:t>
      </w:r>
      <w:r w:rsidRPr="00853209">
        <w:rPr>
          <w:rFonts w:ascii="Arial" w:hAnsi="Arial" w:cs="Arial"/>
          <w:i/>
          <w:iCs/>
          <w:sz w:val="22"/>
          <w:szCs w:val="22"/>
        </w:rPr>
        <w:t>5</w:t>
      </w:r>
      <w:r w:rsidRPr="00853209">
        <w:rPr>
          <w:rFonts w:ascii="Arial" w:hAnsi="Arial" w:cs="Arial"/>
          <w:sz w:val="22"/>
          <w:szCs w:val="22"/>
        </w:rPr>
        <w:t>(6), pp.45-58.</w:t>
      </w:r>
    </w:p>
    <w:p w14:paraId="2C651F23" w14:textId="48D473D2" w:rsidR="00BD464D" w:rsidRPr="00853209" w:rsidRDefault="00BD464D" w:rsidP="008B2844">
      <w:pPr>
        <w:jc w:val="both"/>
        <w:rPr>
          <w:rFonts w:ascii="Arial" w:hAnsi="Arial" w:cs="Arial"/>
          <w:sz w:val="22"/>
          <w:szCs w:val="22"/>
        </w:rPr>
      </w:pPr>
      <w:r w:rsidRPr="00853209">
        <w:rPr>
          <w:rFonts w:ascii="Arial" w:hAnsi="Arial" w:cs="Arial"/>
          <w:sz w:val="22"/>
          <w:szCs w:val="22"/>
        </w:rPr>
        <w:t xml:space="preserve">Hassan, S.T., </w:t>
      </w:r>
      <w:r w:rsidR="0000114A" w:rsidRPr="00853209">
        <w:rPr>
          <w:rFonts w:ascii="Arial" w:hAnsi="Arial" w:cs="Arial"/>
          <w:sz w:val="22"/>
          <w:szCs w:val="22"/>
        </w:rPr>
        <w:t>(</w:t>
      </w:r>
      <w:r w:rsidRPr="00853209">
        <w:rPr>
          <w:rFonts w:ascii="Arial" w:hAnsi="Arial" w:cs="Arial"/>
          <w:sz w:val="22"/>
          <w:szCs w:val="22"/>
        </w:rPr>
        <w:t>2025</w:t>
      </w:r>
      <w:r w:rsidR="0000114A" w:rsidRPr="00853209">
        <w:rPr>
          <w:rFonts w:ascii="Arial" w:hAnsi="Arial" w:cs="Arial"/>
          <w:sz w:val="22"/>
          <w:szCs w:val="22"/>
        </w:rPr>
        <w:t>)</w:t>
      </w:r>
      <w:r w:rsidRPr="00853209">
        <w:rPr>
          <w:rFonts w:ascii="Arial" w:hAnsi="Arial" w:cs="Arial"/>
          <w:sz w:val="22"/>
          <w:szCs w:val="22"/>
        </w:rPr>
        <w:t>. Measuring diversity, equity, and inclusivity in an organisation: scale development for DEI index. In </w:t>
      </w:r>
      <w:r w:rsidRPr="00853209">
        <w:rPr>
          <w:rFonts w:ascii="Arial" w:hAnsi="Arial" w:cs="Arial"/>
          <w:i/>
          <w:iCs/>
          <w:sz w:val="22"/>
          <w:szCs w:val="22"/>
        </w:rPr>
        <w:t>Diversity, AI, and Sustainability for Financial Growth</w:t>
      </w:r>
      <w:r w:rsidRPr="00853209">
        <w:rPr>
          <w:rFonts w:ascii="Arial" w:hAnsi="Arial" w:cs="Arial"/>
          <w:sz w:val="22"/>
          <w:szCs w:val="22"/>
        </w:rPr>
        <w:t> (pp. 401-416). IGI Global Scientific Publishing.</w:t>
      </w:r>
    </w:p>
    <w:p w14:paraId="753404D4" w14:textId="77777777" w:rsidR="00CD4FF1" w:rsidRPr="00853209" w:rsidRDefault="00CD4FF1" w:rsidP="00CD4FF1">
      <w:pPr>
        <w:rPr>
          <w:rFonts w:ascii="Arial" w:hAnsi="Arial" w:cs="Arial"/>
          <w:sz w:val="22"/>
          <w:szCs w:val="22"/>
          <w:lang w:val="en-US"/>
        </w:rPr>
      </w:pPr>
      <w:r w:rsidRPr="00853209">
        <w:rPr>
          <w:rFonts w:ascii="Arial" w:hAnsi="Arial" w:cs="Arial"/>
          <w:sz w:val="22"/>
          <w:szCs w:val="22"/>
        </w:rPr>
        <w:t xml:space="preserve">Hofstede, G. (2001) </w:t>
      </w:r>
      <w:r w:rsidRPr="00853209">
        <w:rPr>
          <w:rFonts w:ascii="Arial" w:hAnsi="Arial" w:cs="Arial"/>
          <w:i/>
          <w:iCs/>
          <w:sz w:val="22"/>
          <w:szCs w:val="22"/>
        </w:rPr>
        <w:t xml:space="preserve">Culture's Consequences: Comparing Values, </w:t>
      </w:r>
      <w:proofErr w:type="spellStart"/>
      <w:r w:rsidRPr="00853209">
        <w:rPr>
          <w:rFonts w:ascii="Arial" w:hAnsi="Arial" w:cs="Arial"/>
          <w:i/>
          <w:iCs/>
          <w:sz w:val="22"/>
          <w:szCs w:val="22"/>
        </w:rPr>
        <w:t>Behaviors</w:t>
      </w:r>
      <w:proofErr w:type="spellEnd"/>
      <w:r w:rsidRPr="00853209">
        <w:rPr>
          <w:rFonts w:ascii="Arial" w:hAnsi="Arial" w:cs="Arial"/>
          <w:i/>
          <w:iCs/>
          <w:sz w:val="22"/>
          <w:szCs w:val="22"/>
        </w:rPr>
        <w:t>, Institutions and Organizations Across Nations</w:t>
      </w:r>
      <w:r w:rsidRPr="00853209">
        <w:rPr>
          <w:rFonts w:ascii="Arial" w:hAnsi="Arial" w:cs="Arial"/>
          <w:sz w:val="22"/>
          <w:szCs w:val="22"/>
        </w:rPr>
        <w:t xml:space="preserve">. 2nd </w:t>
      </w:r>
      <w:proofErr w:type="spellStart"/>
      <w:r w:rsidRPr="00853209">
        <w:rPr>
          <w:rFonts w:ascii="Arial" w:hAnsi="Arial" w:cs="Arial"/>
          <w:sz w:val="22"/>
          <w:szCs w:val="22"/>
        </w:rPr>
        <w:t>edn</w:t>
      </w:r>
      <w:proofErr w:type="spellEnd"/>
      <w:r w:rsidRPr="00853209">
        <w:rPr>
          <w:rFonts w:ascii="Arial" w:hAnsi="Arial" w:cs="Arial"/>
          <w:sz w:val="22"/>
          <w:szCs w:val="22"/>
        </w:rPr>
        <w:t>. Thousand Oaks, CA: Sage.</w:t>
      </w:r>
    </w:p>
    <w:p w14:paraId="235F5612" w14:textId="77777777" w:rsidR="00322914" w:rsidRPr="00853209" w:rsidRDefault="00322914" w:rsidP="008B2844">
      <w:pPr>
        <w:jc w:val="both"/>
        <w:rPr>
          <w:rFonts w:ascii="Arial" w:hAnsi="Arial" w:cs="Arial"/>
          <w:sz w:val="22"/>
          <w:szCs w:val="22"/>
          <w:lang w:val="en-US"/>
        </w:rPr>
      </w:pPr>
      <w:r w:rsidRPr="00853209">
        <w:rPr>
          <w:rFonts w:ascii="Arial" w:hAnsi="Arial" w:cs="Arial"/>
          <w:sz w:val="22"/>
          <w:szCs w:val="22"/>
          <w:lang w:val="en-US"/>
        </w:rPr>
        <w:t xml:space="preserve">Kaplan, R.S. and Norton, D.P. (2004) </w:t>
      </w:r>
      <w:r w:rsidRPr="00853209">
        <w:rPr>
          <w:rFonts w:ascii="Arial" w:hAnsi="Arial" w:cs="Arial"/>
          <w:i/>
          <w:iCs/>
          <w:sz w:val="22"/>
          <w:szCs w:val="22"/>
          <w:lang w:val="en-US"/>
        </w:rPr>
        <w:t>Strategy Maps: Converting Intangible Assets into Tangible Outcomes</w:t>
      </w:r>
      <w:r w:rsidRPr="00853209">
        <w:rPr>
          <w:rFonts w:ascii="Arial" w:hAnsi="Arial" w:cs="Arial"/>
          <w:sz w:val="22"/>
          <w:szCs w:val="22"/>
          <w:lang w:val="en-US"/>
        </w:rPr>
        <w:t>. Boston: Harvard Business School Press.</w:t>
      </w:r>
    </w:p>
    <w:p w14:paraId="03FB5C24" w14:textId="77777777" w:rsidR="00B84834" w:rsidRPr="00853209" w:rsidRDefault="00B84834" w:rsidP="00B84834">
      <w:pPr>
        <w:jc w:val="both"/>
        <w:rPr>
          <w:rFonts w:ascii="Arial" w:hAnsi="Arial" w:cs="Arial"/>
          <w:sz w:val="22"/>
          <w:szCs w:val="22"/>
          <w:lang w:val="en-US"/>
        </w:rPr>
      </w:pPr>
      <w:r w:rsidRPr="00853209">
        <w:rPr>
          <w:rFonts w:ascii="Arial" w:hAnsi="Arial" w:cs="Arial"/>
          <w:sz w:val="22"/>
          <w:szCs w:val="22"/>
          <w:lang w:val="en-US"/>
        </w:rPr>
        <w:t xml:space="preserve">Qiao, G., Li, Y. and Hong, A. (2024). </w:t>
      </w:r>
      <w:r w:rsidRPr="00853209">
        <w:rPr>
          <w:rFonts w:ascii="Arial" w:hAnsi="Arial" w:cs="Arial"/>
          <w:i/>
          <w:iCs/>
          <w:sz w:val="22"/>
          <w:szCs w:val="22"/>
          <w:lang w:val="en-US"/>
        </w:rPr>
        <w:t>The Strategic Role of Digital Transformation: Leveraging Digital Leadership to Enhance Employee Performance and Organizational Commitment in the Digital Era</w:t>
      </w:r>
      <w:r w:rsidRPr="00853209">
        <w:rPr>
          <w:rFonts w:ascii="Arial" w:hAnsi="Arial" w:cs="Arial"/>
          <w:sz w:val="22"/>
          <w:szCs w:val="22"/>
          <w:lang w:val="en-US"/>
        </w:rPr>
        <w:t xml:space="preserve">. </w:t>
      </w:r>
      <w:r w:rsidRPr="00853209">
        <w:rPr>
          <w:rFonts w:ascii="Arial" w:hAnsi="Arial" w:cs="Arial"/>
          <w:i/>
          <w:iCs/>
          <w:sz w:val="22"/>
          <w:szCs w:val="22"/>
          <w:lang w:val="en-US"/>
        </w:rPr>
        <w:t>Systems</w:t>
      </w:r>
      <w:r w:rsidRPr="00853209">
        <w:rPr>
          <w:rFonts w:ascii="Arial" w:hAnsi="Arial" w:cs="Arial"/>
          <w:sz w:val="22"/>
          <w:szCs w:val="22"/>
          <w:lang w:val="en-US"/>
        </w:rPr>
        <w:t xml:space="preserve">, 12(11), 457. </w:t>
      </w:r>
    </w:p>
    <w:p w14:paraId="0045BA86" w14:textId="2A0C42F1" w:rsidR="006B0000" w:rsidRPr="00853209" w:rsidRDefault="006B0000" w:rsidP="008B2844">
      <w:pPr>
        <w:jc w:val="both"/>
        <w:rPr>
          <w:rFonts w:ascii="Arial" w:hAnsi="Arial" w:cs="Arial"/>
          <w:sz w:val="22"/>
          <w:szCs w:val="22"/>
        </w:rPr>
      </w:pPr>
      <w:r w:rsidRPr="00853209">
        <w:rPr>
          <w:rFonts w:ascii="Arial" w:hAnsi="Arial" w:cs="Arial"/>
          <w:sz w:val="22"/>
          <w:szCs w:val="22"/>
        </w:rPr>
        <w:t xml:space="preserve">Ruiz, L., Benitez, J., Castillo, A. and </w:t>
      </w:r>
      <w:proofErr w:type="spellStart"/>
      <w:r w:rsidRPr="00853209">
        <w:rPr>
          <w:rFonts w:ascii="Arial" w:hAnsi="Arial" w:cs="Arial"/>
          <w:sz w:val="22"/>
          <w:szCs w:val="22"/>
        </w:rPr>
        <w:t>Braojos</w:t>
      </w:r>
      <w:proofErr w:type="spellEnd"/>
      <w:r w:rsidRPr="00853209">
        <w:rPr>
          <w:rFonts w:ascii="Arial" w:hAnsi="Arial" w:cs="Arial"/>
          <w:sz w:val="22"/>
          <w:szCs w:val="22"/>
        </w:rPr>
        <w:t xml:space="preserve">, J. (2024). </w:t>
      </w:r>
      <w:r w:rsidRPr="00853209">
        <w:rPr>
          <w:rFonts w:ascii="Arial" w:hAnsi="Arial" w:cs="Arial"/>
          <w:i/>
          <w:iCs/>
          <w:sz w:val="22"/>
          <w:szCs w:val="22"/>
        </w:rPr>
        <w:t>Digital human resource strategy: Conceptualization, theoretical development, and an empirical examination of its impact on firm performance</w:t>
      </w:r>
      <w:r w:rsidRPr="00853209">
        <w:rPr>
          <w:rFonts w:ascii="Arial" w:hAnsi="Arial" w:cs="Arial"/>
          <w:sz w:val="22"/>
          <w:szCs w:val="22"/>
        </w:rPr>
        <w:t xml:space="preserve">. </w:t>
      </w:r>
      <w:r w:rsidRPr="00853209">
        <w:rPr>
          <w:rFonts w:ascii="Arial" w:hAnsi="Arial" w:cs="Arial"/>
          <w:i/>
          <w:iCs/>
          <w:sz w:val="22"/>
          <w:szCs w:val="22"/>
        </w:rPr>
        <w:t>Information &amp; Management</w:t>
      </w:r>
      <w:r w:rsidRPr="00853209">
        <w:rPr>
          <w:rFonts w:ascii="Arial" w:hAnsi="Arial" w:cs="Arial"/>
          <w:sz w:val="22"/>
          <w:szCs w:val="22"/>
        </w:rPr>
        <w:t>, 61(4), 103966.</w:t>
      </w:r>
    </w:p>
    <w:p w14:paraId="73737C31" w14:textId="445568BA" w:rsidR="008E353D" w:rsidRPr="00853209" w:rsidRDefault="008E353D" w:rsidP="008B2844">
      <w:pPr>
        <w:jc w:val="both"/>
        <w:rPr>
          <w:rFonts w:ascii="Arial" w:hAnsi="Arial" w:cs="Arial"/>
          <w:sz w:val="22"/>
          <w:szCs w:val="22"/>
          <w:lang w:val="en-US"/>
        </w:rPr>
      </w:pPr>
      <w:proofErr w:type="spellStart"/>
      <w:r w:rsidRPr="00853209">
        <w:rPr>
          <w:rFonts w:ascii="Arial" w:hAnsi="Arial" w:cs="Arial"/>
          <w:sz w:val="22"/>
          <w:szCs w:val="22"/>
        </w:rPr>
        <w:t>Stachová</w:t>
      </w:r>
      <w:proofErr w:type="spellEnd"/>
      <w:r w:rsidRPr="00853209">
        <w:rPr>
          <w:rFonts w:ascii="Arial" w:hAnsi="Arial" w:cs="Arial"/>
          <w:sz w:val="22"/>
          <w:szCs w:val="22"/>
        </w:rPr>
        <w:t xml:space="preserve">, K., Stacho, Z., </w:t>
      </w:r>
      <w:proofErr w:type="spellStart"/>
      <w:r w:rsidRPr="00853209">
        <w:rPr>
          <w:rFonts w:ascii="Arial" w:hAnsi="Arial" w:cs="Arial"/>
          <w:sz w:val="22"/>
          <w:szCs w:val="22"/>
        </w:rPr>
        <w:t>Šamalík</w:t>
      </w:r>
      <w:proofErr w:type="spellEnd"/>
      <w:r w:rsidRPr="00853209">
        <w:rPr>
          <w:rFonts w:ascii="Arial" w:hAnsi="Arial" w:cs="Arial"/>
          <w:sz w:val="22"/>
          <w:szCs w:val="22"/>
        </w:rPr>
        <w:t xml:space="preserve">, P. and </w:t>
      </w:r>
      <w:proofErr w:type="spellStart"/>
      <w:r w:rsidRPr="00853209">
        <w:rPr>
          <w:rFonts w:ascii="Arial" w:hAnsi="Arial" w:cs="Arial"/>
          <w:sz w:val="22"/>
          <w:szCs w:val="22"/>
        </w:rPr>
        <w:t>Sekan</w:t>
      </w:r>
      <w:proofErr w:type="spellEnd"/>
      <w:r w:rsidRPr="00853209">
        <w:rPr>
          <w:rFonts w:ascii="Arial" w:hAnsi="Arial" w:cs="Arial"/>
          <w:sz w:val="22"/>
          <w:szCs w:val="22"/>
        </w:rPr>
        <w:t xml:space="preserve">, F. (2024). </w:t>
      </w:r>
      <w:r w:rsidRPr="00853209">
        <w:rPr>
          <w:rFonts w:ascii="Arial" w:hAnsi="Arial" w:cs="Arial"/>
          <w:i/>
          <w:iCs/>
          <w:sz w:val="22"/>
          <w:szCs w:val="22"/>
        </w:rPr>
        <w:t>The Impact of E-HRM Tools on Employee Engagement</w:t>
      </w:r>
      <w:r w:rsidRPr="00853209">
        <w:rPr>
          <w:rFonts w:ascii="Arial" w:hAnsi="Arial" w:cs="Arial"/>
          <w:sz w:val="22"/>
          <w:szCs w:val="22"/>
        </w:rPr>
        <w:t xml:space="preserve">. </w:t>
      </w:r>
      <w:r w:rsidRPr="00853209">
        <w:rPr>
          <w:rFonts w:ascii="Arial" w:hAnsi="Arial" w:cs="Arial"/>
          <w:i/>
          <w:iCs/>
          <w:sz w:val="22"/>
          <w:szCs w:val="22"/>
        </w:rPr>
        <w:t>Administrative Sciences</w:t>
      </w:r>
      <w:r w:rsidRPr="00853209">
        <w:rPr>
          <w:rFonts w:ascii="Arial" w:hAnsi="Arial" w:cs="Arial"/>
          <w:sz w:val="22"/>
          <w:szCs w:val="22"/>
        </w:rPr>
        <w:t>, 14(11), 303.</w:t>
      </w:r>
    </w:p>
    <w:p w14:paraId="1B75BB78" w14:textId="77777777" w:rsidR="00322914" w:rsidRPr="00853209" w:rsidRDefault="00322914" w:rsidP="008B2844">
      <w:pPr>
        <w:jc w:val="both"/>
        <w:rPr>
          <w:rFonts w:ascii="Arial" w:hAnsi="Arial" w:cs="Arial"/>
          <w:sz w:val="22"/>
          <w:szCs w:val="22"/>
          <w:lang w:val="en-US"/>
        </w:rPr>
      </w:pPr>
      <w:proofErr w:type="spellStart"/>
      <w:r w:rsidRPr="00853209">
        <w:rPr>
          <w:rFonts w:ascii="Arial" w:hAnsi="Arial" w:cs="Arial"/>
          <w:sz w:val="22"/>
          <w:szCs w:val="22"/>
          <w:lang w:val="en-US"/>
        </w:rPr>
        <w:t>Storey</w:t>
      </w:r>
      <w:proofErr w:type="spellEnd"/>
      <w:r w:rsidRPr="00853209">
        <w:rPr>
          <w:rFonts w:ascii="Arial" w:hAnsi="Arial" w:cs="Arial"/>
          <w:sz w:val="22"/>
          <w:szCs w:val="22"/>
          <w:lang w:val="en-US"/>
        </w:rPr>
        <w:t xml:space="preserve">, J. (1995) </w:t>
      </w:r>
      <w:r w:rsidRPr="00853209">
        <w:rPr>
          <w:rFonts w:ascii="Arial" w:hAnsi="Arial" w:cs="Arial"/>
          <w:i/>
          <w:iCs/>
          <w:sz w:val="22"/>
          <w:szCs w:val="22"/>
          <w:lang w:val="en-US"/>
        </w:rPr>
        <w:t>Human Resource Management: A Critical Text</w:t>
      </w:r>
      <w:r w:rsidRPr="00853209">
        <w:rPr>
          <w:rFonts w:ascii="Arial" w:hAnsi="Arial" w:cs="Arial"/>
          <w:sz w:val="22"/>
          <w:szCs w:val="22"/>
          <w:lang w:val="en-US"/>
        </w:rPr>
        <w:t>. London: Routledge.</w:t>
      </w:r>
    </w:p>
    <w:p w14:paraId="0EA5B6A6" w14:textId="77777777" w:rsidR="00322914" w:rsidRPr="00853209" w:rsidRDefault="00322914" w:rsidP="008B2844">
      <w:pPr>
        <w:jc w:val="both"/>
        <w:rPr>
          <w:rFonts w:ascii="Arial" w:hAnsi="Arial" w:cs="Arial"/>
          <w:sz w:val="22"/>
          <w:szCs w:val="22"/>
          <w:lang w:val="en-US"/>
        </w:rPr>
      </w:pPr>
      <w:r w:rsidRPr="00853209">
        <w:rPr>
          <w:rFonts w:ascii="Arial" w:hAnsi="Arial" w:cs="Arial"/>
          <w:sz w:val="22"/>
          <w:szCs w:val="22"/>
          <w:lang w:val="en-US"/>
        </w:rPr>
        <w:lastRenderedPageBreak/>
        <w:t xml:space="preserve">Tesco PLC (2025) </w:t>
      </w:r>
      <w:r w:rsidRPr="00853209">
        <w:rPr>
          <w:rFonts w:ascii="Arial" w:hAnsi="Arial" w:cs="Arial"/>
          <w:i/>
          <w:iCs/>
          <w:sz w:val="22"/>
          <w:szCs w:val="22"/>
          <w:lang w:val="en-US"/>
        </w:rPr>
        <w:t>Annual Report and Financial Statements 2025</w:t>
      </w:r>
      <w:r w:rsidRPr="00853209">
        <w:rPr>
          <w:rFonts w:ascii="Arial" w:hAnsi="Arial" w:cs="Arial"/>
          <w:sz w:val="22"/>
          <w:szCs w:val="22"/>
          <w:lang w:val="en-US"/>
        </w:rPr>
        <w:t xml:space="preserve">. Available at: </w:t>
      </w:r>
      <w:hyperlink r:id="rId13" w:tgtFrame="_new" w:history="1">
        <w:r w:rsidRPr="00853209">
          <w:rPr>
            <w:rStyle w:val="Hyperlink"/>
            <w:rFonts w:ascii="Arial" w:hAnsi="Arial" w:cs="Arial"/>
            <w:sz w:val="22"/>
            <w:szCs w:val="22"/>
            <w:lang w:val="en-US"/>
          </w:rPr>
          <w:t>https://www.tescoplc.com</w:t>
        </w:r>
      </w:hyperlink>
      <w:r w:rsidRPr="00853209">
        <w:rPr>
          <w:rFonts w:ascii="Arial" w:hAnsi="Arial" w:cs="Arial"/>
          <w:sz w:val="22"/>
          <w:szCs w:val="22"/>
          <w:lang w:val="en-US"/>
        </w:rPr>
        <w:t xml:space="preserve"> (Accessed: 12 July 2026).</w:t>
      </w:r>
    </w:p>
    <w:p w14:paraId="065CBFCC" w14:textId="77777777" w:rsidR="00322914" w:rsidRPr="00853209" w:rsidRDefault="00322914" w:rsidP="008B2844">
      <w:pPr>
        <w:jc w:val="both"/>
        <w:rPr>
          <w:rFonts w:ascii="Arial" w:hAnsi="Arial" w:cs="Arial"/>
          <w:sz w:val="22"/>
          <w:szCs w:val="22"/>
          <w:lang w:val="en-US"/>
        </w:rPr>
      </w:pPr>
      <w:r w:rsidRPr="00853209">
        <w:rPr>
          <w:rFonts w:ascii="Arial" w:hAnsi="Arial" w:cs="Arial"/>
          <w:sz w:val="22"/>
          <w:szCs w:val="22"/>
          <w:lang w:val="en-US"/>
        </w:rPr>
        <w:t xml:space="preserve">UK Government (2010) </w:t>
      </w:r>
      <w:r w:rsidRPr="00853209">
        <w:rPr>
          <w:rFonts w:ascii="Arial" w:hAnsi="Arial" w:cs="Arial"/>
          <w:i/>
          <w:iCs/>
          <w:sz w:val="22"/>
          <w:szCs w:val="22"/>
          <w:lang w:val="en-US"/>
        </w:rPr>
        <w:t>Equality Act 2010</w:t>
      </w:r>
      <w:r w:rsidRPr="00853209">
        <w:rPr>
          <w:rFonts w:ascii="Arial" w:hAnsi="Arial" w:cs="Arial"/>
          <w:sz w:val="22"/>
          <w:szCs w:val="22"/>
          <w:lang w:val="en-US"/>
        </w:rPr>
        <w:t xml:space="preserve">. Available at: </w:t>
      </w:r>
      <w:hyperlink r:id="rId14" w:tgtFrame="_new" w:history="1">
        <w:r w:rsidRPr="00853209">
          <w:rPr>
            <w:rStyle w:val="Hyperlink"/>
            <w:rFonts w:ascii="Arial" w:hAnsi="Arial" w:cs="Arial"/>
            <w:sz w:val="22"/>
            <w:szCs w:val="22"/>
            <w:lang w:val="en-US"/>
          </w:rPr>
          <w:t>https://www.legislation.gov.uk/ukpga/2010/15/contents</w:t>
        </w:r>
      </w:hyperlink>
      <w:r w:rsidRPr="00853209">
        <w:rPr>
          <w:rFonts w:ascii="Arial" w:hAnsi="Arial" w:cs="Arial"/>
          <w:sz w:val="22"/>
          <w:szCs w:val="22"/>
          <w:lang w:val="en-US"/>
        </w:rPr>
        <w:t xml:space="preserve"> (Accessed: 12 July 2026).</w:t>
      </w:r>
    </w:p>
    <w:sectPr w:rsidR="00322914" w:rsidRPr="0085320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28C2BD" w14:textId="77777777" w:rsidR="00937C13" w:rsidRDefault="00937C13" w:rsidP="00B244A8">
      <w:pPr>
        <w:spacing w:after="0" w:line="240" w:lineRule="auto"/>
      </w:pPr>
      <w:r>
        <w:separator/>
      </w:r>
    </w:p>
  </w:endnote>
  <w:endnote w:type="continuationSeparator" w:id="0">
    <w:p w14:paraId="7FE7DF5A" w14:textId="77777777" w:rsidR="00937C13" w:rsidRDefault="00937C13"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4D503B" w14:textId="77777777" w:rsidR="00937C13" w:rsidRDefault="00937C13" w:rsidP="00B244A8">
      <w:pPr>
        <w:spacing w:after="0" w:line="240" w:lineRule="auto"/>
      </w:pPr>
      <w:r>
        <w:separator/>
      </w:r>
    </w:p>
  </w:footnote>
  <w:footnote w:type="continuationSeparator" w:id="0">
    <w:p w14:paraId="48F3E13D" w14:textId="77777777" w:rsidR="00937C13" w:rsidRDefault="00937C13"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12FB1"/>
    <w:multiLevelType w:val="hybridMultilevel"/>
    <w:tmpl w:val="AEA6BA30"/>
    <w:lvl w:ilvl="0" w:tplc="7D405ED0">
      <w:start w:val="1"/>
      <w:numFmt w:val="decimal"/>
      <w:lvlText w:val="%1."/>
      <w:lvlJc w:val="left"/>
      <w:pPr>
        <w:ind w:left="810" w:hanging="45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D2283B"/>
    <w:multiLevelType w:val="hybridMultilevel"/>
    <w:tmpl w:val="1E12F3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AB51FC1"/>
    <w:multiLevelType w:val="multilevel"/>
    <w:tmpl w:val="E9C6F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101C69"/>
    <w:multiLevelType w:val="hybridMultilevel"/>
    <w:tmpl w:val="2864D3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FED1D3E"/>
    <w:multiLevelType w:val="hybridMultilevel"/>
    <w:tmpl w:val="2B8E50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10362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7D4157"/>
    <w:multiLevelType w:val="hybridMultilevel"/>
    <w:tmpl w:val="BE5098C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2120949510">
    <w:abstractNumId w:val="7"/>
  </w:num>
  <w:num w:numId="2" w16cid:durableId="17053598">
    <w:abstractNumId w:val="2"/>
  </w:num>
  <w:num w:numId="3" w16cid:durableId="373162920">
    <w:abstractNumId w:val="11"/>
  </w:num>
  <w:num w:numId="4" w16cid:durableId="728724007">
    <w:abstractNumId w:val="0"/>
  </w:num>
  <w:num w:numId="5" w16cid:durableId="1776901974">
    <w:abstractNumId w:val="3"/>
  </w:num>
  <w:num w:numId="6" w16cid:durableId="1242056885">
    <w:abstractNumId w:val="12"/>
  </w:num>
  <w:num w:numId="7" w16cid:durableId="2003004377">
    <w:abstractNumId w:val="6"/>
  </w:num>
  <w:num w:numId="8" w16cid:durableId="1409185463">
    <w:abstractNumId w:val="5"/>
  </w:num>
  <w:num w:numId="9" w16cid:durableId="1451508316">
    <w:abstractNumId w:val="8"/>
  </w:num>
  <w:num w:numId="10" w16cid:durableId="297147252">
    <w:abstractNumId w:val="9"/>
  </w:num>
  <w:num w:numId="11" w16cid:durableId="1019507970">
    <w:abstractNumId w:val="4"/>
  </w:num>
  <w:num w:numId="12" w16cid:durableId="621494686">
    <w:abstractNumId w:val="13"/>
  </w:num>
  <w:num w:numId="13" w16cid:durableId="841119110">
    <w:abstractNumId w:val="10"/>
  </w:num>
  <w:num w:numId="14" w16cid:durableId="1939558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114A"/>
    <w:rsid w:val="000019AC"/>
    <w:rsid w:val="00001C00"/>
    <w:rsid w:val="00006A92"/>
    <w:rsid w:val="00007505"/>
    <w:rsid w:val="00007655"/>
    <w:rsid w:val="00010A63"/>
    <w:rsid w:val="00010DBE"/>
    <w:rsid w:val="0001194B"/>
    <w:rsid w:val="000235D4"/>
    <w:rsid w:val="00023B66"/>
    <w:rsid w:val="00026EBC"/>
    <w:rsid w:val="00042C2B"/>
    <w:rsid w:val="00051E19"/>
    <w:rsid w:val="0005771F"/>
    <w:rsid w:val="00062A27"/>
    <w:rsid w:val="000653B2"/>
    <w:rsid w:val="0006669C"/>
    <w:rsid w:val="00066C41"/>
    <w:rsid w:val="0006745D"/>
    <w:rsid w:val="00071E8C"/>
    <w:rsid w:val="00073B20"/>
    <w:rsid w:val="00073BD9"/>
    <w:rsid w:val="00082718"/>
    <w:rsid w:val="00082E77"/>
    <w:rsid w:val="00086F4D"/>
    <w:rsid w:val="00092CF8"/>
    <w:rsid w:val="00094808"/>
    <w:rsid w:val="00096049"/>
    <w:rsid w:val="000A28B7"/>
    <w:rsid w:val="000A624D"/>
    <w:rsid w:val="000A68A2"/>
    <w:rsid w:val="000A74DF"/>
    <w:rsid w:val="000A78AC"/>
    <w:rsid w:val="000B136B"/>
    <w:rsid w:val="000B3B5C"/>
    <w:rsid w:val="000B4057"/>
    <w:rsid w:val="000B72CD"/>
    <w:rsid w:val="000C152A"/>
    <w:rsid w:val="000C22AF"/>
    <w:rsid w:val="000D2031"/>
    <w:rsid w:val="000D3B75"/>
    <w:rsid w:val="000E0DDE"/>
    <w:rsid w:val="000E28C0"/>
    <w:rsid w:val="000E45E1"/>
    <w:rsid w:val="000E7A4C"/>
    <w:rsid w:val="000F2979"/>
    <w:rsid w:val="000F5A8D"/>
    <w:rsid w:val="000F6B44"/>
    <w:rsid w:val="00103D67"/>
    <w:rsid w:val="00106B58"/>
    <w:rsid w:val="0011107E"/>
    <w:rsid w:val="001112FD"/>
    <w:rsid w:val="00117555"/>
    <w:rsid w:val="0012599A"/>
    <w:rsid w:val="0013084B"/>
    <w:rsid w:val="0013486A"/>
    <w:rsid w:val="00135B3D"/>
    <w:rsid w:val="00141BF9"/>
    <w:rsid w:val="00150AB0"/>
    <w:rsid w:val="00151DCA"/>
    <w:rsid w:val="001565A9"/>
    <w:rsid w:val="00160C46"/>
    <w:rsid w:val="00164BE5"/>
    <w:rsid w:val="00171E2B"/>
    <w:rsid w:val="001724F3"/>
    <w:rsid w:val="001736B8"/>
    <w:rsid w:val="00175C4B"/>
    <w:rsid w:val="00183159"/>
    <w:rsid w:val="0019104F"/>
    <w:rsid w:val="001A61CE"/>
    <w:rsid w:val="001B285A"/>
    <w:rsid w:val="001B614B"/>
    <w:rsid w:val="001C0F53"/>
    <w:rsid w:val="001C3352"/>
    <w:rsid w:val="001C628A"/>
    <w:rsid w:val="001D05C0"/>
    <w:rsid w:val="001D078A"/>
    <w:rsid w:val="001D1884"/>
    <w:rsid w:val="001D4F60"/>
    <w:rsid w:val="001E2A53"/>
    <w:rsid w:val="001E4782"/>
    <w:rsid w:val="001E6A37"/>
    <w:rsid w:val="001F2021"/>
    <w:rsid w:val="001F441B"/>
    <w:rsid w:val="002043E6"/>
    <w:rsid w:val="002064A3"/>
    <w:rsid w:val="00211244"/>
    <w:rsid w:val="00211C87"/>
    <w:rsid w:val="00212E90"/>
    <w:rsid w:val="00213900"/>
    <w:rsid w:val="00214EFC"/>
    <w:rsid w:val="002210C4"/>
    <w:rsid w:val="002244CA"/>
    <w:rsid w:val="00225B06"/>
    <w:rsid w:val="00225D8C"/>
    <w:rsid w:val="00227E35"/>
    <w:rsid w:val="00230309"/>
    <w:rsid w:val="002303C1"/>
    <w:rsid w:val="00230935"/>
    <w:rsid w:val="00231C1C"/>
    <w:rsid w:val="00234B88"/>
    <w:rsid w:val="002414C5"/>
    <w:rsid w:val="002424D2"/>
    <w:rsid w:val="00244583"/>
    <w:rsid w:val="002522C1"/>
    <w:rsid w:val="00253C8A"/>
    <w:rsid w:val="0027531E"/>
    <w:rsid w:val="00275A0E"/>
    <w:rsid w:val="00280D01"/>
    <w:rsid w:val="002832DB"/>
    <w:rsid w:val="00284666"/>
    <w:rsid w:val="0028582E"/>
    <w:rsid w:val="0029512C"/>
    <w:rsid w:val="00295EA4"/>
    <w:rsid w:val="002A03D4"/>
    <w:rsid w:val="002A1843"/>
    <w:rsid w:val="002A236A"/>
    <w:rsid w:val="002A5097"/>
    <w:rsid w:val="002B6ECA"/>
    <w:rsid w:val="002C2543"/>
    <w:rsid w:val="002C522C"/>
    <w:rsid w:val="002D21CA"/>
    <w:rsid w:val="002D2E9A"/>
    <w:rsid w:val="002D754D"/>
    <w:rsid w:val="002E08D5"/>
    <w:rsid w:val="002E2FF6"/>
    <w:rsid w:val="002E5341"/>
    <w:rsid w:val="002F0BCA"/>
    <w:rsid w:val="002F0D89"/>
    <w:rsid w:val="002F2FBA"/>
    <w:rsid w:val="00300ACE"/>
    <w:rsid w:val="0030382C"/>
    <w:rsid w:val="003047B9"/>
    <w:rsid w:val="00312F3E"/>
    <w:rsid w:val="00312FA9"/>
    <w:rsid w:val="00322914"/>
    <w:rsid w:val="00325300"/>
    <w:rsid w:val="00327900"/>
    <w:rsid w:val="003430D0"/>
    <w:rsid w:val="00344ED2"/>
    <w:rsid w:val="0034743C"/>
    <w:rsid w:val="00350921"/>
    <w:rsid w:val="00351D4E"/>
    <w:rsid w:val="00351E64"/>
    <w:rsid w:val="0035328C"/>
    <w:rsid w:val="00363919"/>
    <w:rsid w:val="00364A25"/>
    <w:rsid w:val="00365239"/>
    <w:rsid w:val="003655B6"/>
    <w:rsid w:val="003668D0"/>
    <w:rsid w:val="00367FA2"/>
    <w:rsid w:val="003718D8"/>
    <w:rsid w:val="00373149"/>
    <w:rsid w:val="003824FF"/>
    <w:rsid w:val="003854CF"/>
    <w:rsid w:val="003904CC"/>
    <w:rsid w:val="003905A7"/>
    <w:rsid w:val="00394A9D"/>
    <w:rsid w:val="003A7C48"/>
    <w:rsid w:val="003B629C"/>
    <w:rsid w:val="003B73F7"/>
    <w:rsid w:val="003C2227"/>
    <w:rsid w:val="003C2A55"/>
    <w:rsid w:val="003C4DDC"/>
    <w:rsid w:val="003C7A06"/>
    <w:rsid w:val="003D73D3"/>
    <w:rsid w:val="003E1A46"/>
    <w:rsid w:val="003F1845"/>
    <w:rsid w:val="003F2DC9"/>
    <w:rsid w:val="003F3B72"/>
    <w:rsid w:val="003F47C1"/>
    <w:rsid w:val="003F6295"/>
    <w:rsid w:val="00410BE8"/>
    <w:rsid w:val="00416907"/>
    <w:rsid w:val="00420EDB"/>
    <w:rsid w:val="00424723"/>
    <w:rsid w:val="00433200"/>
    <w:rsid w:val="004356E6"/>
    <w:rsid w:val="00437111"/>
    <w:rsid w:val="004401A7"/>
    <w:rsid w:val="00440FE0"/>
    <w:rsid w:val="00441EB2"/>
    <w:rsid w:val="00442D0F"/>
    <w:rsid w:val="00443BDC"/>
    <w:rsid w:val="00446A98"/>
    <w:rsid w:val="00446C0A"/>
    <w:rsid w:val="0045416E"/>
    <w:rsid w:val="00454B72"/>
    <w:rsid w:val="004553A5"/>
    <w:rsid w:val="00455AAA"/>
    <w:rsid w:val="00457AE6"/>
    <w:rsid w:val="004706A7"/>
    <w:rsid w:val="004717BD"/>
    <w:rsid w:val="00475B98"/>
    <w:rsid w:val="00477EB1"/>
    <w:rsid w:val="00480278"/>
    <w:rsid w:val="00480CA6"/>
    <w:rsid w:val="00480F04"/>
    <w:rsid w:val="00487D7A"/>
    <w:rsid w:val="004A25EF"/>
    <w:rsid w:val="004A4AD7"/>
    <w:rsid w:val="004A63C1"/>
    <w:rsid w:val="004A697C"/>
    <w:rsid w:val="004B039E"/>
    <w:rsid w:val="004B3874"/>
    <w:rsid w:val="004B3933"/>
    <w:rsid w:val="004B7717"/>
    <w:rsid w:val="004C195B"/>
    <w:rsid w:val="004C5A75"/>
    <w:rsid w:val="004C698C"/>
    <w:rsid w:val="004D103B"/>
    <w:rsid w:val="004D1574"/>
    <w:rsid w:val="004E2BAE"/>
    <w:rsid w:val="004E3B0D"/>
    <w:rsid w:val="004E513A"/>
    <w:rsid w:val="004F40F9"/>
    <w:rsid w:val="004F6377"/>
    <w:rsid w:val="00507316"/>
    <w:rsid w:val="00507D8F"/>
    <w:rsid w:val="00513E3E"/>
    <w:rsid w:val="005160F2"/>
    <w:rsid w:val="00517A65"/>
    <w:rsid w:val="00532B9D"/>
    <w:rsid w:val="00540055"/>
    <w:rsid w:val="00541B7D"/>
    <w:rsid w:val="00542654"/>
    <w:rsid w:val="00542750"/>
    <w:rsid w:val="00542A51"/>
    <w:rsid w:val="0054394B"/>
    <w:rsid w:val="00545E3E"/>
    <w:rsid w:val="00546CE0"/>
    <w:rsid w:val="005472DF"/>
    <w:rsid w:val="0055371F"/>
    <w:rsid w:val="005548F1"/>
    <w:rsid w:val="00562A42"/>
    <w:rsid w:val="0056556E"/>
    <w:rsid w:val="005724CA"/>
    <w:rsid w:val="00583B72"/>
    <w:rsid w:val="0059209B"/>
    <w:rsid w:val="00592779"/>
    <w:rsid w:val="005B0275"/>
    <w:rsid w:val="005C02A7"/>
    <w:rsid w:val="005D0834"/>
    <w:rsid w:val="005D11E9"/>
    <w:rsid w:val="005E2A25"/>
    <w:rsid w:val="005E4341"/>
    <w:rsid w:val="005E5C4F"/>
    <w:rsid w:val="005E6545"/>
    <w:rsid w:val="005F56FD"/>
    <w:rsid w:val="006000F6"/>
    <w:rsid w:val="006069AA"/>
    <w:rsid w:val="00612917"/>
    <w:rsid w:val="006171AC"/>
    <w:rsid w:val="006229F7"/>
    <w:rsid w:val="00626372"/>
    <w:rsid w:val="006307FC"/>
    <w:rsid w:val="00645307"/>
    <w:rsid w:val="00652695"/>
    <w:rsid w:val="00657181"/>
    <w:rsid w:val="006602A7"/>
    <w:rsid w:val="00661032"/>
    <w:rsid w:val="00661C49"/>
    <w:rsid w:val="006626B8"/>
    <w:rsid w:val="006666E7"/>
    <w:rsid w:val="00666FDC"/>
    <w:rsid w:val="00672508"/>
    <w:rsid w:val="00675990"/>
    <w:rsid w:val="00676F3B"/>
    <w:rsid w:val="00681455"/>
    <w:rsid w:val="00681A1C"/>
    <w:rsid w:val="00682FE0"/>
    <w:rsid w:val="00685C57"/>
    <w:rsid w:val="00685CCC"/>
    <w:rsid w:val="006927E5"/>
    <w:rsid w:val="00692EDE"/>
    <w:rsid w:val="0069332C"/>
    <w:rsid w:val="006941B9"/>
    <w:rsid w:val="006A1FC6"/>
    <w:rsid w:val="006A585D"/>
    <w:rsid w:val="006A6268"/>
    <w:rsid w:val="006A6AAF"/>
    <w:rsid w:val="006B0000"/>
    <w:rsid w:val="006B0C2A"/>
    <w:rsid w:val="006B724A"/>
    <w:rsid w:val="006C088D"/>
    <w:rsid w:val="006C15B9"/>
    <w:rsid w:val="006C7280"/>
    <w:rsid w:val="006D4E2D"/>
    <w:rsid w:val="006D5A12"/>
    <w:rsid w:val="006D630A"/>
    <w:rsid w:val="006D6A13"/>
    <w:rsid w:val="006E0720"/>
    <w:rsid w:val="006E3DA5"/>
    <w:rsid w:val="006F4E77"/>
    <w:rsid w:val="007030AD"/>
    <w:rsid w:val="00703502"/>
    <w:rsid w:val="0071513C"/>
    <w:rsid w:val="00721441"/>
    <w:rsid w:val="0072381D"/>
    <w:rsid w:val="00730726"/>
    <w:rsid w:val="007437AE"/>
    <w:rsid w:val="007465C7"/>
    <w:rsid w:val="00761AF3"/>
    <w:rsid w:val="00765826"/>
    <w:rsid w:val="00765AA0"/>
    <w:rsid w:val="00772066"/>
    <w:rsid w:val="0077310C"/>
    <w:rsid w:val="00774A59"/>
    <w:rsid w:val="00774F4B"/>
    <w:rsid w:val="00775297"/>
    <w:rsid w:val="007768B0"/>
    <w:rsid w:val="00777131"/>
    <w:rsid w:val="00777890"/>
    <w:rsid w:val="0078178A"/>
    <w:rsid w:val="00781933"/>
    <w:rsid w:val="007843F8"/>
    <w:rsid w:val="007927FD"/>
    <w:rsid w:val="00792C0F"/>
    <w:rsid w:val="00793887"/>
    <w:rsid w:val="007953DB"/>
    <w:rsid w:val="007957A0"/>
    <w:rsid w:val="00796F70"/>
    <w:rsid w:val="007B200A"/>
    <w:rsid w:val="007B5CBD"/>
    <w:rsid w:val="007C0063"/>
    <w:rsid w:val="007C1C5E"/>
    <w:rsid w:val="007C28B4"/>
    <w:rsid w:val="007C5E6B"/>
    <w:rsid w:val="007C6DD2"/>
    <w:rsid w:val="007D02EE"/>
    <w:rsid w:val="007D0502"/>
    <w:rsid w:val="007D3D15"/>
    <w:rsid w:val="007E3143"/>
    <w:rsid w:val="007E438A"/>
    <w:rsid w:val="007F04F2"/>
    <w:rsid w:val="007F1AC6"/>
    <w:rsid w:val="007F3806"/>
    <w:rsid w:val="007F558A"/>
    <w:rsid w:val="008027C9"/>
    <w:rsid w:val="00810EA5"/>
    <w:rsid w:val="0081129A"/>
    <w:rsid w:val="00823598"/>
    <w:rsid w:val="00825B6C"/>
    <w:rsid w:val="00825E19"/>
    <w:rsid w:val="00827C35"/>
    <w:rsid w:val="00830749"/>
    <w:rsid w:val="008311E9"/>
    <w:rsid w:val="00844736"/>
    <w:rsid w:val="00846329"/>
    <w:rsid w:val="0084650D"/>
    <w:rsid w:val="00850496"/>
    <w:rsid w:val="00853209"/>
    <w:rsid w:val="00854FA9"/>
    <w:rsid w:val="008566BA"/>
    <w:rsid w:val="0086334B"/>
    <w:rsid w:val="008746A4"/>
    <w:rsid w:val="00875291"/>
    <w:rsid w:val="00880F2E"/>
    <w:rsid w:val="00883CAF"/>
    <w:rsid w:val="0089170F"/>
    <w:rsid w:val="00894AC8"/>
    <w:rsid w:val="00897308"/>
    <w:rsid w:val="008B05DC"/>
    <w:rsid w:val="008B2059"/>
    <w:rsid w:val="008B2844"/>
    <w:rsid w:val="008B2FF0"/>
    <w:rsid w:val="008B49BE"/>
    <w:rsid w:val="008C1305"/>
    <w:rsid w:val="008C6A87"/>
    <w:rsid w:val="008D079E"/>
    <w:rsid w:val="008D45BA"/>
    <w:rsid w:val="008D5974"/>
    <w:rsid w:val="008D5CD9"/>
    <w:rsid w:val="008D7E68"/>
    <w:rsid w:val="008E353D"/>
    <w:rsid w:val="008E393A"/>
    <w:rsid w:val="008F0825"/>
    <w:rsid w:val="008F4647"/>
    <w:rsid w:val="008F4C5C"/>
    <w:rsid w:val="008F5810"/>
    <w:rsid w:val="008F6C7D"/>
    <w:rsid w:val="00905E42"/>
    <w:rsid w:val="0090636E"/>
    <w:rsid w:val="00917647"/>
    <w:rsid w:val="00920AA8"/>
    <w:rsid w:val="00930FB0"/>
    <w:rsid w:val="00931A2D"/>
    <w:rsid w:val="00933016"/>
    <w:rsid w:val="00935391"/>
    <w:rsid w:val="00935C76"/>
    <w:rsid w:val="00937C13"/>
    <w:rsid w:val="00943060"/>
    <w:rsid w:val="00946742"/>
    <w:rsid w:val="00951120"/>
    <w:rsid w:val="009561D6"/>
    <w:rsid w:val="0095772E"/>
    <w:rsid w:val="009600E5"/>
    <w:rsid w:val="00965226"/>
    <w:rsid w:val="00965B99"/>
    <w:rsid w:val="009749F4"/>
    <w:rsid w:val="0097657B"/>
    <w:rsid w:val="00980E29"/>
    <w:rsid w:val="00981B0D"/>
    <w:rsid w:val="009825AF"/>
    <w:rsid w:val="00990AB7"/>
    <w:rsid w:val="00990E03"/>
    <w:rsid w:val="00991596"/>
    <w:rsid w:val="00991877"/>
    <w:rsid w:val="0099429B"/>
    <w:rsid w:val="00996328"/>
    <w:rsid w:val="009A09D8"/>
    <w:rsid w:val="009A1D68"/>
    <w:rsid w:val="009A29D6"/>
    <w:rsid w:val="009A68C4"/>
    <w:rsid w:val="009B1208"/>
    <w:rsid w:val="009B43A8"/>
    <w:rsid w:val="009B4E85"/>
    <w:rsid w:val="009C1BFC"/>
    <w:rsid w:val="009C3900"/>
    <w:rsid w:val="009C4908"/>
    <w:rsid w:val="009D1674"/>
    <w:rsid w:val="009D36FD"/>
    <w:rsid w:val="009D5B0D"/>
    <w:rsid w:val="009E1F0E"/>
    <w:rsid w:val="009E4E73"/>
    <w:rsid w:val="009E5B2B"/>
    <w:rsid w:val="009F10E4"/>
    <w:rsid w:val="009F3B61"/>
    <w:rsid w:val="009F4D17"/>
    <w:rsid w:val="009F5C67"/>
    <w:rsid w:val="009F7AD1"/>
    <w:rsid w:val="00A00CEE"/>
    <w:rsid w:val="00A059CB"/>
    <w:rsid w:val="00A10ACF"/>
    <w:rsid w:val="00A10E16"/>
    <w:rsid w:val="00A1113C"/>
    <w:rsid w:val="00A129C6"/>
    <w:rsid w:val="00A14A03"/>
    <w:rsid w:val="00A152B0"/>
    <w:rsid w:val="00A21B51"/>
    <w:rsid w:val="00A22BB0"/>
    <w:rsid w:val="00A234DE"/>
    <w:rsid w:val="00A24707"/>
    <w:rsid w:val="00A26EA8"/>
    <w:rsid w:val="00A31345"/>
    <w:rsid w:val="00A35E45"/>
    <w:rsid w:val="00A3690A"/>
    <w:rsid w:val="00A401AF"/>
    <w:rsid w:val="00A42872"/>
    <w:rsid w:val="00A42879"/>
    <w:rsid w:val="00A448A7"/>
    <w:rsid w:val="00A4580E"/>
    <w:rsid w:val="00A47989"/>
    <w:rsid w:val="00A47E63"/>
    <w:rsid w:val="00A50A18"/>
    <w:rsid w:val="00A53E06"/>
    <w:rsid w:val="00A71BB2"/>
    <w:rsid w:val="00A74F4F"/>
    <w:rsid w:val="00A762F5"/>
    <w:rsid w:val="00A77D27"/>
    <w:rsid w:val="00A805D9"/>
    <w:rsid w:val="00A81CD7"/>
    <w:rsid w:val="00A87E43"/>
    <w:rsid w:val="00A97D7F"/>
    <w:rsid w:val="00AA1D08"/>
    <w:rsid w:val="00AA5191"/>
    <w:rsid w:val="00AA6826"/>
    <w:rsid w:val="00AB0D30"/>
    <w:rsid w:val="00AB205E"/>
    <w:rsid w:val="00AB3341"/>
    <w:rsid w:val="00AB4A05"/>
    <w:rsid w:val="00AB5F1B"/>
    <w:rsid w:val="00AB7E77"/>
    <w:rsid w:val="00AC316C"/>
    <w:rsid w:val="00AC5353"/>
    <w:rsid w:val="00AC678A"/>
    <w:rsid w:val="00AC7EBC"/>
    <w:rsid w:val="00AD74AC"/>
    <w:rsid w:val="00AE2F1B"/>
    <w:rsid w:val="00AF7711"/>
    <w:rsid w:val="00B00FED"/>
    <w:rsid w:val="00B04006"/>
    <w:rsid w:val="00B04348"/>
    <w:rsid w:val="00B04379"/>
    <w:rsid w:val="00B0526C"/>
    <w:rsid w:val="00B14506"/>
    <w:rsid w:val="00B152DF"/>
    <w:rsid w:val="00B22CAB"/>
    <w:rsid w:val="00B244A8"/>
    <w:rsid w:val="00B3354D"/>
    <w:rsid w:val="00B42B25"/>
    <w:rsid w:val="00B44F78"/>
    <w:rsid w:val="00B452B8"/>
    <w:rsid w:val="00B46E53"/>
    <w:rsid w:val="00B47E17"/>
    <w:rsid w:val="00B55506"/>
    <w:rsid w:val="00B65397"/>
    <w:rsid w:val="00B71511"/>
    <w:rsid w:val="00B77EE1"/>
    <w:rsid w:val="00B84834"/>
    <w:rsid w:val="00B91658"/>
    <w:rsid w:val="00B94985"/>
    <w:rsid w:val="00BA0FD2"/>
    <w:rsid w:val="00BA381F"/>
    <w:rsid w:val="00BB0972"/>
    <w:rsid w:val="00BC158B"/>
    <w:rsid w:val="00BC2C0B"/>
    <w:rsid w:val="00BC373A"/>
    <w:rsid w:val="00BC56D3"/>
    <w:rsid w:val="00BC7625"/>
    <w:rsid w:val="00BD0FB4"/>
    <w:rsid w:val="00BD17AC"/>
    <w:rsid w:val="00BD1ED7"/>
    <w:rsid w:val="00BD2C28"/>
    <w:rsid w:val="00BD339A"/>
    <w:rsid w:val="00BD464D"/>
    <w:rsid w:val="00BD53E7"/>
    <w:rsid w:val="00BD5DBE"/>
    <w:rsid w:val="00BE14A1"/>
    <w:rsid w:val="00BE53EF"/>
    <w:rsid w:val="00BF071C"/>
    <w:rsid w:val="00BF4EA4"/>
    <w:rsid w:val="00BF61EA"/>
    <w:rsid w:val="00C03746"/>
    <w:rsid w:val="00C03A79"/>
    <w:rsid w:val="00C049A3"/>
    <w:rsid w:val="00C07EDB"/>
    <w:rsid w:val="00C10F6A"/>
    <w:rsid w:val="00C15F83"/>
    <w:rsid w:val="00C20628"/>
    <w:rsid w:val="00C212F9"/>
    <w:rsid w:val="00C2377E"/>
    <w:rsid w:val="00C25BED"/>
    <w:rsid w:val="00C26653"/>
    <w:rsid w:val="00C27EC8"/>
    <w:rsid w:val="00C37CE5"/>
    <w:rsid w:val="00C37F09"/>
    <w:rsid w:val="00C43F1E"/>
    <w:rsid w:val="00C4627C"/>
    <w:rsid w:val="00C516AB"/>
    <w:rsid w:val="00C53212"/>
    <w:rsid w:val="00C60DAC"/>
    <w:rsid w:val="00C6305A"/>
    <w:rsid w:val="00C67DBD"/>
    <w:rsid w:val="00C715B3"/>
    <w:rsid w:val="00C75A70"/>
    <w:rsid w:val="00C762D6"/>
    <w:rsid w:val="00C76B49"/>
    <w:rsid w:val="00C801C3"/>
    <w:rsid w:val="00C8694F"/>
    <w:rsid w:val="00C903F8"/>
    <w:rsid w:val="00C92862"/>
    <w:rsid w:val="00C95025"/>
    <w:rsid w:val="00CA4EC9"/>
    <w:rsid w:val="00CA717C"/>
    <w:rsid w:val="00CB2194"/>
    <w:rsid w:val="00CB7A6D"/>
    <w:rsid w:val="00CC0F60"/>
    <w:rsid w:val="00CC0F91"/>
    <w:rsid w:val="00CC29D6"/>
    <w:rsid w:val="00CC32EB"/>
    <w:rsid w:val="00CC6429"/>
    <w:rsid w:val="00CD0A51"/>
    <w:rsid w:val="00CD243B"/>
    <w:rsid w:val="00CD4FF1"/>
    <w:rsid w:val="00CD5032"/>
    <w:rsid w:val="00CD6345"/>
    <w:rsid w:val="00CE0DB7"/>
    <w:rsid w:val="00CE1893"/>
    <w:rsid w:val="00CE231C"/>
    <w:rsid w:val="00CE2AF4"/>
    <w:rsid w:val="00CE3D2A"/>
    <w:rsid w:val="00CE77BF"/>
    <w:rsid w:val="00CF4F6A"/>
    <w:rsid w:val="00D01830"/>
    <w:rsid w:val="00D0208B"/>
    <w:rsid w:val="00D02380"/>
    <w:rsid w:val="00D0270A"/>
    <w:rsid w:val="00D04833"/>
    <w:rsid w:val="00D16077"/>
    <w:rsid w:val="00D1674A"/>
    <w:rsid w:val="00D23DC7"/>
    <w:rsid w:val="00D26F6E"/>
    <w:rsid w:val="00D31113"/>
    <w:rsid w:val="00D31DE1"/>
    <w:rsid w:val="00D329FB"/>
    <w:rsid w:val="00D40482"/>
    <w:rsid w:val="00D4550F"/>
    <w:rsid w:val="00D51DF0"/>
    <w:rsid w:val="00D60EA3"/>
    <w:rsid w:val="00D668DF"/>
    <w:rsid w:val="00D67FA2"/>
    <w:rsid w:val="00D721C6"/>
    <w:rsid w:val="00D8176C"/>
    <w:rsid w:val="00D83F07"/>
    <w:rsid w:val="00D846CE"/>
    <w:rsid w:val="00D85AB3"/>
    <w:rsid w:val="00D91D11"/>
    <w:rsid w:val="00D93852"/>
    <w:rsid w:val="00D97641"/>
    <w:rsid w:val="00DA1B79"/>
    <w:rsid w:val="00DA74CB"/>
    <w:rsid w:val="00DB11A9"/>
    <w:rsid w:val="00DB338A"/>
    <w:rsid w:val="00DB7DC0"/>
    <w:rsid w:val="00DC7787"/>
    <w:rsid w:val="00DD0093"/>
    <w:rsid w:val="00DD320E"/>
    <w:rsid w:val="00DD3654"/>
    <w:rsid w:val="00DE3845"/>
    <w:rsid w:val="00DE4A83"/>
    <w:rsid w:val="00DF03AE"/>
    <w:rsid w:val="00DF6181"/>
    <w:rsid w:val="00DF629E"/>
    <w:rsid w:val="00DF77C0"/>
    <w:rsid w:val="00E029F3"/>
    <w:rsid w:val="00E0629B"/>
    <w:rsid w:val="00E10B4B"/>
    <w:rsid w:val="00E11948"/>
    <w:rsid w:val="00E127F9"/>
    <w:rsid w:val="00E17BA2"/>
    <w:rsid w:val="00E227E1"/>
    <w:rsid w:val="00E254A2"/>
    <w:rsid w:val="00E30985"/>
    <w:rsid w:val="00E329A9"/>
    <w:rsid w:val="00E34CFB"/>
    <w:rsid w:val="00E36963"/>
    <w:rsid w:val="00E373F2"/>
    <w:rsid w:val="00E41B05"/>
    <w:rsid w:val="00E62C09"/>
    <w:rsid w:val="00E64880"/>
    <w:rsid w:val="00E66BF0"/>
    <w:rsid w:val="00E712BE"/>
    <w:rsid w:val="00E817E3"/>
    <w:rsid w:val="00E82DF8"/>
    <w:rsid w:val="00E84CD9"/>
    <w:rsid w:val="00E84EE7"/>
    <w:rsid w:val="00E8624E"/>
    <w:rsid w:val="00E91952"/>
    <w:rsid w:val="00E91E04"/>
    <w:rsid w:val="00EA14E1"/>
    <w:rsid w:val="00EA3974"/>
    <w:rsid w:val="00EA42A0"/>
    <w:rsid w:val="00EA6A52"/>
    <w:rsid w:val="00EB214D"/>
    <w:rsid w:val="00EC1237"/>
    <w:rsid w:val="00EC58F1"/>
    <w:rsid w:val="00EC5ACE"/>
    <w:rsid w:val="00EC73C6"/>
    <w:rsid w:val="00ED1E6C"/>
    <w:rsid w:val="00EE2BDD"/>
    <w:rsid w:val="00EE37EC"/>
    <w:rsid w:val="00EE5407"/>
    <w:rsid w:val="00EF086E"/>
    <w:rsid w:val="00EF16CC"/>
    <w:rsid w:val="00EF6E10"/>
    <w:rsid w:val="00F0190C"/>
    <w:rsid w:val="00F01BD7"/>
    <w:rsid w:val="00F04E2F"/>
    <w:rsid w:val="00F050E4"/>
    <w:rsid w:val="00F060AD"/>
    <w:rsid w:val="00F14E9B"/>
    <w:rsid w:val="00F31FCC"/>
    <w:rsid w:val="00F320F4"/>
    <w:rsid w:val="00F35142"/>
    <w:rsid w:val="00F439F5"/>
    <w:rsid w:val="00F54656"/>
    <w:rsid w:val="00F572FE"/>
    <w:rsid w:val="00F677CE"/>
    <w:rsid w:val="00F70262"/>
    <w:rsid w:val="00F76144"/>
    <w:rsid w:val="00F81338"/>
    <w:rsid w:val="00F83FF5"/>
    <w:rsid w:val="00F852B0"/>
    <w:rsid w:val="00F97169"/>
    <w:rsid w:val="00F97F54"/>
    <w:rsid w:val="00FA268D"/>
    <w:rsid w:val="00FA3305"/>
    <w:rsid w:val="00FA36EB"/>
    <w:rsid w:val="00FB1D62"/>
    <w:rsid w:val="00FC05C9"/>
    <w:rsid w:val="00FC47AB"/>
    <w:rsid w:val="00FC51D5"/>
    <w:rsid w:val="00FC6828"/>
    <w:rsid w:val="00FC786D"/>
    <w:rsid w:val="00FD3ED1"/>
    <w:rsid w:val="00FD47A2"/>
    <w:rsid w:val="00FE0ADA"/>
    <w:rsid w:val="00FE3AC8"/>
    <w:rsid w:val="00FE638C"/>
    <w:rsid w:val="00FE76A5"/>
    <w:rsid w:val="00FF0AB5"/>
    <w:rsid w:val="00FF6688"/>
    <w:rsid w:val="00FF76A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71E8C"/>
    <w:rPr>
      <w:color w:val="605E5C"/>
      <w:shd w:val="clear" w:color="auto" w:fill="E1DFDD"/>
    </w:rPr>
  </w:style>
  <w:style w:type="character" w:styleId="FollowedHyperlink">
    <w:name w:val="FollowedHyperlink"/>
    <w:basedOn w:val="DefaultParagraphFont"/>
    <w:uiPriority w:val="99"/>
    <w:semiHidden/>
    <w:unhideWhenUsed/>
    <w:rsid w:val="00071E8C"/>
    <w:rPr>
      <w:color w:val="96607D" w:themeColor="followedHyperlink"/>
      <w:u w:val="single"/>
    </w:rPr>
  </w:style>
  <w:style w:type="table" w:styleId="LightGrid-Accent1">
    <w:name w:val="Light Grid Accent 1"/>
    <w:basedOn w:val="TableNormal"/>
    <w:uiPriority w:val="62"/>
    <w:rsid w:val="00BF071C"/>
    <w:pPr>
      <w:spacing w:after="0" w:line="240" w:lineRule="auto"/>
    </w:pPr>
    <w:rPr>
      <w:kern w:val="0"/>
      <w:sz w:val="22"/>
      <w:szCs w:val="22"/>
      <w:lang w:val="en-US" w:eastAsia="en-US"/>
      <w14:ligatures w14:val="none"/>
    </w:rPr>
    <w:tblPr>
      <w:tblStyleRowBandSize w:val="1"/>
      <w:tblStyleColBandSize w:val="1"/>
      <w:tblBorders>
        <w:top w:val="single" w:sz="8" w:space="0" w:color="156082" w:themeColor="accent1"/>
        <w:left w:val="single" w:sz="8" w:space="0" w:color="156082" w:themeColor="accent1"/>
        <w:bottom w:val="single" w:sz="8" w:space="0" w:color="156082" w:themeColor="accent1"/>
        <w:right w:val="single" w:sz="8" w:space="0" w:color="156082" w:themeColor="accent1"/>
        <w:insideH w:val="single" w:sz="8" w:space="0" w:color="156082" w:themeColor="accent1"/>
        <w:insideV w:val="single" w:sz="8" w:space="0" w:color="156082"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18" w:space="0" w:color="156082" w:themeColor="accent1"/>
          <w:right w:val="single" w:sz="8" w:space="0" w:color="156082" w:themeColor="accent1"/>
          <w:insideH w:val="nil"/>
          <w:insideV w:val="single" w:sz="8" w:space="0" w:color="156082"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156082" w:themeColor="accent1"/>
          <w:left w:val="single" w:sz="8" w:space="0" w:color="156082" w:themeColor="accent1"/>
          <w:bottom w:val="single" w:sz="8" w:space="0" w:color="156082" w:themeColor="accent1"/>
          <w:right w:val="single" w:sz="8" w:space="0" w:color="156082" w:themeColor="accent1"/>
          <w:insideH w:val="nil"/>
          <w:insideV w:val="single" w:sz="8" w:space="0" w:color="156082"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tcPr>
    </w:tblStylePr>
    <w:tblStylePr w:type="band1Vert">
      <w:tblPr/>
      <w:tcPr>
        <w:tcBorders>
          <w:top w:val="single" w:sz="8" w:space="0" w:color="156082" w:themeColor="accent1"/>
          <w:left w:val="single" w:sz="8" w:space="0" w:color="156082" w:themeColor="accent1"/>
          <w:bottom w:val="single" w:sz="8" w:space="0" w:color="156082" w:themeColor="accent1"/>
          <w:right w:val="single" w:sz="8" w:space="0" w:color="156082" w:themeColor="accent1"/>
        </w:tcBorders>
        <w:shd w:val="clear" w:color="auto" w:fill="B2DEF2" w:themeFill="accent1" w:themeFillTint="3F"/>
      </w:tcPr>
    </w:tblStylePr>
    <w:tblStylePr w:type="band1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shd w:val="clear" w:color="auto" w:fill="B2DEF2" w:themeFill="accent1" w:themeFillTint="3F"/>
      </w:tcPr>
    </w:tblStylePr>
    <w:tblStylePr w:type="band2Horz">
      <w:tblPr/>
      <w:tcPr>
        <w:tcBorders>
          <w:top w:val="single" w:sz="8" w:space="0" w:color="156082" w:themeColor="accent1"/>
          <w:left w:val="single" w:sz="8" w:space="0" w:color="156082" w:themeColor="accent1"/>
          <w:bottom w:val="single" w:sz="8" w:space="0" w:color="156082" w:themeColor="accent1"/>
          <w:right w:val="single" w:sz="8" w:space="0" w:color="156082" w:themeColor="accent1"/>
          <w:insideV w:val="single" w:sz="8" w:space="0" w:color="156082" w:themeColor="accent1"/>
        </w:tcBorders>
      </w:tcPr>
    </w:tblStylePr>
  </w:style>
  <w:style w:type="character" w:styleId="Strong">
    <w:name w:val="Strong"/>
    <w:basedOn w:val="DefaultParagraphFont"/>
    <w:uiPriority w:val="22"/>
    <w:qFormat/>
    <w:rsid w:val="00480F04"/>
    <w:rPr>
      <w:b/>
      <w:bCs/>
    </w:rPr>
  </w:style>
  <w:style w:type="paragraph" w:customStyle="1" w:styleId="pdq2pgselectionanchorcontainer">
    <w:name w:val="pdq2pg_selectionanchorcontainer"/>
    <w:basedOn w:val="Normal"/>
    <w:rsid w:val="006A6AAF"/>
    <w:pPr>
      <w:spacing w:before="100" w:beforeAutospacing="1" w:after="100" w:afterAutospacing="1" w:line="240" w:lineRule="auto"/>
    </w:pPr>
    <w:rPr>
      <w:rFonts w:ascii="Times New Roman" w:eastAsia="Times New Roman" w:hAnsi="Times New Roman" w:cs="Times New Roman"/>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coplc.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org"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cipd.org" TargetMode="External"/><Relationship Id="rId4" Type="http://schemas.openxmlformats.org/officeDocument/2006/relationships/settings" Target="settings.xml"/><Relationship Id="rId9" Type="http://schemas.openxmlformats.org/officeDocument/2006/relationships/hyperlink" Target="https://www.cipd.org" TargetMode="External"/><Relationship Id="rId14" Type="http://schemas.openxmlformats.org/officeDocument/2006/relationships/hyperlink" Target="https://www.legislation.gov.uk/ukpga/2010/15/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1301</TotalTime>
  <Pages>14</Pages>
  <Words>3624</Words>
  <Characters>20661</Characters>
  <Application>Microsoft Office Word</Application>
  <DocSecurity>0</DocSecurity>
  <Lines>172</Lines>
  <Paragraphs>48</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
  <LinksUpToDate>false</LinksUpToDate>
  <CharactersWithSpaces>24237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Luciana de Lara Franco</cp:lastModifiedBy>
  <cp:revision>173</cp:revision>
  <cp:lastPrinted>2025-08-13T10:56:00Z</cp:lastPrinted>
  <dcterms:created xsi:type="dcterms:W3CDTF">2026-07-12T21:50:00Z</dcterms:created>
  <dcterms:modified xsi:type="dcterms:W3CDTF">2026-07-15T22:22:00Z</dcterms:modified>
</cp:coreProperties>
</file>