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D9D7041" wp14:paraId="2C078E63" wp14:textId="3BB21F86">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5D9D7041" w:rsidR="207B6F82">
        <w:rPr>
          <w:rFonts w:ascii="Arial" w:hAnsi="Arial" w:eastAsia="Arial" w:cs="Arial"/>
          <w:b w:val="1"/>
          <w:bCs w:val="1"/>
          <w:i w:val="0"/>
          <w:iCs w:val="0"/>
          <w:caps w:val="0"/>
          <w:smallCaps w:val="0"/>
          <w:noProof w:val="0"/>
          <w:color w:val="000000" w:themeColor="text1" w:themeTint="FF" w:themeShade="FF"/>
          <w:sz w:val="22"/>
          <w:szCs w:val="22"/>
          <w:lang w:val="en-US"/>
        </w:rPr>
        <w:t>Progra</w:t>
      </w:r>
      <w:r w:rsidRPr="5D9D7041" w:rsidR="7D2FAD44">
        <w:rPr>
          <w:rFonts w:ascii="Arial" w:hAnsi="Arial" w:eastAsia="Arial" w:cs="Arial"/>
          <w:b w:val="1"/>
          <w:bCs w:val="1"/>
          <w:i w:val="0"/>
          <w:iCs w:val="0"/>
          <w:caps w:val="0"/>
          <w:smallCaps w:val="0"/>
          <w:noProof w:val="0"/>
          <w:color w:val="000000" w:themeColor="text1" w:themeTint="FF" w:themeShade="FF"/>
          <w:sz w:val="22"/>
          <w:szCs w:val="22"/>
          <w:lang w:val="en-US"/>
        </w:rPr>
        <w:t>m</w:t>
      </w:r>
      <w:r w:rsidRPr="5D9D7041" w:rsidR="207B6F82">
        <w:rPr>
          <w:rFonts w:ascii="Arial" w:hAnsi="Arial" w:eastAsia="Arial" w:cs="Arial"/>
          <w:b w:val="1"/>
          <w:bCs w:val="1"/>
          <w:i w:val="0"/>
          <w:iCs w:val="0"/>
          <w:caps w:val="0"/>
          <w:smallCaps w:val="0"/>
          <w:noProof w:val="0"/>
          <w:color w:val="000000" w:themeColor="text1" w:themeTint="FF" w:themeShade="FF"/>
          <w:sz w:val="22"/>
          <w:szCs w:val="22"/>
          <w:lang w:val="en-US"/>
        </w:rPr>
        <w:t>me</w:t>
      </w:r>
      <w:r w:rsidRPr="5D9D7041" w:rsidR="207B6F82">
        <w:rPr>
          <w:rFonts w:ascii="Arial" w:hAnsi="Arial" w:eastAsia="Arial" w:cs="Arial"/>
          <w:b w:val="1"/>
          <w:bCs w:val="1"/>
          <w:i w:val="0"/>
          <w:iCs w:val="0"/>
          <w:caps w:val="0"/>
          <w:smallCaps w:val="0"/>
          <w:noProof w:val="0"/>
          <w:color w:val="000000" w:themeColor="text1" w:themeTint="FF" w:themeShade="FF"/>
          <w:sz w:val="22"/>
          <w:szCs w:val="22"/>
          <w:lang w:val="en-US"/>
        </w:rPr>
        <w:t xml:space="preserve">: BA </w:t>
      </w:r>
      <w:r w:rsidRPr="5D9D7041" w:rsidR="46B0215E">
        <w:rPr>
          <w:rFonts w:ascii="Arial" w:hAnsi="Arial" w:eastAsia="Arial" w:cs="Arial"/>
          <w:b w:val="1"/>
          <w:bCs w:val="1"/>
          <w:i w:val="0"/>
          <w:iCs w:val="0"/>
          <w:caps w:val="0"/>
          <w:smallCaps w:val="0"/>
          <w:noProof w:val="0"/>
          <w:color w:val="000000" w:themeColor="text1" w:themeTint="FF" w:themeShade="FF"/>
          <w:sz w:val="22"/>
          <w:szCs w:val="22"/>
          <w:lang w:val="en-US"/>
        </w:rPr>
        <w:t xml:space="preserve">(Hons) Leadership </w:t>
      </w:r>
      <w:r w:rsidRPr="5D9D7041" w:rsidR="46B0215E">
        <w:rPr>
          <w:rFonts w:ascii="Arial" w:hAnsi="Arial" w:eastAsia="Arial" w:cs="Arial"/>
          <w:b w:val="1"/>
          <w:bCs w:val="1"/>
          <w:i w:val="0"/>
          <w:iCs w:val="0"/>
          <w:caps w:val="0"/>
          <w:smallCaps w:val="0"/>
          <w:noProof w:val="0"/>
          <w:color w:val="000000" w:themeColor="text1" w:themeTint="FF" w:themeShade="FF"/>
          <w:sz w:val="22"/>
          <w:szCs w:val="22"/>
          <w:lang w:val="en-US"/>
        </w:rPr>
        <w:t>And</w:t>
      </w:r>
      <w:r w:rsidRPr="5D9D7041" w:rsidR="46B0215E">
        <w:rPr>
          <w:rFonts w:ascii="Arial" w:hAnsi="Arial" w:eastAsia="Arial" w:cs="Arial"/>
          <w:b w:val="1"/>
          <w:bCs w:val="1"/>
          <w:i w:val="0"/>
          <w:iCs w:val="0"/>
          <w:caps w:val="0"/>
          <w:smallCaps w:val="0"/>
          <w:noProof w:val="0"/>
          <w:color w:val="000000" w:themeColor="text1" w:themeTint="FF" w:themeShade="FF"/>
          <w:sz w:val="22"/>
          <w:szCs w:val="22"/>
          <w:lang w:val="en-US"/>
        </w:rPr>
        <w:t xml:space="preserve"> Management S</w:t>
      </w:r>
      <w:r w:rsidRPr="5D9D7041" w:rsidR="37F0FAD9">
        <w:rPr>
          <w:rFonts w:ascii="Arial" w:hAnsi="Arial" w:eastAsia="Arial" w:cs="Arial"/>
          <w:b w:val="1"/>
          <w:bCs w:val="1"/>
          <w:i w:val="0"/>
          <w:iCs w:val="0"/>
          <w:caps w:val="0"/>
          <w:smallCaps w:val="0"/>
          <w:noProof w:val="0"/>
          <w:color w:val="000000" w:themeColor="text1" w:themeTint="FF" w:themeShade="FF"/>
          <w:sz w:val="22"/>
          <w:szCs w:val="22"/>
          <w:lang w:val="en-US"/>
        </w:rPr>
        <w:t xml:space="preserve">kills </w:t>
      </w:r>
      <w:r w:rsidRPr="5D9D7041" w:rsidR="37F0FAD9">
        <w:rPr>
          <w:rFonts w:ascii="Arial" w:hAnsi="Arial" w:eastAsia="Arial" w:cs="Arial"/>
          <w:b w:val="1"/>
          <w:bCs w:val="1"/>
          <w:i w:val="0"/>
          <w:iCs w:val="0"/>
          <w:caps w:val="0"/>
          <w:smallCaps w:val="0"/>
          <w:noProof w:val="0"/>
          <w:color w:val="000000" w:themeColor="text1" w:themeTint="FF" w:themeShade="FF"/>
          <w:sz w:val="22"/>
          <w:szCs w:val="22"/>
          <w:lang w:val="en-US"/>
        </w:rPr>
        <w:t>For</w:t>
      </w:r>
      <w:r w:rsidRPr="5D9D7041" w:rsidR="37F0FAD9">
        <w:rPr>
          <w:rFonts w:ascii="Arial" w:hAnsi="Arial" w:eastAsia="Arial" w:cs="Arial"/>
          <w:b w:val="1"/>
          <w:bCs w:val="1"/>
          <w:i w:val="0"/>
          <w:iCs w:val="0"/>
          <w:caps w:val="0"/>
          <w:smallCaps w:val="0"/>
          <w:noProof w:val="0"/>
          <w:color w:val="000000" w:themeColor="text1" w:themeTint="FF" w:themeShade="FF"/>
          <w:sz w:val="22"/>
          <w:szCs w:val="22"/>
          <w:lang w:val="en-US"/>
        </w:rPr>
        <w:t xml:space="preserve"> Workplace</w:t>
      </w:r>
    </w:p>
    <w:p w:rsidR="376704EA" w:rsidP="5D9D7041" w:rsidRDefault="376704EA" w14:paraId="32B03540" w14:textId="73E2A935">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5D9D7041" w:rsidR="376704EA">
        <w:rPr>
          <w:rFonts w:ascii="Arial" w:hAnsi="Arial" w:eastAsia="Arial" w:cs="Arial"/>
          <w:b w:val="1"/>
          <w:bCs w:val="1"/>
          <w:i w:val="0"/>
          <w:iCs w:val="0"/>
          <w:caps w:val="0"/>
          <w:smallCaps w:val="0"/>
          <w:noProof w:val="0"/>
          <w:color w:val="000000" w:themeColor="text1" w:themeTint="FF" w:themeShade="FF"/>
          <w:sz w:val="22"/>
          <w:szCs w:val="22"/>
          <w:lang w:val="en-US"/>
        </w:rPr>
        <w:t>Module: Developing And Managing Individuals and Teams</w:t>
      </w:r>
    </w:p>
    <w:p w:rsidR="37839C40" w:rsidP="5D9D7041" w:rsidRDefault="37839C40" w14:paraId="0581B62E" w14:textId="5C7067D6">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5D9D7041" w:rsidR="37839C40">
        <w:rPr>
          <w:rFonts w:ascii="Arial" w:hAnsi="Arial" w:eastAsia="Arial" w:cs="Arial"/>
          <w:b w:val="1"/>
          <w:bCs w:val="1"/>
          <w:i w:val="0"/>
          <w:iCs w:val="0"/>
          <w:caps w:val="0"/>
          <w:smallCaps w:val="0"/>
          <w:noProof w:val="0"/>
          <w:color w:val="000000" w:themeColor="text1" w:themeTint="FF" w:themeShade="FF"/>
          <w:sz w:val="22"/>
          <w:szCs w:val="22"/>
          <w:lang w:val="en-US"/>
        </w:rPr>
        <w:t>Module Code: LCLM:5002</w:t>
      </w:r>
    </w:p>
    <w:p w:rsidR="37839C40" w:rsidP="5D9D7041" w:rsidRDefault="37839C40" w14:paraId="5CBE362C" w14:textId="447EE2EC">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5D9D7041" w:rsidR="37839C40">
        <w:rPr>
          <w:rFonts w:ascii="Arial" w:hAnsi="Arial" w:eastAsia="Arial" w:cs="Arial"/>
          <w:b w:val="1"/>
          <w:bCs w:val="1"/>
          <w:i w:val="0"/>
          <w:iCs w:val="0"/>
          <w:caps w:val="0"/>
          <w:smallCaps w:val="0"/>
          <w:noProof w:val="0"/>
          <w:color w:val="000000" w:themeColor="text1" w:themeTint="FF" w:themeShade="FF"/>
          <w:sz w:val="22"/>
          <w:szCs w:val="22"/>
          <w:lang w:val="en-US"/>
        </w:rPr>
        <w:t xml:space="preserve">Lectures Name: </w:t>
      </w:r>
      <w:r w:rsidRPr="5D9D7041" w:rsidR="58DEBABC">
        <w:rPr>
          <w:rFonts w:ascii="Arial" w:hAnsi="Arial" w:eastAsia="Arial" w:cs="Arial"/>
          <w:b w:val="1"/>
          <w:bCs w:val="1"/>
          <w:i w:val="0"/>
          <w:iCs w:val="0"/>
          <w:caps w:val="0"/>
          <w:smallCaps w:val="0"/>
          <w:noProof w:val="0"/>
          <w:color w:val="000000" w:themeColor="text1" w:themeTint="FF" w:themeShade="FF"/>
          <w:sz w:val="22"/>
          <w:szCs w:val="22"/>
          <w:lang w:val="en-US"/>
        </w:rPr>
        <w:t>Samuel Ofori</w:t>
      </w:r>
    </w:p>
    <w:p w:rsidR="37839C40" w:rsidP="5D9D7041" w:rsidRDefault="37839C40" w14:paraId="3BBBA079" w14:textId="37BBF64A">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5D9D7041" w:rsidR="37839C40">
        <w:rPr>
          <w:rFonts w:ascii="Arial" w:hAnsi="Arial" w:eastAsia="Arial" w:cs="Arial"/>
          <w:b w:val="1"/>
          <w:bCs w:val="1"/>
          <w:i w:val="0"/>
          <w:iCs w:val="0"/>
          <w:caps w:val="0"/>
          <w:smallCaps w:val="0"/>
          <w:noProof w:val="0"/>
          <w:color w:val="000000" w:themeColor="text1" w:themeTint="FF" w:themeShade="FF"/>
          <w:sz w:val="22"/>
          <w:szCs w:val="22"/>
          <w:lang w:val="en-US"/>
        </w:rPr>
        <w:t xml:space="preserve">Student Name: </w:t>
      </w:r>
      <w:r w:rsidRPr="5D9D7041" w:rsidR="7EB1519B">
        <w:rPr>
          <w:rFonts w:ascii="Arial" w:hAnsi="Arial" w:eastAsia="Arial" w:cs="Arial"/>
          <w:b w:val="1"/>
          <w:bCs w:val="1"/>
          <w:i w:val="0"/>
          <w:iCs w:val="0"/>
          <w:caps w:val="0"/>
          <w:smallCaps w:val="0"/>
          <w:noProof w:val="0"/>
          <w:color w:val="000000" w:themeColor="text1" w:themeTint="FF" w:themeShade="FF"/>
          <w:sz w:val="22"/>
          <w:szCs w:val="22"/>
          <w:lang w:val="en-US"/>
        </w:rPr>
        <w:t>Gheorghe Teodor Robu</w:t>
      </w:r>
      <w:r>
        <w:tab/>
      </w:r>
    </w:p>
    <w:p w:rsidR="37839C40" w:rsidP="5D9D7041" w:rsidRDefault="37839C40" w14:paraId="0C061370" w14:textId="01F2366B">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5D9D7041" w:rsidR="37839C40">
        <w:rPr>
          <w:rFonts w:ascii="Arial" w:hAnsi="Arial" w:eastAsia="Arial" w:cs="Arial"/>
          <w:b w:val="1"/>
          <w:bCs w:val="1"/>
          <w:i w:val="0"/>
          <w:iCs w:val="0"/>
          <w:caps w:val="0"/>
          <w:smallCaps w:val="0"/>
          <w:noProof w:val="0"/>
          <w:color w:val="000000" w:themeColor="text1" w:themeTint="FF" w:themeShade="FF"/>
          <w:sz w:val="22"/>
          <w:szCs w:val="22"/>
          <w:lang w:val="en-US"/>
        </w:rPr>
        <w:t>Student ID:</w:t>
      </w:r>
      <w:r w:rsidRPr="5D9D7041" w:rsidR="4C444520">
        <w:rPr>
          <w:rFonts w:ascii="Arial" w:hAnsi="Arial" w:eastAsia="Arial" w:cs="Arial"/>
          <w:b w:val="1"/>
          <w:bCs w:val="1"/>
          <w:i w:val="0"/>
          <w:iCs w:val="0"/>
          <w:caps w:val="0"/>
          <w:smallCaps w:val="0"/>
          <w:noProof w:val="0"/>
          <w:color w:val="000000" w:themeColor="text1" w:themeTint="FF" w:themeShade="FF"/>
          <w:sz w:val="22"/>
          <w:szCs w:val="22"/>
          <w:lang w:val="en-US"/>
        </w:rPr>
        <w:t>2440088</w:t>
      </w:r>
    </w:p>
    <w:p w:rsidR="37839C40" w:rsidP="5D9D7041" w:rsidRDefault="37839C40" w14:paraId="17FD2AB0" w14:textId="62D78882">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5D9D7041" w:rsidR="37839C40">
        <w:rPr>
          <w:rFonts w:ascii="Arial" w:hAnsi="Arial" w:eastAsia="Arial" w:cs="Arial"/>
          <w:b w:val="1"/>
          <w:bCs w:val="1"/>
          <w:i w:val="0"/>
          <w:iCs w:val="0"/>
          <w:caps w:val="0"/>
          <w:smallCaps w:val="0"/>
          <w:noProof w:val="0"/>
          <w:color w:val="000000" w:themeColor="text1" w:themeTint="FF" w:themeShade="FF"/>
          <w:sz w:val="22"/>
          <w:szCs w:val="22"/>
          <w:lang w:val="en-US"/>
        </w:rPr>
        <w:t>Assesment</w:t>
      </w:r>
      <w:r w:rsidRPr="5D9D7041" w:rsidR="37839C40">
        <w:rPr>
          <w:rFonts w:ascii="Arial" w:hAnsi="Arial" w:eastAsia="Arial" w:cs="Arial"/>
          <w:b w:val="1"/>
          <w:bCs w:val="1"/>
          <w:i w:val="0"/>
          <w:iCs w:val="0"/>
          <w:caps w:val="0"/>
          <w:smallCaps w:val="0"/>
          <w:noProof w:val="0"/>
          <w:color w:val="000000" w:themeColor="text1" w:themeTint="FF" w:themeShade="FF"/>
          <w:sz w:val="22"/>
          <w:szCs w:val="22"/>
          <w:lang w:val="en-US"/>
        </w:rPr>
        <w:t xml:space="preserve"> Title: </w:t>
      </w:r>
      <w:r w:rsidRPr="5D9D7041" w:rsidR="4ABF93ED">
        <w:rPr>
          <w:rFonts w:ascii="Arial" w:hAnsi="Arial" w:eastAsia="Arial" w:cs="Arial"/>
          <w:b w:val="1"/>
          <w:bCs w:val="1"/>
          <w:i w:val="0"/>
          <w:iCs w:val="0"/>
          <w:caps w:val="0"/>
          <w:smallCaps w:val="0"/>
          <w:noProof w:val="0"/>
          <w:color w:val="000000" w:themeColor="text1" w:themeTint="FF" w:themeShade="FF"/>
          <w:sz w:val="22"/>
          <w:szCs w:val="22"/>
          <w:lang w:val="en-US"/>
        </w:rPr>
        <w:t>Component</w:t>
      </w:r>
      <w:r w:rsidRPr="5D9D7041" w:rsidR="4ABF93ED">
        <w:rPr>
          <w:rFonts w:ascii="Arial" w:hAnsi="Arial" w:eastAsia="Arial" w:cs="Arial"/>
          <w:b w:val="1"/>
          <w:bCs w:val="1"/>
          <w:i w:val="0"/>
          <w:iCs w:val="0"/>
          <w:caps w:val="0"/>
          <w:smallCaps w:val="0"/>
          <w:noProof w:val="0"/>
          <w:color w:val="000000" w:themeColor="text1" w:themeTint="FF" w:themeShade="FF"/>
          <w:sz w:val="22"/>
          <w:szCs w:val="22"/>
          <w:lang w:val="en-US"/>
        </w:rPr>
        <w:t xml:space="preserve"> 2: Individual report</w:t>
      </w:r>
    </w:p>
    <w:p w:rsidR="5D9D7041" w:rsidP="5D9D7041" w:rsidRDefault="5D9D7041" w14:paraId="3A39D96D" w14:textId="4F561049">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5D9D7041" w:rsidP="5D9D7041" w:rsidRDefault="5D9D7041" w14:paraId="40A3112D" w14:textId="4366ECFF">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5D9D7041" w:rsidP="5D9D7041" w:rsidRDefault="5D9D7041" w14:paraId="498459B8" w14:textId="13733A26">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4ABF93ED" w:rsidP="5D9D7041" w:rsidRDefault="4ABF93ED" w14:paraId="4FAA8942" w14:textId="39C3D9B5">
      <w:pPr>
        <w:pStyle w:val="Heading1"/>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4ABF93ED">
        <w:rPr>
          <w:rFonts w:ascii="Arial" w:hAnsi="Arial" w:eastAsia="Arial" w:cs="Arial"/>
          <w:b w:val="1"/>
          <w:bCs w:val="1"/>
          <w:i w:val="0"/>
          <w:iCs w:val="0"/>
          <w:noProof w:val="0"/>
          <w:color w:val="1C1F23"/>
          <w:sz w:val="22"/>
          <w:szCs w:val="22"/>
          <w:lang w:val="en-US"/>
        </w:rPr>
        <w:t xml:space="preserve"> </w:t>
      </w:r>
      <w:r w:rsidRPr="5D9D7041" w:rsidR="4ABF93ED">
        <w:rPr>
          <w:rFonts w:ascii="Arial" w:hAnsi="Arial" w:eastAsia="Arial" w:cs="Arial"/>
          <w:b w:val="1"/>
          <w:bCs w:val="1"/>
          <w:i w:val="0"/>
          <w:iCs w:val="0"/>
          <w:noProof w:val="0"/>
          <w:color w:val="1C1F23"/>
          <w:sz w:val="22"/>
          <w:szCs w:val="22"/>
          <w:lang w:val="en-US"/>
        </w:rPr>
        <w:t xml:space="preserve"> </w:t>
      </w:r>
      <w:r w:rsidRPr="5D9D7041" w:rsidR="5BA6E137">
        <w:rPr>
          <w:rFonts w:ascii="Arial" w:hAnsi="Arial" w:eastAsia="Arial" w:cs="Arial"/>
          <w:b w:val="1"/>
          <w:bCs w:val="1"/>
          <w:i w:val="0"/>
          <w:iCs w:val="0"/>
          <w:noProof w:val="0"/>
          <w:color w:val="000000" w:themeColor="text1" w:themeTint="FF" w:themeShade="FF"/>
          <w:sz w:val="22"/>
          <w:szCs w:val="22"/>
          <w:lang w:val="en-US"/>
        </w:rPr>
        <w:t>REPORT ON CONTEMPORARY HUMAN RESOURCE CHALLENGES AND STRATEGIES</w:t>
      </w:r>
    </w:p>
    <w:p w:rsidR="5BA6E137" w:rsidP="5D9D7041" w:rsidRDefault="5BA6E137" w14:paraId="3364BD66" w14:textId="0F448CC1">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5BA6E137">
        <w:rPr>
          <w:rFonts w:ascii="Arial" w:hAnsi="Arial" w:eastAsia="Arial" w:cs="Arial"/>
          <w:b w:val="1"/>
          <w:bCs w:val="1"/>
          <w:i w:val="0"/>
          <w:iCs w:val="0"/>
          <w:noProof w:val="0"/>
          <w:color w:val="000000" w:themeColor="text1" w:themeTint="FF" w:themeShade="FF"/>
          <w:sz w:val="22"/>
          <w:szCs w:val="22"/>
          <w:lang w:val="en-US"/>
        </w:rPr>
        <w:t>Organisation:</w:t>
      </w:r>
      <w:r w:rsidRPr="5D9D7041" w:rsidR="5BA6E137">
        <w:rPr>
          <w:rFonts w:ascii="Arial" w:hAnsi="Arial" w:eastAsia="Arial" w:cs="Arial"/>
          <w:b w:val="0"/>
          <w:bCs w:val="0"/>
          <w:i w:val="0"/>
          <w:iCs w:val="0"/>
          <w:noProof w:val="0"/>
          <w:color w:val="000000" w:themeColor="text1" w:themeTint="FF" w:themeShade="FF"/>
          <w:sz w:val="22"/>
          <w:szCs w:val="22"/>
          <w:lang w:val="en-US"/>
        </w:rPr>
        <w:t xml:space="preserve"> Marks &amp; Spencer Group plc</w:t>
      </w:r>
    </w:p>
    <w:p w:rsidR="5BA6E137" w:rsidP="5D9D7041" w:rsidRDefault="5BA6E137" w14:paraId="5464501F" w14:textId="3AA5F593">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5BA6E137">
        <w:rPr>
          <w:rFonts w:ascii="Arial" w:hAnsi="Arial" w:eastAsia="Arial" w:cs="Arial"/>
          <w:b w:val="1"/>
          <w:bCs w:val="1"/>
          <w:i w:val="0"/>
          <w:iCs w:val="0"/>
          <w:noProof w:val="0"/>
          <w:color w:val="000000" w:themeColor="text1" w:themeTint="FF" w:themeShade="FF"/>
          <w:sz w:val="22"/>
          <w:szCs w:val="22"/>
          <w:lang w:val="en-US"/>
        </w:rPr>
        <w:t>Prepared For:</w:t>
      </w:r>
      <w:r w:rsidRPr="5D9D7041" w:rsidR="5BA6E137">
        <w:rPr>
          <w:rFonts w:ascii="Arial" w:hAnsi="Arial" w:eastAsia="Arial" w:cs="Arial"/>
          <w:b w:val="0"/>
          <w:bCs w:val="0"/>
          <w:i w:val="0"/>
          <w:iCs w:val="0"/>
          <w:noProof w:val="0"/>
          <w:color w:val="000000" w:themeColor="text1" w:themeTint="FF" w:themeShade="FF"/>
          <w:sz w:val="22"/>
          <w:szCs w:val="22"/>
          <w:lang w:val="en-US"/>
        </w:rPr>
        <w:t xml:space="preserve"> HR Practitioner Assessment</w:t>
      </w:r>
    </w:p>
    <w:p w:rsidR="5BA6E137" w:rsidP="5D9D7041" w:rsidRDefault="5BA6E137" w14:paraId="4B6402FC" w14:textId="134EE872">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5BA6E137">
        <w:rPr>
          <w:rFonts w:ascii="Arial" w:hAnsi="Arial" w:eastAsia="Arial" w:cs="Arial"/>
          <w:b w:val="1"/>
          <w:bCs w:val="1"/>
          <w:i w:val="0"/>
          <w:iCs w:val="0"/>
          <w:noProof w:val="0"/>
          <w:color w:val="000000" w:themeColor="text1" w:themeTint="FF" w:themeShade="FF"/>
          <w:sz w:val="22"/>
          <w:szCs w:val="22"/>
          <w:lang w:val="en-US"/>
        </w:rPr>
        <w:t>Prepared By:</w:t>
      </w:r>
      <w:r w:rsidRPr="5D9D7041" w:rsidR="5BA6E137">
        <w:rPr>
          <w:rFonts w:ascii="Arial" w:hAnsi="Arial" w:eastAsia="Arial" w:cs="Arial"/>
          <w:b w:val="0"/>
          <w:bCs w:val="0"/>
          <w:i w:val="0"/>
          <w:iCs w:val="0"/>
          <w:noProof w:val="0"/>
          <w:color w:val="000000" w:themeColor="text1" w:themeTint="FF" w:themeShade="FF"/>
          <w:sz w:val="22"/>
          <w:szCs w:val="22"/>
          <w:lang w:val="en-US"/>
        </w:rPr>
        <w:t xml:space="preserve"> Gheorghe Teodor Robu</w:t>
      </w:r>
    </w:p>
    <w:p w:rsidR="5BA6E137" w:rsidP="5D9D7041" w:rsidRDefault="5BA6E137" w14:paraId="58EBC082" w14:textId="238CD7A9">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5BA6E137">
        <w:rPr>
          <w:rFonts w:ascii="Arial" w:hAnsi="Arial" w:eastAsia="Arial" w:cs="Arial"/>
          <w:b w:val="1"/>
          <w:bCs w:val="1"/>
          <w:i w:val="0"/>
          <w:iCs w:val="0"/>
          <w:noProof w:val="0"/>
          <w:color w:val="000000" w:themeColor="text1" w:themeTint="FF" w:themeShade="FF"/>
          <w:sz w:val="22"/>
          <w:szCs w:val="22"/>
          <w:lang w:val="en-US"/>
        </w:rPr>
        <w:t>Date:</w:t>
      </w:r>
      <w:r w:rsidRPr="5D9D7041" w:rsidR="5BA6E137">
        <w:rPr>
          <w:rFonts w:ascii="Arial" w:hAnsi="Arial" w:eastAsia="Arial" w:cs="Arial"/>
          <w:b w:val="0"/>
          <w:bCs w:val="0"/>
          <w:i w:val="0"/>
          <w:iCs w:val="0"/>
          <w:noProof w:val="0"/>
          <w:color w:val="000000" w:themeColor="text1" w:themeTint="FF" w:themeShade="FF"/>
          <w:sz w:val="22"/>
          <w:szCs w:val="22"/>
          <w:lang w:val="en-US"/>
        </w:rPr>
        <w:t xml:space="preserve"> July 2026</w:t>
      </w:r>
    </w:p>
    <w:p w:rsidR="5D9D7041" w:rsidP="5D9D7041" w:rsidRDefault="5D9D7041" w14:paraId="2571E5EF" w14:textId="5A9D92A5">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p>
    <w:p w:rsidR="1222D986" w:rsidP="5D9D7041" w:rsidRDefault="1222D986" w14:paraId="7B2349BD" w14:textId="0FD82D80">
      <w:pPr>
        <w:pStyle w:val="Heading2"/>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1222D986">
        <w:rPr>
          <w:rFonts w:ascii="Arial" w:hAnsi="Arial" w:eastAsia="Arial" w:cs="Arial"/>
          <w:b w:val="0"/>
          <w:bCs w:val="0"/>
          <w:i w:val="0"/>
          <w:iCs w:val="0"/>
          <w:noProof w:val="0"/>
          <w:color w:val="000000" w:themeColor="text1" w:themeTint="FF" w:themeShade="FF"/>
          <w:sz w:val="22"/>
          <w:szCs w:val="22"/>
          <w:lang w:val="en-US"/>
        </w:rPr>
        <w:t>EXECUTIVE SUMMARY</w:t>
      </w:r>
    </w:p>
    <w:p w:rsidR="1222D986" w:rsidP="5D9D7041" w:rsidRDefault="1222D986" w14:paraId="4EF84768" w14:textId="525CEA00">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1222D986">
        <w:rPr>
          <w:rFonts w:ascii="Arial" w:hAnsi="Arial" w:eastAsia="Arial" w:cs="Arial"/>
          <w:b w:val="0"/>
          <w:bCs w:val="0"/>
          <w:i w:val="0"/>
          <w:iCs w:val="0"/>
          <w:noProof w:val="0"/>
          <w:color w:val="000000" w:themeColor="text1" w:themeTint="FF" w:themeShade="FF"/>
          <w:sz w:val="22"/>
          <w:szCs w:val="22"/>
          <w:lang w:val="en-US"/>
        </w:rPr>
        <w:t>Marks &amp; Spencer (M&amp;S) is one of the UK’s leading retailers, employing approximately 65,000 people across its operations. This report analyses three key contemporary HR challenges facing the organisation: adapting to rapid technological change, attracting and retaining talent in a competitive market, and advancing Diversity, Equity, and Inclusion (DEI).</w:t>
      </w:r>
    </w:p>
    <w:p w:rsidR="1222D986" w:rsidP="5D9D7041" w:rsidRDefault="1222D986" w14:paraId="2FC77088" w14:textId="04721182">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1222D986">
        <w:rPr>
          <w:rFonts w:ascii="Arial" w:hAnsi="Arial" w:eastAsia="Arial" w:cs="Arial"/>
          <w:b w:val="0"/>
          <w:bCs w:val="0"/>
          <w:i w:val="0"/>
          <w:iCs w:val="0"/>
          <w:noProof w:val="0"/>
          <w:color w:val="000000" w:themeColor="text1" w:themeTint="FF" w:themeShade="FF"/>
          <w:sz w:val="22"/>
          <w:szCs w:val="22"/>
          <w:lang w:val="en-US"/>
        </w:rPr>
        <w:t>The analysis finds that while these challenges are distinct, they are interconnected and directly impact organisational performance, employee engagement, and long-term sustainability. M&amp;S has introduced relevant practices including digital HR systems, employer branding, and inclusive policies; however, their effectiveness depends on consistent implementation, leadership accountability, and cultural alignment.</w:t>
      </w:r>
    </w:p>
    <w:p w:rsidR="1222D986" w:rsidP="5D9D7041" w:rsidRDefault="1222D986" w14:paraId="71D8CDF9" w14:textId="0C09D023">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1222D986">
        <w:rPr>
          <w:rFonts w:ascii="Arial" w:hAnsi="Arial" w:eastAsia="Arial" w:cs="Arial"/>
          <w:b w:val="0"/>
          <w:bCs w:val="0"/>
          <w:i w:val="0"/>
          <w:iCs w:val="0"/>
          <w:noProof w:val="0"/>
          <w:color w:val="000000" w:themeColor="text1" w:themeTint="FF" w:themeShade="FF"/>
          <w:sz w:val="22"/>
          <w:szCs w:val="22"/>
          <w:lang w:val="en-US"/>
        </w:rPr>
        <w:t>The report concludes that successful management of these issues requires line managers to take ownership of people practices, supported by clear communication, monitoring, and development. Recommendations include expanding accessible training, improving career pathways, embedding DEI into leadership objectives, and strengthening people management capabilities across the business.</w:t>
      </w:r>
    </w:p>
    <w:p w:rsidR="5D9D7041" w:rsidP="5D9D7041" w:rsidRDefault="5D9D7041" w14:paraId="50A3CE63" w14:textId="6DF1E0B1">
      <w:pPr>
        <w:rPr>
          <w:rFonts w:ascii="Arial" w:hAnsi="Arial" w:eastAsia="Arial" w:cs="Arial"/>
          <w:sz w:val="22"/>
          <w:szCs w:val="22"/>
        </w:rPr>
      </w:pPr>
    </w:p>
    <w:p w:rsidR="5BA6E137" w:rsidP="5D9D7041" w:rsidRDefault="5BA6E137" w14:paraId="174DC476" w14:textId="373B1481">
      <w:pPr>
        <w:pStyle w:val="Heading2"/>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5BA6E137">
        <w:rPr>
          <w:rFonts w:ascii="Arial" w:hAnsi="Arial" w:eastAsia="Arial" w:cs="Arial"/>
          <w:b w:val="0"/>
          <w:bCs w:val="0"/>
          <w:i w:val="0"/>
          <w:iCs w:val="0"/>
          <w:noProof w:val="0"/>
          <w:color w:val="000000" w:themeColor="text1" w:themeTint="FF" w:themeShade="FF"/>
          <w:sz w:val="22"/>
          <w:szCs w:val="22"/>
          <w:lang w:val="en-US"/>
        </w:rPr>
        <w:t>1.0 Introduction</w:t>
      </w:r>
    </w:p>
    <w:p w:rsidR="5BA6E137" w:rsidP="5D9D7041" w:rsidRDefault="5BA6E137" w14:paraId="77762D7C" w14:textId="42104064">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5BA6E137">
        <w:rPr>
          <w:rFonts w:ascii="Arial" w:hAnsi="Arial" w:eastAsia="Arial" w:cs="Arial"/>
          <w:b w:val="0"/>
          <w:bCs w:val="0"/>
          <w:i w:val="0"/>
          <w:iCs w:val="0"/>
          <w:noProof w:val="0"/>
          <w:color w:val="000000" w:themeColor="text1" w:themeTint="FF" w:themeShade="FF"/>
          <w:sz w:val="22"/>
          <w:szCs w:val="22"/>
          <w:lang w:val="en-US"/>
        </w:rPr>
        <w:t>Marks &amp; Spencer (M&amp;S) is one of the United Kingdom’s most established and recognisable retail organisations, founded in 1884. It operates over 1,000 stores across the UK and international markets, supported by a rapidly expanding digital and e-commerce infrastructure. As of 2026, the company employs approximately 65,000 people, making its workforce central to delivering high-quality customer service, maintaining brand reputation, and driving sustainable growth.</w:t>
      </w:r>
    </w:p>
    <w:p w:rsidR="5BA6E137" w:rsidP="5D9D7041" w:rsidRDefault="5BA6E137" w14:paraId="3C3586E8" w14:textId="635F50D3">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5BA6E137">
        <w:rPr>
          <w:rFonts w:ascii="Arial" w:hAnsi="Arial" w:eastAsia="Arial" w:cs="Arial"/>
          <w:b w:val="0"/>
          <w:bCs w:val="0"/>
          <w:i w:val="0"/>
          <w:iCs w:val="0"/>
          <w:noProof w:val="0"/>
          <w:color w:val="000000" w:themeColor="text1" w:themeTint="FF" w:themeShade="FF"/>
          <w:sz w:val="22"/>
          <w:szCs w:val="22"/>
          <w:lang w:val="en-US"/>
        </w:rPr>
        <w:t>In today’s dynamic business environment, Human Resource (HR) departments face growing pressures arising from rapid technological evolution, an increasingly competitive labour market, and rising expectations regarding Diversity, Equity, and Inclusion (DEI). These factors do not exist in isolation; they directly influence organisational performance, employee engagement, and long-term viability.</w:t>
      </w:r>
    </w:p>
    <w:p w:rsidR="5BA6E137" w:rsidP="5D9D7041" w:rsidRDefault="5BA6E137" w14:paraId="1A7B1B9C" w14:textId="750BFF6C">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5BA6E137">
        <w:rPr>
          <w:rFonts w:ascii="Arial" w:hAnsi="Arial" w:eastAsia="Arial" w:cs="Arial"/>
          <w:b w:val="0"/>
          <w:bCs w:val="0"/>
          <w:i w:val="0"/>
          <w:iCs w:val="0"/>
          <w:noProof w:val="0"/>
          <w:color w:val="000000" w:themeColor="text1" w:themeTint="FF" w:themeShade="FF"/>
          <w:sz w:val="22"/>
          <w:szCs w:val="22"/>
          <w:lang w:val="en-US"/>
        </w:rPr>
        <w:t>The purpose of this report is to analyse three key contemporary HR challenges facing Marks &amp; Spencer: adapting to technological advancements, talent acquisition and retention, and the advancement of DEI. It will evaluate relevant HR practices, critically assess how line managers can implement these effectively, and provide evidence-based recommendations. The analysis draws upon academic theory, professional research from the Chartered Institute of Personnel and Development (CIPD), and public disclosures from the organisation itself.</w:t>
      </w:r>
    </w:p>
    <w:p w:rsidR="76C4AABE" w:rsidP="5D9D7041" w:rsidRDefault="76C4AABE" w14:paraId="7D3D295A" w14:textId="23C4890E">
      <w:pPr>
        <w:pStyle w:val="Heading2"/>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76C4AABE">
        <w:rPr>
          <w:rFonts w:ascii="Arial" w:hAnsi="Arial" w:eastAsia="Arial" w:cs="Arial"/>
          <w:b w:val="0"/>
          <w:bCs w:val="0"/>
          <w:i w:val="0"/>
          <w:iCs w:val="0"/>
          <w:noProof w:val="0"/>
          <w:color w:val="000000" w:themeColor="text1" w:themeTint="FF" w:themeShade="FF"/>
          <w:sz w:val="22"/>
          <w:szCs w:val="22"/>
          <w:lang w:val="en-US"/>
        </w:rPr>
        <w:t>2.0 Explanation of Key Factors</w:t>
      </w:r>
      <w:r w:rsidRPr="5D9D7041" w:rsidR="76C4AABE">
        <w:rPr>
          <w:rFonts w:ascii="Arial" w:hAnsi="Arial" w:eastAsia="Arial" w:cs="Arial"/>
          <w:b w:val="0"/>
          <w:bCs w:val="0"/>
          <w:i w:val="0"/>
          <w:iCs w:val="0"/>
          <w:noProof w:val="0"/>
          <w:color w:val="000000" w:themeColor="text1" w:themeTint="FF" w:themeShade="FF"/>
          <w:sz w:val="22"/>
          <w:szCs w:val="22"/>
          <w:lang w:val="en-US"/>
        </w:rPr>
        <w:t xml:space="preserve"> 3.0 Evaluation of Contemporary HR Practices</w:t>
      </w:r>
    </w:p>
    <w:p w:rsidR="76C4AABE" w:rsidP="5D9D7041" w:rsidRDefault="76C4AABE" w14:paraId="205088EE" w14:textId="05BE7A61">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76C4AABE">
        <w:rPr>
          <w:rFonts w:ascii="Arial" w:hAnsi="Arial" w:eastAsia="Arial" w:cs="Arial"/>
          <w:b w:val="0"/>
          <w:bCs w:val="0"/>
          <w:i w:val="0"/>
          <w:iCs w:val="0"/>
          <w:noProof w:val="0"/>
          <w:color w:val="000000" w:themeColor="text1" w:themeTint="FF" w:themeShade="FF"/>
          <w:sz w:val="22"/>
          <w:szCs w:val="22"/>
          <w:lang w:val="en-US"/>
        </w:rPr>
        <w:t>2.1 Adapting to Technological Advancements</w:t>
      </w:r>
    </w:p>
    <w:p w:rsidR="76C4AABE" w:rsidP="5D9D7041" w:rsidRDefault="76C4AABE" w14:paraId="37AAC718" w14:textId="5C1E558A">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76C4AABE">
        <w:rPr>
          <w:rFonts w:ascii="Arial" w:hAnsi="Arial" w:eastAsia="Arial" w:cs="Arial"/>
          <w:b w:val="0"/>
          <w:bCs w:val="0"/>
          <w:i w:val="0"/>
          <w:iCs w:val="0"/>
          <w:noProof w:val="0"/>
          <w:color w:val="000000" w:themeColor="text1" w:themeTint="FF" w:themeShade="FF"/>
          <w:sz w:val="22"/>
          <w:szCs w:val="22"/>
          <w:lang w:val="en-US"/>
        </w:rPr>
        <w:t xml:space="preserve">The retail sector has experienced a profound digital transformation, accelerated by the COVID-19 pandemic and shifting consumer expectations for convenience and speed. For M&amp;S, this transformation involves the integration of advanced inventory systems, artificial intelligence (AI) for demand forecasting, self-service checkout technology, and sophisticated online retail platforms. According to </w:t>
      </w:r>
      <w:r w:rsidRPr="5D9D7041" w:rsidR="76C4AABE">
        <w:rPr>
          <w:rFonts w:ascii="Arial" w:hAnsi="Arial" w:eastAsia="Arial" w:cs="Arial"/>
          <w:b w:val="1"/>
          <w:bCs w:val="1"/>
          <w:i w:val="0"/>
          <w:iCs w:val="0"/>
          <w:noProof w:val="0"/>
          <w:color w:val="000000" w:themeColor="text1" w:themeTint="FF" w:themeShade="FF"/>
          <w:sz w:val="22"/>
          <w:szCs w:val="22"/>
          <w:lang w:val="en-US"/>
        </w:rPr>
        <w:t>Stone and Deadrick (2020)</w:t>
      </w:r>
      <w:r w:rsidRPr="5D9D7041" w:rsidR="76C4AABE">
        <w:rPr>
          <w:rFonts w:ascii="Arial" w:hAnsi="Arial" w:eastAsia="Arial" w:cs="Arial"/>
          <w:b w:val="0"/>
          <w:bCs w:val="0"/>
          <w:i w:val="0"/>
          <w:iCs w:val="0"/>
          <w:noProof w:val="0"/>
          <w:color w:val="000000" w:themeColor="text1" w:themeTint="FF" w:themeShade="FF"/>
          <w:sz w:val="22"/>
          <w:szCs w:val="22"/>
          <w:lang w:val="en-US"/>
        </w:rPr>
        <w:t>, technological change presents a dual-edged challenge: while it improves operational efficiency, it also alters job roles and requires employees to acquire new competencies.</w:t>
      </w:r>
    </w:p>
    <w:p w:rsidR="76C4AABE" w:rsidP="5D9D7041" w:rsidRDefault="76C4AABE" w14:paraId="6462CA1A" w14:textId="4406F865">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76C4AABE">
        <w:rPr>
          <w:rFonts w:ascii="Arial" w:hAnsi="Arial" w:eastAsia="Arial" w:cs="Arial"/>
          <w:b w:val="0"/>
          <w:bCs w:val="0"/>
          <w:i w:val="0"/>
          <w:iCs w:val="0"/>
          <w:noProof w:val="0"/>
          <w:color w:val="000000" w:themeColor="text1" w:themeTint="FF" w:themeShade="FF"/>
          <w:sz w:val="22"/>
          <w:szCs w:val="22"/>
          <w:lang w:val="en-US"/>
        </w:rPr>
        <w:t>At M&amp;S, the introduction of handheld digital devices for stock management and cloud-based HR Information Systems (HRIS) has streamlined administrative tasks. However, this shift creates significant HR challenges. Existing employees may lack sufficient digital literacy, leading to skill gaps that can reduce productivity and increase work-related anxiety. If these changes are not managed appropriately, the organisation risks lower employee confidence, slower service delivery, and reduced competitiveness. Conversely, successful adaptation allows staff to focus on higher-value customer interactions, reduces operational costs, and strengthens the company’s ability to respond to market changes—thereby supporting long-term sustainability and performance.</w:t>
      </w:r>
    </w:p>
    <w:p w:rsidR="76C4AABE" w:rsidP="5D9D7041" w:rsidRDefault="76C4AABE" w14:paraId="4537139F" w14:textId="0AF69435">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76C4AABE">
        <w:rPr>
          <w:rFonts w:ascii="Arial" w:hAnsi="Arial" w:eastAsia="Arial" w:cs="Arial"/>
          <w:b w:val="0"/>
          <w:bCs w:val="0"/>
          <w:i w:val="0"/>
          <w:iCs w:val="0"/>
          <w:noProof w:val="0"/>
          <w:color w:val="000000" w:themeColor="text1" w:themeTint="FF" w:themeShade="FF"/>
          <w:sz w:val="22"/>
          <w:szCs w:val="22"/>
          <w:lang w:val="en-US"/>
        </w:rPr>
        <w:t>2.2 Talent Acquisition and Retention</w:t>
      </w:r>
    </w:p>
    <w:p w:rsidR="76C4AABE" w:rsidP="5D9D7041" w:rsidRDefault="76C4AABE" w14:paraId="1695B54D" w14:textId="66A21504">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76C4AABE">
        <w:rPr>
          <w:rFonts w:ascii="Arial" w:hAnsi="Arial" w:eastAsia="Arial" w:cs="Arial"/>
          <w:b w:val="0"/>
          <w:bCs w:val="0"/>
          <w:i w:val="0"/>
          <w:iCs w:val="0"/>
          <w:noProof w:val="0"/>
          <w:color w:val="000000" w:themeColor="text1" w:themeTint="FF" w:themeShade="FF"/>
          <w:sz w:val="22"/>
          <w:szCs w:val="22"/>
          <w:lang w:val="en-US"/>
        </w:rPr>
        <w:t xml:space="preserve">The UK labour market has become increasingly competitive, with the retail sector consistently facing higher turnover rates than other industries. </w:t>
      </w:r>
      <w:r w:rsidRPr="5D9D7041" w:rsidR="76C4AABE">
        <w:rPr>
          <w:rFonts w:ascii="Arial" w:hAnsi="Arial" w:eastAsia="Arial" w:cs="Arial"/>
          <w:b w:val="1"/>
          <w:bCs w:val="1"/>
          <w:i w:val="0"/>
          <w:iCs w:val="0"/>
          <w:noProof w:val="0"/>
          <w:color w:val="000000" w:themeColor="text1" w:themeTint="FF" w:themeShade="FF"/>
          <w:sz w:val="22"/>
          <w:szCs w:val="22"/>
          <w:lang w:val="en-US"/>
        </w:rPr>
        <w:t>CIPD (2025)</w:t>
      </w:r>
      <w:r w:rsidRPr="5D9D7041" w:rsidR="76C4AABE">
        <w:rPr>
          <w:rFonts w:ascii="Arial" w:hAnsi="Arial" w:eastAsia="Arial" w:cs="Arial"/>
          <w:b w:val="0"/>
          <w:bCs w:val="0"/>
          <w:i w:val="0"/>
          <w:iCs w:val="0"/>
          <w:noProof w:val="0"/>
          <w:color w:val="000000" w:themeColor="text1" w:themeTint="FF" w:themeShade="FF"/>
          <w:sz w:val="22"/>
          <w:szCs w:val="22"/>
          <w:lang w:val="en-US"/>
        </w:rPr>
        <w:t xml:space="preserve"> reports that factors such as wage competition, unsociable shift patterns, and limited perceived career progression contribute to difficulties in attracting and keeping staff. For M&amp;S, this challenge is amplified by the need for two distinct types of talent: frontline operational employees and skilled professionals in digital technology, logistics, and sustainability.</w:t>
      </w:r>
    </w:p>
    <w:p w:rsidR="76C4AABE" w:rsidP="5D9D7041" w:rsidRDefault="76C4AABE" w14:paraId="3CAFF192" w14:textId="4F40CA77">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76C4AABE">
        <w:rPr>
          <w:rFonts w:ascii="Arial" w:hAnsi="Arial" w:eastAsia="Arial" w:cs="Arial"/>
          <w:b w:val="0"/>
          <w:bCs w:val="0"/>
          <w:i w:val="0"/>
          <w:iCs w:val="0"/>
          <w:noProof w:val="0"/>
          <w:color w:val="000000" w:themeColor="text1" w:themeTint="FF" w:themeShade="FF"/>
          <w:sz w:val="22"/>
          <w:szCs w:val="22"/>
          <w:lang w:val="en-US"/>
        </w:rPr>
        <w:t xml:space="preserve">Research by </w:t>
      </w:r>
      <w:r w:rsidRPr="5D9D7041" w:rsidR="76C4AABE">
        <w:rPr>
          <w:rFonts w:ascii="Arial" w:hAnsi="Arial" w:eastAsia="Arial" w:cs="Arial"/>
          <w:b w:val="1"/>
          <w:bCs w:val="1"/>
          <w:i w:val="0"/>
          <w:iCs w:val="0"/>
          <w:noProof w:val="0"/>
          <w:color w:val="000000" w:themeColor="text1" w:themeTint="FF" w:themeShade="FF"/>
          <w:sz w:val="22"/>
          <w:szCs w:val="22"/>
          <w:lang w:val="en-US"/>
        </w:rPr>
        <w:t>Boxall and Purcell (2023)</w:t>
      </w:r>
      <w:r w:rsidRPr="5D9D7041" w:rsidR="76C4AABE">
        <w:rPr>
          <w:rFonts w:ascii="Arial" w:hAnsi="Arial" w:eastAsia="Arial" w:cs="Arial"/>
          <w:b w:val="0"/>
          <w:bCs w:val="0"/>
          <w:i w:val="0"/>
          <w:iCs w:val="0"/>
          <w:noProof w:val="0"/>
          <w:color w:val="000000" w:themeColor="text1" w:themeTint="FF" w:themeShade="FF"/>
          <w:sz w:val="22"/>
          <w:szCs w:val="22"/>
          <w:lang w:val="en-US"/>
        </w:rPr>
        <w:t xml:space="preserve"> demonstrates that high staff turnover imposes significant costs through recruitment, induction, and training expenses, while also disrupting team cohesion and customer relationships. When employees perceive limited opportunities for development or feel undervalued, their engagement levels decline, directly impacting productivity and service quality. Therefore, M&amp;S’s ability to secure and retain the right talent is not merely an administrative concern; it is a strategic requirement that underpins financial stability and the protection of its brand reputation.</w:t>
      </w:r>
    </w:p>
    <w:p w:rsidR="76C4AABE" w:rsidP="5D9D7041" w:rsidRDefault="76C4AABE" w14:paraId="79214D88" w14:textId="76F0E5B9">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76C4AABE">
        <w:rPr>
          <w:rFonts w:ascii="Arial" w:hAnsi="Arial" w:eastAsia="Arial" w:cs="Arial"/>
          <w:b w:val="0"/>
          <w:bCs w:val="0"/>
          <w:i w:val="0"/>
          <w:iCs w:val="0"/>
          <w:noProof w:val="0"/>
          <w:color w:val="000000" w:themeColor="text1" w:themeTint="FF" w:themeShade="FF"/>
          <w:sz w:val="22"/>
          <w:szCs w:val="22"/>
          <w:lang w:val="en-US"/>
        </w:rPr>
        <w:t>2.3 Diversity, Equity, and Inclusion (DEI)</w:t>
      </w:r>
    </w:p>
    <w:p w:rsidR="76C4AABE" w:rsidP="5D9D7041" w:rsidRDefault="76C4AABE" w14:paraId="4A6EA88D" w14:textId="37371C39">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76C4AABE">
        <w:rPr>
          <w:rFonts w:ascii="Arial" w:hAnsi="Arial" w:eastAsia="Arial" w:cs="Arial"/>
          <w:b w:val="0"/>
          <w:bCs w:val="0"/>
          <w:i w:val="0"/>
          <w:iCs w:val="0"/>
          <w:noProof w:val="0"/>
          <w:color w:val="000000" w:themeColor="text1" w:themeTint="FF" w:themeShade="FF"/>
          <w:sz w:val="22"/>
          <w:szCs w:val="22"/>
          <w:lang w:val="en-US"/>
        </w:rPr>
        <w:t xml:space="preserve">DEI has evolved from a corporate social responsibility initiative into a core strategic business priority. </w:t>
      </w:r>
      <w:r w:rsidRPr="5D9D7041" w:rsidR="76C4AABE">
        <w:rPr>
          <w:rFonts w:ascii="Arial" w:hAnsi="Arial" w:eastAsia="Arial" w:cs="Arial"/>
          <w:b w:val="1"/>
          <w:bCs w:val="1"/>
          <w:i w:val="0"/>
          <w:iCs w:val="0"/>
          <w:noProof w:val="0"/>
          <w:color w:val="000000" w:themeColor="text1" w:themeTint="FF" w:themeShade="FF"/>
          <w:sz w:val="22"/>
          <w:szCs w:val="22"/>
          <w:lang w:val="en-US"/>
        </w:rPr>
        <w:t>Roberson (2019)</w:t>
      </w:r>
      <w:r w:rsidRPr="5D9D7041" w:rsidR="76C4AABE">
        <w:rPr>
          <w:rFonts w:ascii="Arial" w:hAnsi="Arial" w:eastAsia="Arial" w:cs="Arial"/>
          <w:b w:val="0"/>
          <w:bCs w:val="0"/>
          <w:i w:val="0"/>
          <w:iCs w:val="0"/>
          <w:noProof w:val="0"/>
          <w:color w:val="000000" w:themeColor="text1" w:themeTint="FF" w:themeShade="FF"/>
          <w:sz w:val="22"/>
          <w:szCs w:val="22"/>
          <w:lang w:val="en-US"/>
        </w:rPr>
        <w:t xml:space="preserve"> asserts that diverse and inclusive organisations benefit from greater innovation, improved problem-solving capabilities, and a deeper understanding of varied customer demographics. In the UK, the Equality Act 2010 also imposes legal obligations to eliminate discrimination and foster fair treatment across all protected characteristics.</w:t>
      </w:r>
    </w:p>
    <w:p w:rsidR="76C4AABE" w:rsidP="5D9D7041" w:rsidRDefault="76C4AABE" w14:paraId="1D298B25" w14:textId="08FBBE20">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76C4AABE">
        <w:rPr>
          <w:rFonts w:ascii="Arial" w:hAnsi="Arial" w:eastAsia="Arial" w:cs="Arial"/>
          <w:b w:val="0"/>
          <w:bCs w:val="0"/>
          <w:i w:val="0"/>
          <w:iCs w:val="0"/>
          <w:noProof w:val="0"/>
          <w:color w:val="000000" w:themeColor="text1" w:themeTint="FF" w:themeShade="FF"/>
          <w:sz w:val="22"/>
          <w:szCs w:val="22"/>
          <w:lang w:val="en-US"/>
        </w:rPr>
        <w:t>While M&amp;S serves a diverse customer base and employs a workforce from varied backgrounds, internal analysis indicates gaps in representation—particularly at senior management levels, where women and ethnic minority groups remain underrepresented. There are also ongoing challenges regarding disability accessibility, flexible working provisions, and pay equity. Failure to address these issues can lead to higher employee grievances, reputational damage, and reduced engagement. Conversely, a robust DEI culture expands the available talent pool, enhances employee commitment, and ensures the organisation remains relevant and appealing to its diverse customer base, supporting sustainable growth.</w:t>
      </w:r>
    </w:p>
    <w:p w:rsidR="76C4AABE" w:rsidP="5D9D7041" w:rsidRDefault="76C4AABE" w14:paraId="32CF54D4" w14:textId="4AC0F4FD">
      <w:pPr>
        <w:pStyle w:val="Heading2"/>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76C4AABE">
        <w:rPr>
          <w:rFonts w:ascii="Arial" w:hAnsi="Arial" w:eastAsia="Arial" w:cs="Arial"/>
          <w:b w:val="0"/>
          <w:bCs w:val="0"/>
          <w:i w:val="0"/>
          <w:iCs w:val="0"/>
          <w:noProof w:val="0"/>
          <w:color w:val="000000" w:themeColor="text1" w:themeTint="FF" w:themeShade="FF"/>
          <w:sz w:val="22"/>
          <w:szCs w:val="22"/>
          <w:lang w:val="en-US"/>
        </w:rPr>
        <w:t>3.0 Evaluation of Contemporary HR Practices</w:t>
      </w:r>
    </w:p>
    <w:p w:rsidR="402995EB" w:rsidP="5D9D7041" w:rsidRDefault="402995EB" w14:paraId="046BFF0B" w14:textId="2C7FA97A">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402995EB">
        <w:rPr>
          <w:rFonts w:ascii="Arial" w:hAnsi="Arial" w:eastAsia="Arial" w:cs="Arial"/>
          <w:b w:val="0"/>
          <w:bCs w:val="0"/>
          <w:i w:val="0"/>
          <w:iCs w:val="0"/>
          <w:noProof w:val="0"/>
          <w:color w:val="000000" w:themeColor="text1" w:themeTint="FF" w:themeShade="FF"/>
          <w:sz w:val="22"/>
          <w:szCs w:val="22"/>
          <w:lang w:val="en-US"/>
        </w:rPr>
        <w:t>3.1 Practices for Technological Adaptation</w:t>
      </w:r>
    </w:p>
    <w:p w:rsidR="402995EB" w:rsidP="5D9D7041" w:rsidRDefault="402995EB" w14:paraId="3AC3973A" w14:textId="1A31CDBF">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402995EB">
        <w:rPr>
          <w:rFonts w:ascii="Arial" w:hAnsi="Arial" w:eastAsia="Arial" w:cs="Arial"/>
          <w:b w:val="0"/>
          <w:bCs w:val="0"/>
          <w:i w:val="0"/>
          <w:iCs w:val="0"/>
          <w:noProof w:val="0"/>
          <w:color w:val="000000" w:themeColor="text1" w:themeTint="FF" w:themeShade="FF"/>
          <w:sz w:val="22"/>
          <w:szCs w:val="22"/>
          <w:lang w:val="en-US"/>
        </w:rPr>
        <w:t xml:space="preserve">To manage digital transformation, contemporary HR approaches include the implementation of integrated digital HR systems, workforce analytics, and structured upskilling programmes. </w:t>
      </w:r>
      <w:r w:rsidRPr="5D9D7041" w:rsidR="402995EB">
        <w:rPr>
          <w:rFonts w:ascii="Arial" w:hAnsi="Arial" w:eastAsia="Arial" w:cs="Arial"/>
          <w:b w:val="1"/>
          <w:bCs w:val="1"/>
          <w:i w:val="0"/>
          <w:iCs w:val="0"/>
          <w:noProof w:val="0"/>
          <w:color w:val="000000" w:themeColor="text1" w:themeTint="FF" w:themeShade="FF"/>
          <w:sz w:val="22"/>
          <w:szCs w:val="22"/>
          <w:lang w:val="en-US"/>
        </w:rPr>
        <w:t>Boudreau and Ramstad (2021)</w:t>
      </w:r>
      <w:r w:rsidRPr="5D9D7041" w:rsidR="402995EB">
        <w:rPr>
          <w:rFonts w:ascii="Arial" w:hAnsi="Arial" w:eastAsia="Arial" w:cs="Arial"/>
          <w:b w:val="0"/>
          <w:bCs w:val="0"/>
          <w:i w:val="0"/>
          <w:iCs w:val="0"/>
          <w:noProof w:val="0"/>
          <w:color w:val="000000" w:themeColor="text1" w:themeTint="FF" w:themeShade="FF"/>
          <w:sz w:val="22"/>
          <w:szCs w:val="22"/>
          <w:lang w:val="en-US"/>
        </w:rPr>
        <w:t xml:space="preserve"> argue that HR technology and analytics provide data-driven insights to identify skill gaps and measure training effectiveness, allowing organisations to align workforce capabilities with business needs.</w:t>
      </w:r>
    </w:p>
    <w:p w:rsidR="402995EB" w:rsidP="5D9D7041" w:rsidRDefault="402995EB" w14:paraId="6B824996" w14:textId="6589384B">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402995EB">
        <w:rPr>
          <w:rFonts w:ascii="Arial" w:hAnsi="Arial" w:eastAsia="Arial" w:cs="Arial"/>
          <w:b w:val="0"/>
          <w:bCs w:val="0"/>
          <w:i w:val="0"/>
          <w:iCs w:val="0"/>
          <w:noProof w:val="0"/>
          <w:color w:val="000000" w:themeColor="text1" w:themeTint="FF" w:themeShade="FF"/>
          <w:sz w:val="22"/>
          <w:szCs w:val="22"/>
          <w:lang w:val="en-US"/>
        </w:rPr>
        <w:t xml:space="preserve">M&amp;S has invested in a centralised digital HR platform that enables employees to access training, manage personal data, and request leave independently. This reduces administrative overhead and improves transparency. However, this approach has limitations. </w:t>
      </w:r>
      <w:r w:rsidRPr="5D9D7041" w:rsidR="402995EB">
        <w:rPr>
          <w:rFonts w:ascii="Arial" w:hAnsi="Arial" w:eastAsia="Arial" w:cs="Arial"/>
          <w:b w:val="1"/>
          <w:bCs w:val="1"/>
          <w:i w:val="0"/>
          <w:iCs w:val="0"/>
          <w:noProof w:val="0"/>
          <w:color w:val="000000" w:themeColor="text1" w:themeTint="FF" w:themeShade="FF"/>
          <w:sz w:val="22"/>
          <w:szCs w:val="22"/>
          <w:lang w:val="en-US"/>
        </w:rPr>
        <w:t>CIPD (2024)</w:t>
      </w:r>
      <w:r w:rsidRPr="5D9D7041" w:rsidR="402995EB">
        <w:rPr>
          <w:rFonts w:ascii="Arial" w:hAnsi="Arial" w:eastAsia="Arial" w:cs="Arial"/>
          <w:b w:val="0"/>
          <w:bCs w:val="0"/>
          <w:i w:val="0"/>
          <w:iCs w:val="0"/>
          <w:noProof w:val="0"/>
          <w:color w:val="000000" w:themeColor="text1" w:themeTint="FF" w:themeShade="FF"/>
          <w:sz w:val="22"/>
          <w:szCs w:val="22"/>
          <w:lang w:val="en-US"/>
        </w:rPr>
        <w:t xml:space="preserve"> notes that self-service systems can disadvantage employees with limited digital access or confidence, potentially creating feelings of exclusion. M&amp;S’s “Digital Skills for All” training initiative addresses this gap, but its effectiveness depends on continuous support rather than one-off sessions. While these practices improve operational agility, their implementation requires significant financial investment and time, which may pose short-term constraints.</w:t>
      </w:r>
    </w:p>
    <w:p w:rsidR="402995EB" w:rsidP="5D9D7041" w:rsidRDefault="402995EB" w14:paraId="21E09F2E" w14:textId="5B30C702">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402995EB">
        <w:rPr>
          <w:rFonts w:ascii="Arial" w:hAnsi="Arial" w:eastAsia="Arial" w:cs="Arial"/>
          <w:b w:val="0"/>
          <w:bCs w:val="0"/>
          <w:i w:val="0"/>
          <w:iCs w:val="0"/>
          <w:noProof w:val="0"/>
          <w:color w:val="000000" w:themeColor="text1" w:themeTint="FF" w:themeShade="FF"/>
          <w:sz w:val="22"/>
          <w:szCs w:val="22"/>
          <w:lang w:val="en-US"/>
        </w:rPr>
        <w:t>3.2 Practices for Talent Acquisition and Retention</w:t>
      </w:r>
    </w:p>
    <w:p w:rsidR="402995EB" w:rsidP="5D9D7041" w:rsidRDefault="402995EB" w14:paraId="345392BA" w14:textId="314125CA">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402995EB">
        <w:rPr>
          <w:rFonts w:ascii="Arial" w:hAnsi="Arial" w:eastAsia="Arial" w:cs="Arial"/>
          <w:b w:val="0"/>
          <w:bCs w:val="0"/>
          <w:i w:val="0"/>
          <w:iCs w:val="0"/>
          <w:noProof w:val="0"/>
          <w:color w:val="000000" w:themeColor="text1" w:themeTint="FF" w:themeShade="FF"/>
          <w:sz w:val="22"/>
          <w:szCs w:val="22"/>
          <w:lang w:val="en-US"/>
        </w:rPr>
        <w:t xml:space="preserve">Strategic workforce planning and employer branding are widely regarded as effective solutions to recruitment and retention challenges. </w:t>
      </w:r>
      <w:r w:rsidRPr="5D9D7041" w:rsidR="402995EB">
        <w:rPr>
          <w:rFonts w:ascii="Arial" w:hAnsi="Arial" w:eastAsia="Arial" w:cs="Arial"/>
          <w:b w:val="1"/>
          <w:bCs w:val="1"/>
          <w:i w:val="0"/>
          <w:iCs w:val="0"/>
          <w:noProof w:val="0"/>
          <w:color w:val="000000" w:themeColor="text1" w:themeTint="FF" w:themeShade="FF"/>
          <w:sz w:val="22"/>
          <w:szCs w:val="22"/>
          <w:lang w:val="en-US"/>
        </w:rPr>
        <w:t>Ulrich et al. (2022)</w:t>
      </w:r>
      <w:r w:rsidRPr="5D9D7041" w:rsidR="402995EB">
        <w:rPr>
          <w:rFonts w:ascii="Arial" w:hAnsi="Arial" w:eastAsia="Arial" w:cs="Arial"/>
          <w:b w:val="0"/>
          <w:bCs w:val="0"/>
          <w:i w:val="0"/>
          <w:iCs w:val="0"/>
          <w:noProof w:val="0"/>
          <w:color w:val="000000" w:themeColor="text1" w:themeTint="FF" w:themeShade="FF"/>
          <w:sz w:val="22"/>
          <w:szCs w:val="22"/>
          <w:lang w:val="en-US"/>
        </w:rPr>
        <w:t xml:space="preserve"> explain that aligning workforce planning with business objectives ensures the organisation has the right skills in place for future demands. M&amp;S uses its “Plan A” sustainability strategy as a key component of its employer brand, appealing to candidates motivated by ethical and environmental values.</w:t>
      </w:r>
    </w:p>
    <w:p w:rsidR="402995EB" w:rsidP="5D9D7041" w:rsidRDefault="402995EB" w14:paraId="443EDC0F" w14:textId="47244236">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402995EB">
        <w:rPr>
          <w:rFonts w:ascii="Arial" w:hAnsi="Arial" w:eastAsia="Arial" w:cs="Arial"/>
          <w:b w:val="0"/>
          <w:bCs w:val="0"/>
          <w:i w:val="0"/>
          <w:iCs w:val="0"/>
          <w:noProof w:val="0"/>
          <w:color w:val="000000" w:themeColor="text1" w:themeTint="FF" w:themeShade="FF"/>
          <w:sz w:val="22"/>
          <w:szCs w:val="22"/>
          <w:lang w:val="en-US"/>
        </w:rPr>
        <w:t xml:space="preserve">Retention strategies include flexible working arrangements, structured career pathways, and recognition schemes. However, </w:t>
      </w:r>
      <w:r w:rsidRPr="5D9D7041" w:rsidR="402995EB">
        <w:rPr>
          <w:rFonts w:ascii="Arial" w:hAnsi="Arial" w:eastAsia="Arial" w:cs="Arial"/>
          <w:b w:val="1"/>
          <w:bCs w:val="1"/>
          <w:i w:val="0"/>
          <w:iCs w:val="0"/>
          <w:noProof w:val="0"/>
          <w:color w:val="000000" w:themeColor="text1" w:themeTint="FF" w:themeShade="FF"/>
          <w:sz w:val="22"/>
          <w:szCs w:val="22"/>
          <w:lang w:val="en-US"/>
        </w:rPr>
        <w:t>Armstrong and Taylor (2024)</w:t>
      </w:r>
      <w:r w:rsidRPr="5D9D7041" w:rsidR="402995EB">
        <w:rPr>
          <w:rFonts w:ascii="Arial" w:hAnsi="Arial" w:eastAsia="Arial" w:cs="Arial"/>
          <w:b w:val="0"/>
          <w:bCs w:val="0"/>
          <w:i w:val="0"/>
          <w:iCs w:val="0"/>
          <w:noProof w:val="0"/>
          <w:color w:val="000000" w:themeColor="text1" w:themeTint="FF" w:themeShade="FF"/>
          <w:sz w:val="22"/>
          <w:szCs w:val="22"/>
          <w:lang w:val="en-US"/>
        </w:rPr>
        <w:t xml:space="preserve"> caution that these measures must be equitable. A notable limitation at M&amp;S is that flexible working is often more accessible to office-based staff than to frontline retail employees, creating perceptions of inequality. Furthermore, while development frameworks exist, progression can be slow, which may deter ambitious staff. Without competitive remuneration packages, even strong branding and development opportunities may be insufficient to retain staff in a competitive labour market.</w:t>
      </w:r>
    </w:p>
    <w:p w:rsidR="402995EB" w:rsidP="5D9D7041" w:rsidRDefault="402995EB" w14:paraId="539ADB71" w14:textId="68B381B2">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402995EB">
        <w:rPr>
          <w:rFonts w:ascii="Arial" w:hAnsi="Arial" w:eastAsia="Arial" w:cs="Arial"/>
          <w:b w:val="0"/>
          <w:bCs w:val="0"/>
          <w:i w:val="0"/>
          <w:iCs w:val="0"/>
          <w:noProof w:val="0"/>
          <w:color w:val="000000" w:themeColor="text1" w:themeTint="FF" w:themeShade="FF"/>
          <w:sz w:val="22"/>
          <w:szCs w:val="22"/>
          <w:lang w:val="en-US"/>
        </w:rPr>
        <w:t>3.3 Practices for Diversity, Equity, and Inclusion</w:t>
      </w:r>
    </w:p>
    <w:p w:rsidR="402995EB" w:rsidP="5D9D7041" w:rsidRDefault="402995EB" w14:paraId="290B06B9" w14:textId="518119B8">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402995EB">
        <w:rPr>
          <w:rFonts w:ascii="Arial" w:hAnsi="Arial" w:eastAsia="Arial" w:cs="Arial"/>
          <w:b w:val="0"/>
          <w:bCs w:val="0"/>
          <w:i w:val="0"/>
          <w:iCs w:val="0"/>
          <w:noProof w:val="0"/>
          <w:color w:val="000000" w:themeColor="text1" w:themeTint="FF" w:themeShade="FF"/>
          <w:sz w:val="22"/>
          <w:szCs w:val="22"/>
          <w:lang w:val="en-US"/>
        </w:rPr>
        <w:t xml:space="preserve">Effective DEI strategies rely on inclusive recruitment processes, transparent policies, and leadership accountability. </w:t>
      </w:r>
      <w:r w:rsidRPr="5D9D7041" w:rsidR="402995EB">
        <w:rPr>
          <w:rFonts w:ascii="Arial" w:hAnsi="Arial" w:eastAsia="Arial" w:cs="Arial"/>
          <w:b w:val="1"/>
          <w:bCs w:val="1"/>
          <w:i w:val="0"/>
          <w:iCs w:val="0"/>
          <w:noProof w:val="0"/>
          <w:color w:val="000000" w:themeColor="text1" w:themeTint="FF" w:themeShade="FF"/>
          <w:sz w:val="22"/>
          <w:szCs w:val="22"/>
          <w:lang w:val="en-US"/>
        </w:rPr>
        <w:t>Dobbin and Kalev (2022)</w:t>
      </w:r>
      <w:r w:rsidRPr="5D9D7041" w:rsidR="402995EB">
        <w:rPr>
          <w:rFonts w:ascii="Arial" w:hAnsi="Arial" w:eastAsia="Arial" w:cs="Arial"/>
          <w:b w:val="0"/>
          <w:bCs w:val="0"/>
          <w:i w:val="0"/>
          <w:iCs w:val="0"/>
          <w:noProof w:val="0"/>
          <w:color w:val="000000" w:themeColor="text1" w:themeTint="FF" w:themeShade="FF"/>
          <w:sz w:val="22"/>
          <w:szCs w:val="22"/>
          <w:lang w:val="en-US"/>
        </w:rPr>
        <w:t xml:space="preserve"> found that passive policies alone have little impact; structural changes and visible leadership commitment are required.</w:t>
      </w:r>
    </w:p>
    <w:p w:rsidR="402995EB" w:rsidP="5D9D7041" w:rsidRDefault="402995EB" w14:paraId="6F6F6E7E" w14:textId="28381345">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402995EB">
        <w:rPr>
          <w:rFonts w:ascii="Arial" w:hAnsi="Arial" w:eastAsia="Arial" w:cs="Arial"/>
          <w:b w:val="0"/>
          <w:bCs w:val="0"/>
          <w:i w:val="0"/>
          <w:iCs w:val="0"/>
          <w:noProof w:val="0"/>
          <w:color w:val="000000" w:themeColor="text1" w:themeTint="FF" w:themeShade="FF"/>
          <w:sz w:val="22"/>
          <w:szCs w:val="22"/>
          <w:lang w:val="en-US"/>
        </w:rPr>
        <w:t xml:space="preserve">M&amp;S has introduced measures including blind recruitment screening, gender pay gap reporting, and mentoring schemes for underrepresented groups. These practices help reduce bias and widen the talent pool. However, critical evaluation shows that progress is gradual. </w:t>
      </w:r>
      <w:r w:rsidRPr="5D9D7041" w:rsidR="402995EB">
        <w:rPr>
          <w:rFonts w:ascii="Arial" w:hAnsi="Arial" w:eastAsia="Arial" w:cs="Arial"/>
          <w:b w:val="1"/>
          <w:bCs w:val="1"/>
          <w:i w:val="0"/>
          <w:iCs w:val="0"/>
          <w:noProof w:val="0"/>
          <w:color w:val="000000" w:themeColor="text1" w:themeTint="FF" w:themeShade="FF"/>
          <w:sz w:val="22"/>
          <w:szCs w:val="22"/>
          <w:lang w:val="en-US"/>
        </w:rPr>
        <w:t>Dobbin and Kalev (2022)</w:t>
      </w:r>
      <w:r w:rsidRPr="5D9D7041" w:rsidR="402995EB">
        <w:rPr>
          <w:rFonts w:ascii="Arial" w:hAnsi="Arial" w:eastAsia="Arial" w:cs="Arial"/>
          <w:b w:val="0"/>
          <w:bCs w:val="0"/>
          <w:i w:val="0"/>
          <w:iCs w:val="0"/>
          <w:noProof w:val="0"/>
          <w:color w:val="000000" w:themeColor="text1" w:themeTint="FF" w:themeShade="FF"/>
          <w:sz w:val="22"/>
          <w:szCs w:val="22"/>
          <w:lang w:val="en-US"/>
        </w:rPr>
        <w:t xml:space="preserve"> also warn that unconscious bias training, while common, yields limited long-term results unless supported by accountability mechanisms and cultural change. There is a risk of tokenism if policies are not embedded into daily operations. While these practices improve legal compliance and public perception, their full benefits will only be realised if they are consistently monitored and enforced.</w:t>
      </w:r>
    </w:p>
    <w:p w:rsidR="5D9D7041" w:rsidP="5D9D7041" w:rsidRDefault="5D9D7041" w14:paraId="129DCB08" w14:textId="667E7906">
      <w:pPr>
        <w:pStyle w:val="Normal"/>
        <w:rPr>
          <w:rFonts w:ascii="Arial" w:hAnsi="Arial" w:eastAsia="Arial" w:cs="Arial"/>
          <w:noProof w:val="0"/>
          <w:sz w:val="22"/>
          <w:szCs w:val="22"/>
          <w:lang w:val="en-US"/>
        </w:rPr>
      </w:pPr>
    </w:p>
    <w:p w:rsidR="26562981" w:rsidP="5D9D7041" w:rsidRDefault="26562981" w14:paraId="7D40EB8E" w14:textId="2A4E77A3">
      <w:pPr>
        <w:pStyle w:val="Heading2"/>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0"/>
          <w:bCs w:val="0"/>
          <w:i w:val="0"/>
          <w:iCs w:val="0"/>
          <w:noProof w:val="0"/>
          <w:color w:val="000000" w:themeColor="text1" w:themeTint="FF" w:themeShade="FF"/>
          <w:sz w:val="22"/>
          <w:szCs w:val="22"/>
          <w:lang w:val="en-US"/>
        </w:rPr>
        <w:t>4.0 Critical Evaluation of Managerial Implementation</w:t>
      </w:r>
    </w:p>
    <w:p w:rsidR="26562981" w:rsidP="5D9D7041" w:rsidRDefault="26562981" w14:paraId="5B39D9AD" w14:textId="01945537">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0"/>
          <w:bCs w:val="0"/>
          <w:i w:val="0"/>
          <w:iCs w:val="0"/>
          <w:noProof w:val="0"/>
          <w:color w:val="000000" w:themeColor="text1" w:themeTint="FF" w:themeShade="FF"/>
          <w:sz w:val="22"/>
          <w:szCs w:val="22"/>
          <w:lang w:val="en-US"/>
        </w:rPr>
        <w:t xml:space="preserve">The successful implementation of HR strategy depends largely on line managers, who act as the interface between organisational policy and employee experience. </w:t>
      </w:r>
      <w:r w:rsidRPr="5D9D7041" w:rsidR="26562981">
        <w:rPr>
          <w:rFonts w:ascii="Arial" w:hAnsi="Arial" w:eastAsia="Arial" w:cs="Arial"/>
          <w:b w:val="1"/>
          <w:bCs w:val="1"/>
          <w:i w:val="0"/>
          <w:iCs w:val="0"/>
          <w:noProof w:val="0"/>
          <w:color w:val="000000" w:themeColor="text1" w:themeTint="FF" w:themeShade="FF"/>
          <w:sz w:val="22"/>
          <w:szCs w:val="22"/>
          <w:lang w:val="en-US"/>
        </w:rPr>
        <w:t>Purcell and Hutchinson (2021)</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state that “line management behaviour is the most significant factor in determining how HR practices are perceived and experienced by employees.”</w:t>
      </w:r>
    </w:p>
    <w:p w:rsidR="26562981" w:rsidP="5D9D7041" w:rsidRDefault="26562981" w14:paraId="57026E62" w14:textId="0449722C">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0"/>
          <w:bCs w:val="0"/>
          <w:i w:val="0"/>
          <w:iCs w:val="0"/>
          <w:noProof w:val="0"/>
          <w:color w:val="000000" w:themeColor="text1" w:themeTint="FF" w:themeShade="FF"/>
          <w:sz w:val="22"/>
          <w:szCs w:val="22"/>
          <w:lang w:val="en-US"/>
        </w:rPr>
        <w:t>4.1 Leadership Accountability</w:t>
      </w:r>
    </w:p>
    <w:p w:rsidR="26562981" w:rsidP="5D9D7041" w:rsidRDefault="26562981" w14:paraId="74F2B4BF" w14:textId="0476BDFD">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0"/>
          <w:bCs w:val="0"/>
          <w:i w:val="0"/>
          <w:iCs w:val="0"/>
          <w:noProof w:val="0"/>
          <w:color w:val="000000" w:themeColor="text1" w:themeTint="FF" w:themeShade="FF"/>
          <w:sz w:val="22"/>
          <w:szCs w:val="22"/>
          <w:lang w:val="en-US"/>
        </w:rPr>
        <w:t xml:space="preserve">For change to be effective, managers must view HR priorities as their responsibility, not just the responsibility of the central HR department. At M&amp;S, assigning clear targets—such as reporting on digital skill development, staff turnover, and DEI representation—ensures ownership. However, a barrier exists: many managers are promoted based on operational results rather than their people management capabilities. </w:t>
      </w:r>
      <w:r w:rsidRPr="5D9D7041" w:rsidR="26562981">
        <w:rPr>
          <w:rFonts w:ascii="Arial" w:hAnsi="Arial" w:eastAsia="Arial" w:cs="Arial"/>
          <w:b w:val="1"/>
          <w:bCs w:val="1"/>
          <w:i w:val="0"/>
          <w:iCs w:val="0"/>
          <w:noProof w:val="0"/>
          <w:color w:val="000000" w:themeColor="text1" w:themeTint="FF" w:themeShade="FF"/>
          <w:sz w:val="22"/>
          <w:szCs w:val="22"/>
          <w:lang w:val="en-US"/>
        </w:rPr>
        <w:t>CIPD (2025)</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highlights that without training in leadership and change management, managers may lack the confidence or knowledge to implement new initiatives effectively. This can be resolved by integrating people management outcomes into formal performance reviews, giving them equal weight to financial or sales targets.</w:t>
      </w:r>
    </w:p>
    <w:p w:rsidR="26562981" w:rsidP="5D9D7041" w:rsidRDefault="26562981" w14:paraId="7D20067C" w14:textId="762566A9">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0"/>
          <w:bCs w:val="0"/>
          <w:i w:val="0"/>
          <w:iCs w:val="0"/>
          <w:noProof w:val="0"/>
          <w:color w:val="000000" w:themeColor="text1" w:themeTint="FF" w:themeShade="FF"/>
          <w:sz w:val="22"/>
          <w:szCs w:val="22"/>
          <w:lang w:val="en-US"/>
        </w:rPr>
        <w:t>4.2 Communication Strategies</w:t>
      </w:r>
    </w:p>
    <w:p w:rsidR="26562981" w:rsidP="5D9D7041" w:rsidRDefault="26562981" w14:paraId="51BD1E63" w14:textId="00A937D5">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0"/>
          <w:bCs w:val="0"/>
          <w:i w:val="0"/>
          <w:iCs w:val="0"/>
          <w:noProof w:val="0"/>
          <w:color w:val="000000" w:themeColor="text1" w:themeTint="FF" w:themeShade="FF"/>
          <w:sz w:val="22"/>
          <w:szCs w:val="22"/>
          <w:lang w:val="en-US"/>
        </w:rPr>
        <w:t xml:space="preserve">Resistance to change often stems from uncertainty rather than opposition. </w:t>
      </w:r>
      <w:r w:rsidRPr="5D9D7041" w:rsidR="26562981">
        <w:rPr>
          <w:rFonts w:ascii="Arial" w:hAnsi="Arial" w:eastAsia="Arial" w:cs="Arial"/>
          <w:b w:val="1"/>
          <w:bCs w:val="1"/>
          <w:i w:val="0"/>
          <w:iCs w:val="0"/>
          <w:noProof w:val="0"/>
          <w:color w:val="000000" w:themeColor="text1" w:themeTint="FF" w:themeShade="FF"/>
          <w:sz w:val="22"/>
          <w:szCs w:val="22"/>
          <w:lang w:val="en-US"/>
        </w:rPr>
        <w:t>Bratton and Gold (2022)</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note that effective communication must explain </w:t>
      </w:r>
      <w:r w:rsidRPr="5D9D7041" w:rsidR="26562981">
        <w:rPr>
          <w:rFonts w:ascii="Arial" w:hAnsi="Arial" w:eastAsia="Arial" w:cs="Arial"/>
          <w:b w:val="0"/>
          <w:bCs w:val="0"/>
          <w:i w:val="1"/>
          <w:iCs w:val="1"/>
          <w:noProof w:val="0"/>
          <w:color w:val="000000" w:themeColor="text1" w:themeTint="FF" w:themeShade="FF"/>
          <w:sz w:val="22"/>
          <w:szCs w:val="22"/>
          <w:lang w:val="en-US"/>
        </w:rPr>
        <w:t>why</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changes are being introduced, how they will benefit the employee, and provide channels for feedback. When rolling out new technology or policies, regular team briefings and question-and-answer sessions reduce anxiety. However, in an organisation as large and geographically dispersed as M&amp;S, information can become inconsistent. Using a mix of face-to-face meetings, digital updates, and written guidance ensures consistency and accessibility. Two-way communication builds trust and allows managers to address concerns before they escalate into significant barriers.</w:t>
      </w:r>
    </w:p>
    <w:p w:rsidR="26562981" w:rsidP="5D9D7041" w:rsidRDefault="26562981" w14:paraId="6B6ED072" w14:textId="05F98F4B">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0"/>
          <w:bCs w:val="0"/>
          <w:i w:val="0"/>
          <w:iCs w:val="0"/>
          <w:noProof w:val="0"/>
          <w:color w:val="000000" w:themeColor="text1" w:themeTint="FF" w:themeShade="FF"/>
          <w:sz w:val="22"/>
          <w:szCs w:val="22"/>
          <w:lang w:val="en-US"/>
        </w:rPr>
        <w:t>4.3 Monitoring, Measurement and Culture</w:t>
      </w:r>
    </w:p>
    <w:p w:rsidR="26562981" w:rsidP="5D9D7041" w:rsidRDefault="26562981" w14:paraId="347580D1" w14:textId="5CA0E9DE">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0"/>
          <w:bCs w:val="0"/>
          <w:i w:val="0"/>
          <w:iCs w:val="0"/>
          <w:noProof w:val="0"/>
          <w:color w:val="000000" w:themeColor="text1" w:themeTint="FF" w:themeShade="FF"/>
          <w:sz w:val="22"/>
          <w:szCs w:val="22"/>
          <w:lang w:val="en-US"/>
        </w:rPr>
        <w:t>To ensure practices deliver results, managers must use a balanced set of metrics. Quantitative data—such as digital competency scores, retention rates, and demographic representation—provides objective indicators of progress. However, this must be complemented by qualitative feedback from employee surveys and focus groups to understand the underlying reasons behind trends.</w:t>
      </w:r>
    </w:p>
    <w:p w:rsidR="26562981" w:rsidP="5D9D7041" w:rsidRDefault="26562981" w14:paraId="479FDB46" w14:textId="567A3011">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0"/>
          <w:bCs w:val="0"/>
          <w:i w:val="0"/>
          <w:iCs w:val="0"/>
          <w:noProof w:val="0"/>
          <w:color w:val="000000" w:themeColor="text1" w:themeTint="FF" w:themeShade="FF"/>
          <w:sz w:val="22"/>
          <w:szCs w:val="22"/>
          <w:lang w:val="en-US"/>
        </w:rPr>
        <w:t xml:space="preserve">Organisational culture acts as either an enabler or a barrier. </w:t>
      </w:r>
      <w:r w:rsidRPr="5D9D7041" w:rsidR="26562981">
        <w:rPr>
          <w:rFonts w:ascii="Arial" w:hAnsi="Arial" w:eastAsia="Arial" w:cs="Arial"/>
          <w:b w:val="1"/>
          <w:bCs w:val="1"/>
          <w:i w:val="0"/>
          <w:iCs w:val="0"/>
          <w:noProof w:val="0"/>
          <w:color w:val="000000" w:themeColor="text1" w:themeTint="FF" w:themeShade="FF"/>
          <w:sz w:val="22"/>
          <w:szCs w:val="22"/>
          <w:lang w:val="en-US"/>
        </w:rPr>
        <w:t>Schein (2020)</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explains that culture is defined by what leaders pay attention to, measure, and reward. If the dominant culture prioritises speed and sales over development and inclusion, new practices will be ignored. Common barriers include time constraints, resource limitations, and resistance to new ways of working. These can be overcome through phased implementation, allocating dedicated time for training, and sharing success stories across departments to demonstrate the value of change.</w:t>
      </w:r>
    </w:p>
    <w:p w:rsidR="5D9D7041" w:rsidP="5D9D7041" w:rsidRDefault="5D9D7041" w14:paraId="6E17F74E" w14:textId="40051C37">
      <w:pPr>
        <w:rPr>
          <w:rFonts w:ascii="Arial" w:hAnsi="Arial" w:eastAsia="Arial" w:cs="Arial"/>
          <w:sz w:val="22"/>
          <w:szCs w:val="22"/>
        </w:rPr>
      </w:pPr>
    </w:p>
    <w:p w:rsidR="26562981" w:rsidP="5D9D7041" w:rsidRDefault="26562981" w14:paraId="21EA4F49" w14:textId="021FC503">
      <w:pPr>
        <w:pStyle w:val="Heading2"/>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0"/>
          <w:bCs w:val="0"/>
          <w:i w:val="0"/>
          <w:iCs w:val="0"/>
          <w:noProof w:val="0"/>
          <w:color w:val="000000" w:themeColor="text1" w:themeTint="FF" w:themeShade="FF"/>
          <w:sz w:val="22"/>
          <w:szCs w:val="22"/>
          <w:lang w:val="en-US"/>
        </w:rPr>
        <w:t>5.0 Conclusion and Recommendations</w:t>
      </w:r>
    </w:p>
    <w:p w:rsidR="26562981" w:rsidP="5D9D7041" w:rsidRDefault="26562981" w14:paraId="07E6FC16" w14:textId="4AF36F0B">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0"/>
          <w:bCs w:val="0"/>
          <w:i w:val="0"/>
          <w:iCs w:val="0"/>
          <w:noProof w:val="0"/>
          <w:color w:val="000000" w:themeColor="text1" w:themeTint="FF" w:themeShade="FF"/>
          <w:sz w:val="22"/>
          <w:szCs w:val="22"/>
          <w:lang w:val="en-US"/>
        </w:rPr>
        <w:t>5.1 Conclusion</w:t>
      </w:r>
    </w:p>
    <w:p w:rsidR="26562981" w:rsidP="5D9D7041" w:rsidRDefault="26562981" w14:paraId="0702FC85" w14:textId="2A94FF86">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0"/>
          <w:bCs w:val="0"/>
          <w:i w:val="0"/>
          <w:iCs w:val="0"/>
          <w:noProof w:val="0"/>
          <w:color w:val="000000" w:themeColor="text1" w:themeTint="FF" w:themeShade="FF"/>
          <w:sz w:val="22"/>
          <w:szCs w:val="22"/>
          <w:lang w:val="en-US"/>
        </w:rPr>
        <w:t>This report has analysed three key HR challenges facing Marks &amp; Spencer: adapting to technological change, managing talent acquisition and retention, and advancing Diversity, Equity, and Inclusion. It is evident that these issues are interconnected; investment in skills and inclusive cultures improves retention, while stable staffing levels facilitate smoother digital transformation.</w:t>
      </w:r>
    </w:p>
    <w:p w:rsidR="26562981" w:rsidP="5D9D7041" w:rsidRDefault="26562981" w14:paraId="34BE8B3E" w14:textId="3DEE2180">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0"/>
          <w:bCs w:val="0"/>
          <w:i w:val="0"/>
          <w:iCs w:val="0"/>
          <w:noProof w:val="0"/>
          <w:color w:val="000000" w:themeColor="text1" w:themeTint="FF" w:themeShade="FF"/>
          <w:sz w:val="22"/>
          <w:szCs w:val="22"/>
          <w:lang w:val="en-US"/>
        </w:rPr>
        <w:t>M&amp;S has introduced relevant contemporary HR practices, including digital training, strategic workforce planning, and inclusive policies. However, their effectiveness is limited by inconsistencies in implementation, perceptions of inequality, and the time required for cultural change. Ultimately, the success of these strategies depends on strong leadership, clear communication, and consistent monitoring. When implemented well, these approaches will improve employee engagement, reduce operational costs, and support the long-term sustainability of the organisation.</w:t>
      </w:r>
    </w:p>
    <w:p w:rsidR="26562981" w:rsidP="5D9D7041" w:rsidRDefault="26562981" w14:paraId="4DFBCD46" w14:textId="34B86CF9">
      <w:pPr>
        <w:pStyle w:val="Heading3"/>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0"/>
          <w:bCs w:val="0"/>
          <w:i w:val="0"/>
          <w:iCs w:val="0"/>
          <w:noProof w:val="0"/>
          <w:color w:val="000000" w:themeColor="text1" w:themeTint="FF" w:themeShade="FF"/>
          <w:sz w:val="22"/>
          <w:szCs w:val="22"/>
          <w:lang w:val="en-US"/>
        </w:rPr>
        <w:t>5.2 Recommendations</w:t>
      </w:r>
    </w:p>
    <w:p w:rsidR="26562981" w:rsidP="5D9D7041" w:rsidRDefault="26562981" w14:paraId="2D9FBB9A" w14:textId="623A4271">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0"/>
          <w:bCs w:val="0"/>
          <w:i w:val="0"/>
          <w:iCs w:val="0"/>
          <w:noProof w:val="0"/>
          <w:color w:val="000000" w:themeColor="text1" w:themeTint="FF" w:themeShade="FF"/>
          <w:sz w:val="22"/>
          <w:szCs w:val="22"/>
          <w:lang w:val="en-US"/>
        </w:rPr>
        <w:t>Based on the analysis, the following recommendations are proposed:</w:t>
      </w:r>
    </w:p>
    <w:p w:rsidR="26562981" w:rsidP="5D9D7041" w:rsidRDefault="26562981" w14:paraId="20E0C073" w14:textId="669C60E1">
      <w:pPr>
        <w:pStyle w:val="ListParagraph"/>
        <w:numPr>
          <w:ilvl w:val="0"/>
          <w:numId w:val="2"/>
        </w:num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1"/>
          <w:bCs w:val="1"/>
          <w:i w:val="0"/>
          <w:iCs w:val="0"/>
          <w:noProof w:val="0"/>
          <w:color w:val="000000" w:themeColor="text1" w:themeTint="FF" w:themeShade="FF"/>
          <w:sz w:val="22"/>
          <w:szCs w:val="22"/>
          <w:lang w:val="en-US"/>
        </w:rPr>
        <w:t>Technological Adaptation:</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Provide ongoing, personalised support and training rather than one-off sessions. Ensure all digital tools are accessible and offer alternative support channels for those with limited digital skills.</w:t>
      </w:r>
    </w:p>
    <w:p w:rsidR="26562981" w:rsidP="5D9D7041" w:rsidRDefault="26562981" w14:paraId="5F61B2C2" w14:textId="6E94D2E4">
      <w:pPr>
        <w:pStyle w:val="ListParagraph"/>
        <w:numPr>
          <w:ilvl w:val="0"/>
          <w:numId w:val="2"/>
        </w:num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1"/>
          <w:bCs w:val="1"/>
          <w:i w:val="0"/>
          <w:iCs w:val="0"/>
          <w:noProof w:val="0"/>
          <w:color w:val="000000" w:themeColor="text1" w:themeTint="FF" w:themeShade="FF"/>
          <w:sz w:val="22"/>
          <w:szCs w:val="22"/>
          <w:lang w:val="en-US"/>
        </w:rPr>
        <w:t>Talent Management:</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Review and clarify career progression pathways for frontline staff. Introduce fair reward structures and explore ways to extend flexible working options without compromising operational efficiency.</w:t>
      </w:r>
    </w:p>
    <w:p w:rsidR="26562981" w:rsidP="5D9D7041" w:rsidRDefault="26562981" w14:paraId="7C03D65C" w14:textId="52871394">
      <w:pPr>
        <w:pStyle w:val="ListParagraph"/>
        <w:numPr>
          <w:ilvl w:val="0"/>
          <w:numId w:val="2"/>
        </w:num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1"/>
          <w:bCs w:val="1"/>
          <w:i w:val="0"/>
          <w:iCs w:val="0"/>
          <w:noProof w:val="0"/>
          <w:color w:val="000000" w:themeColor="text1" w:themeTint="FF" w:themeShade="FF"/>
          <w:sz w:val="22"/>
          <w:szCs w:val="22"/>
          <w:lang w:val="en-US"/>
        </w:rPr>
        <w:t>DEI:</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Move beyond compliance by embedding inclusion into leadership responsibilities. Audit pay and promotion data regularly to identify gaps, and replace generic training with long-term accountability measures.</w:t>
      </w:r>
    </w:p>
    <w:p w:rsidR="26562981" w:rsidP="5D9D7041" w:rsidRDefault="26562981" w14:paraId="5E032444" w14:textId="66460EE4">
      <w:pPr>
        <w:pStyle w:val="ListParagraph"/>
        <w:numPr>
          <w:ilvl w:val="0"/>
          <w:numId w:val="2"/>
        </w:num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1"/>
          <w:bCs w:val="1"/>
          <w:i w:val="0"/>
          <w:iCs w:val="0"/>
          <w:noProof w:val="0"/>
          <w:color w:val="000000" w:themeColor="text1" w:themeTint="FF" w:themeShade="FF"/>
          <w:sz w:val="22"/>
          <w:szCs w:val="22"/>
          <w:lang w:val="en-US"/>
        </w:rPr>
        <w:t>Implementation:</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Provide line managers with specific training in change management and people leadership. Link HR outcomes to performance reviews and create feedback loops to adjust practices as required.</w:t>
      </w:r>
    </w:p>
    <w:p w:rsidR="5D9D7041" w:rsidP="5D9D7041" w:rsidRDefault="5D9D7041" w14:paraId="34DBBDF5" w14:textId="009078B2">
      <w:pPr>
        <w:rPr>
          <w:rFonts w:ascii="Arial" w:hAnsi="Arial" w:eastAsia="Arial" w:cs="Arial"/>
          <w:sz w:val="22"/>
          <w:szCs w:val="22"/>
        </w:rPr>
      </w:pPr>
    </w:p>
    <w:p w:rsidR="26562981" w:rsidP="5D9D7041" w:rsidRDefault="26562981" w14:paraId="7369CAC7" w14:textId="45050D59">
      <w:pPr>
        <w:pStyle w:val="Heading2"/>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0"/>
          <w:bCs w:val="0"/>
          <w:i w:val="0"/>
          <w:iCs w:val="0"/>
          <w:noProof w:val="0"/>
          <w:color w:val="000000" w:themeColor="text1" w:themeTint="FF" w:themeShade="FF"/>
          <w:sz w:val="22"/>
          <w:szCs w:val="22"/>
          <w:lang w:val="en-US"/>
        </w:rPr>
        <w:t>6.0 Reference List</w:t>
      </w:r>
    </w:p>
    <w:p w:rsidR="26562981" w:rsidP="5D9D7041" w:rsidRDefault="26562981" w14:paraId="327DAC65" w14:textId="561082E4">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1"/>
          <w:bCs w:val="1"/>
          <w:i w:val="0"/>
          <w:iCs w:val="0"/>
          <w:noProof w:val="0"/>
          <w:color w:val="000000" w:themeColor="text1" w:themeTint="FF" w:themeShade="FF"/>
          <w:sz w:val="22"/>
          <w:szCs w:val="22"/>
          <w:lang w:val="en-US"/>
        </w:rPr>
        <w:t>Armstrong, M. and Taylor, S. (2024)</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w:t>
      </w:r>
      <w:r w:rsidRPr="5D9D7041" w:rsidR="26562981">
        <w:rPr>
          <w:rFonts w:ascii="Arial" w:hAnsi="Arial" w:eastAsia="Arial" w:cs="Arial"/>
          <w:b w:val="0"/>
          <w:bCs w:val="0"/>
          <w:i w:val="1"/>
          <w:iCs w:val="1"/>
          <w:noProof w:val="0"/>
          <w:color w:val="000000" w:themeColor="text1" w:themeTint="FF" w:themeShade="FF"/>
          <w:sz w:val="22"/>
          <w:szCs w:val="22"/>
          <w:lang w:val="en-US"/>
        </w:rPr>
        <w:t>Armstrong’s Handbook of Human Resource Management Practice</w:t>
      </w:r>
      <w:r w:rsidRPr="5D9D7041" w:rsidR="26562981">
        <w:rPr>
          <w:rFonts w:ascii="Arial" w:hAnsi="Arial" w:eastAsia="Arial" w:cs="Arial"/>
          <w:b w:val="0"/>
          <w:bCs w:val="0"/>
          <w:i w:val="0"/>
          <w:iCs w:val="0"/>
          <w:noProof w:val="0"/>
          <w:color w:val="000000" w:themeColor="text1" w:themeTint="FF" w:themeShade="FF"/>
          <w:sz w:val="22"/>
          <w:szCs w:val="22"/>
          <w:lang w:val="en-US"/>
        </w:rPr>
        <w:t>. 16th ed. London: Kogan Page.</w:t>
      </w:r>
    </w:p>
    <w:p w:rsidR="26562981" w:rsidP="5D9D7041" w:rsidRDefault="26562981" w14:paraId="13D10140" w14:textId="1255CF8A">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1"/>
          <w:bCs w:val="1"/>
          <w:i w:val="0"/>
          <w:iCs w:val="0"/>
          <w:noProof w:val="0"/>
          <w:color w:val="000000" w:themeColor="text1" w:themeTint="FF" w:themeShade="FF"/>
          <w:sz w:val="22"/>
          <w:szCs w:val="22"/>
          <w:lang w:val="en-US"/>
        </w:rPr>
        <w:t>Boudreau, J.W. and Ramstad, P.M. (2021)</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w:t>
      </w:r>
      <w:r w:rsidRPr="5D9D7041" w:rsidR="26562981">
        <w:rPr>
          <w:rFonts w:ascii="Arial" w:hAnsi="Arial" w:eastAsia="Arial" w:cs="Arial"/>
          <w:b w:val="0"/>
          <w:bCs w:val="0"/>
          <w:i w:val="1"/>
          <w:iCs w:val="1"/>
          <w:noProof w:val="0"/>
          <w:color w:val="000000" w:themeColor="text1" w:themeTint="FF" w:themeShade="FF"/>
          <w:sz w:val="22"/>
          <w:szCs w:val="22"/>
          <w:lang w:val="en-US"/>
        </w:rPr>
        <w:t>Beyond HR: The New Science of Human Capital</w:t>
      </w:r>
      <w:r w:rsidRPr="5D9D7041" w:rsidR="26562981">
        <w:rPr>
          <w:rFonts w:ascii="Arial" w:hAnsi="Arial" w:eastAsia="Arial" w:cs="Arial"/>
          <w:b w:val="0"/>
          <w:bCs w:val="0"/>
          <w:i w:val="0"/>
          <w:iCs w:val="0"/>
          <w:noProof w:val="0"/>
          <w:color w:val="000000" w:themeColor="text1" w:themeTint="FF" w:themeShade="FF"/>
          <w:sz w:val="22"/>
          <w:szCs w:val="22"/>
          <w:lang w:val="en-US"/>
        </w:rPr>
        <w:t>. Boston: Harvard Business Review Press.</w:t>
      </w:r>
    </w:p>
    <w:p w:rsidR="26562981" w:rsidP="5D9D7041" w:rsidRDefault="26562981" w14:paraId="175DADDA" w14:textId="3069C231">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1"/>
          <w:bCs w:val="1"/>
          <w:i w:val="0"/>
          <w:iCs w:val="0"/>
          <w:noProof w:val="0"/>
          <w:color w:val="000000" w:themeColor="text1" w:themeTint="FF" w:themeShade="FF"/>
          <w:sz w:val="22"/>
          <w:szCs w:val="22"/>
          <w:lang w:val="en-US"/>
        </w:rPr>
        <w:t>Boxall, P. and Purcell, J. (2023)</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w:t>
      </w:r>
      <w:r w:rsidRPr="5D9D7041" w:rsidR="26562981">
        <w:rPr>
          <w:rFonts w:ascii="Arial" w:hAnsi="Arial" w:eastAsia="Arial" w:cs="Arial"/>
          <w:b w:val="0"/>
          <w:bCs w:val="0"/>
          <w:i w:val="1"/>
          <w:iCs w:val="1"/>
          <w:noProof w:val="0"/>
          <w:color w:val="000000" w:themeColor="text1" w:themeTint="FF" w:themeShade="FF"/>
          <w:sz w:val="22"/>
          <w:szCs w:val="22"/>
          <w:lang w:val="en-US"/>
        </w:rPr>
        <w:t>Strategy and Human Resource Management</w:t>
      </w:r>
      <w:r w:rsidRPr="5D9D7041" w:rsidR="26562981">
        <w:rPr>
          <w:rFonts w:ascii="Arial" w:hAnsi="Arial" w:eastAsia="Arial" w:cs="Arial"/>
          <w:b w:val="0"/>
          <w:bCs w:val="0"/>
          <w:i w:val="0"/>
          <w:iCs w:val="0"/>
          <w:noProof w:val="0"/>
          <w:color w:val="000000" w:themeColor="text1" w:themeTint="FF" w:themeShade="FF"/>
          <w:sz w:val="22"/>
          <w:szCs w:val="22"/>
          <w:lang w:val="en-US"/>
        </w:rPr>
        <w:t>. 5th ed. Basingstoke: Palgrave Macmillan.</w:t>
      </w:r>
    </w:p>
    <w:p w:rsidR="26562981" w:rsidP="5D9D7041" w:rsidRDefault="26562981" w14:paraId="4D23058D" w14:textId="4DDA2E1B">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1"/>
          <w:bCs w:val="1"/>
          <w:i w:val="0"/>
          <w:iCs w:val="0"/>
          <w:noProof w:val="0"/>
          <w:color w:val="000000" w:themeColor="text1" w:themeTint="FF" w:themeShade="FF"/>
          <w:sz w:val="22"/>
          <w:szCs w:val="22"/>
          <w:lang w:val="en-US"/>
        </w:rPr>
        <w:t>Bratton, J. and Gold, J. (2022)</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w:t>
      </w:r>
      <w:r w:rsidRPr="5D9D7041" w:rsidR="26562981">
        <w:rPr>
          <w:rFonts w:ascii="Arial" w:hAnsi="Arial" w:eastAsia="Arial" w:cs="Arial"/>
          <w:b w:val="0"/>
          <w:bCs w:val="0"/>
          <w:i w:val="1"/>
          <w:iCs w:val="1"/>
          <w:noProof w:val="0"/>
          <w:color w:val="000000" w:themeColor="text1" w:themeTint="FF" w:themeShade="FF"/>
          <w:sz w:val="22"/>
          <w:szCs w:val="22"/>
          <w:lang w:val="en-US"/>
        </w:rPr>
        <w:t>Human Resource Management: Theory and Practice</w:t>
      </w:r>
      <w:r w:rsidRPr="5D9D7041" w:rsidR="26562981">
        <w:rPr>
          <w:rFonts w:ascii="Arial" w:hAnsi="Arial" w:eastAsia="Arial" w:cs="Arial"/>
          <w:b w:val="0"/>
          <w:bCs w:val="0"/>
          <w:i w:val="0"/>
          <w:iCs w:val="0"/>
          <w:noProof w:val="0"/>
          <w:color w:val="000000" w:themeColor="text1" w:themeTint="FF" w:themeShade="FF"/>
          <w:sz w:val="22"/>
          <w:szCs w:val="22"/>
          <w:lang w:val="en-US"/>
        </w:rPr>
        <w:t>. 7th ed. Basingstoke: Palgrave Macmillan.</w:t>
      </w:r>
    </w:p>
    <w:p w:rsidR="26562981" w:rsidP="5D9D7041" w:rsidRDefault="26562981" w14:paraId="14B725F2" w14:textId="5495CDC5">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1"/>
          <w:bCs w:val="1"/>
          <w:i w:val="0"/>
          <w:iCs w:val="0"/>
          <w:noProof w:val="0"/>
          <w:color w:val="000000" w:themeColor="text1" w:themeTint="FF" w:themeShade="FF"/>
          <w:sz w:val="22"/>
          <w:szCs w:val="22"/>
          <w:lang w:val="en-US"/>
        </w:rPr>
        <w:t>CIPD (2024)</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w:t>
      </w:r>
      <w:r w:rsidRPr="5D9D7041" w:rsidR="26562981">
        <w:rPr>
          <w:rFonts w:ascii="Arial" w:hAnsi="Arial" w:eastAsia="Arial" w:cs="Arial"/>
          <w:b w:val="0"/>
          <w:bCs w:val="0"/>
          <w:i w:val="1"/>
          <w:iCs w:val="1"/>
          <w:noProof w:val="0"/>
          <w:color w:val="000000" w:themeColor="text1" w:themeTint="FF" w:themeShade="FF"/>
          <w:sz w:val="22"/>
          <w:szCs w:val="22"/>
          <w:lang w:val="en-US"/>
        </w:rPr>
        <w:t>Digital HR and People Analytics</w:t>
      </w:r>
      <w:r w:rsidRPr="5D9D7041" w:rsidR="26562981">
        <w:rPr>
          <w:rFonts w:ascii="Arial" w:hAnsi="Arial" w:eastAsia="Arial" w:cs="Arial"/>
          <w:b w:val="0"/>
          <w:bCs w:val="0"/>
          <w:i w:val="0"/>
          <w:iCs w:val="0"/>
          <w:noProof w:val="0"/>
          <w:color w:val="000000" w:themeColor="text1" w:themeTint="FF" w:themeShade="FF"/>
          <w:sz w:val="22"/>
          <w:szCs w:val="22"/>
          <w:lang w:val="en-US"/>
        </w:rPr>
        <w:t>. London: Chartered Institute of Personnel and Development.</w:t>
      </w:r>
    </w:p>
    <w:p w:rsidR="26562981" w:rsidP="5D9D7041" w:rsidRDefault="26562981" w14:paraId="5F1BD118" w14:textId="537AF512">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1"/>
          <w:bCs w:val="1"/>
          <w:i w:val="0"/>
          <w:iCs w:val="0"/>
          <w:noProof w:val="0"/>
          <w:color w:val="000000" w:themeColor="text1" w:themeTint="FF" w:themeShade="FF"/>
          <w:sz w:val="22"/>
          <w:szCs w:val="22"/>
          <w:lang w:val="en-US"/>
        </w:rPr>
        <w:t>CIPD (2025)</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w:t>
      </w:r>
      <w:r w:rsidRPr="5D9D7041" w:rsidR="26562981">
        <w:rPr>
          <w:rFonts w:ascii="Arial" w:hAnsi="Arial" w:eastAsia="Arial" w:cs="Arial"/>
          <w:b w:val="0"/>
          <w:bCs w:val="0"/>
          <w:i w:val="1"/>
          <w:iCs w:val="1"/>
          <w:noProof w:val="0"/>
          <w:color w:val="000000" w:themeColor="text1" w:themeTint="FF" w:themeShade="FF"/>
          <w:sz w:val="22"/>
          <w:szCs w:val="22"/>
          <w:lang w:val="en-US"/>
        </w:rPr>
        <w:t>UK Labour Market Outlook: Retail Sector</w:t>
      </w:r>
      <w:r w:rsidRPr="5D9D7041" w:rsidR="26562981">
        <w:rPr>
          <w:rFonts w:ascii="Arial" w:hAnsi="Arial" w:eastAsia="Arial" w:cs="Arial"/>
          <w:b w:val="0"/>
          <w:bCs w:val="0"/>
          <w:i w:val="0"/>
          <w:iCs w:val="0"/>
          <w:noProof w:val="0"/>
          <w:color w:val="000000" w:themeColor="text1" w:themeTint="FF" w:themeShade="FF"/>
          <w:sz w:val="22"/>
          <w:szCs w:val="22"/>
          <w:lang w:val="en-US"/>
        </w:rPr>
        <w:t>. London: Chartered Institute of Personnel and Development.</w:t>
      </w:r>
    </w:p>
    <w:p w:rsidR="26562981" w:rsidP="5D9D7041" w:rsidRDefault="26562981" w14:paraId="0BE606D5" w14:textId="02261490">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1"/>
          <w:bCs w:val="1"/>
          <w:i w:val="0"/>
          <w:iCs w:val="0"/>
          <w:noProof w:val="0"/>
          <w:color w:val="000000" w:themeColor="text1" w:themeTint="FF" w:themeShade="FF"/>
          <w:sz w:val="22"/>
          <w:szCs w:val="22"/>
          <w:lang w:val="en-US"/>
        </w:rPr>
        <w:t>Dobbin, F. and Kalev, A. (2022)</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w:t>
      </w:r>
      <w:r w:rsidRPr="5D9D7041" w:rsidR="26562981">
        <w:rPr>
          <w:rFonts w:ascii="Arial" w:hAnsi="Arial" w:eastAsia="Arial" w:cs="Arial"/>
          <w:b w:val="0"/>
          <w:bCs w:val="0"/>
          <w:i w:val="1"/>
          <w:iCs w:val="1"/>
          <w:noProof w:val="0"/>
          <w:color w:val="000000" w:themeColor="text1" w:themeTint="FF" w:themeShade="FF"/>
          <w:sz w:val="22"/>
          <w:szCs w:val="22"/>
          <w:lang w:val="en-US"/>
        </w:rPr>
        <w:t>Getting to Diversity: What Works and What Doesn’t</w:t>
      </w:r>
      <w:r w:rsidRPr="5D9D7041" w:rsidR="26562981">
        <w:rPr>
          <w:rFonts w:ascii="Arial" w:hAnsi="Arial" w:eastAsia="Arial" w:cs="Arial"/>
          <w:b w:val="0"/>
          <w:bCs w:val="0"/>
          <w:i w:val="0"/>
          <w:iCs w:val="0"/>
          <w:noProof w:val="0"/>
          <w:color w:val="000000" w:themeColor="text1" w:themeTint="FF" w:themeShade="FF"/>
          <w:sz w:val="22"/>
          <w:szCs w:val="22"/>
          <w:lang w:val="en-US"/>
        </w:rPr>
        <w:t>. Cambridge, MA: Harvard University Press.</w:t>
      </w:r>
    </w:p>
    <w:p w:rsidR="26562981" w:rsidP="5D9D7041" w:rsidRDefault="26562981" w14:paraId="6918599F" w14:textId="39582AD7">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1"/>
          <w:bCs w:val="1"/>
          <w:i w:val="0"/>
          <w:iCs w:val="0"/>
          <w:noProof w:val="0"/>
          <w:color w:val="000000" w:themeColor="text1" w:themeTint="FF" w:themeShade="FF"/>
          <w:sz w:val="22"/>
          <w:szCs w:val="22"/>
          <w:lang w:val="en-US"/>
        </w:rPr>
        <w:t>Purcell, J. and Hutchinson, S. (2021)</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w:t>
      </w:r>
      <w:r w:rsidRPr="5D9D7041" w:rsidR="26562981">
        <w:rPr>
          <w:rFonts w:ascii="Arial" w:hAnsi="Arial" w:eastAsia="Arial" w:cs="Arial"/>
          <w:b w:val="0"/>
          <w:bCs w:val="0"/>
          <w:i w:val="1"/>
          <w:iCs w:val="1"/>
          <w:noProof w:val="0"/>
          <w:color w:val="000000" w:themeColor="text1" w:themeTint="FF" w:themeShade="FF"/>
          <w:sz w:val="22"/>
          <w:szCs w:val="22"/>
          <w:lang w:val="en-US"/>
        </w:rPr>
        <w:t>The Role of Line Managers in People Management</w:t>
      </w:r>
      <w:r w:rsidRPr="5D9D7041" w:rsidR="26562981">
        <w:rPr>
          <w:rFonts w:ascii="Arial" w:hAnsi="Arial" w:eastAsia="Arial" w:cs="Arial"/>
          <w:b w:val="0"/>
          <w:bCs w:val="0"/>
          <w:i w:val="0"/>
          <w:iCs w:val="0"/>
          <w:noProof w:val="0"/>
          <w:color w:val="000000" w:themeColor="text1" w:themeTint="FF" w:themeShade="FF"/>
          <w:sz w:val="22"/>
          <w:szCs w:val="22"/>
          <w:lang w:val="en-US"/>
        </w:rPr>
        <w:t>. London: CIPD.</w:t>
      </w:r>
    </w:p>
    <w:p w:rsidR="26562981" w:rsidP="5D9D7041" w:rsidRDefault="26562981" w14:paraId="16E2CC1D" w14:textId="34569FD1">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1"/>
          <w:bCs w:val="1"/>
          <w:i w:val="0"/>
          <w:iCs w:val="0"/>
          <w:noProof w:val="0"/>
          <w:color w:val="000000" w:themeColor="text1" w:themeTint="FF" w:themeShade="FF"/>
          <w:sz w:val="22"/>
          <w:szCs w:val="22"/>
          <w:lang w:val="en-US"/>
        </w:rPr>
        <w:t>Roberson, Q.M. (2019)</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“Diversity in the Workplace: A Review, Synthesis, and Future Research Agenda.” </w:t>
      </w:r>
      <w:r w:rsidRPr="5D9D7041" w:rsidR="26562981">
        <w:rPr>
          <w:rFonts w:ascii="Arial" w:hAnsi="Arial" w:eastAsia="Arial" w:cs="Arial"/>
          <w:b w:val="0"/>
          <w:bCs w:val="0"/>
          <w:i w:val="1"/>
          <w:iCs w:val="1"/>
          <w:noProof w:val="0"/>
          <w:color w:val="000000" w:themeColor="text1" w:themeTint="FF" w:themeShade="FF"/>
          <w:sz w:val="22"/>
          <w:szCs w:val="22"/>
          <w:lang w:val="en-US"/>
        </w:rPr>
        <w:t>Journal of Management</w:t>
      </w:r>
      <w:r w:rsidRPr="5D9D7041" w:rsidR="26562981">
        <w:rPr>
          <w:rFonts w:ascii="Arial" w:hAnsi="Arial" w:eastAsia="Arial" w:cs="Arial"/>
          <w:b w:val="0"/>
          <w:bCs w:val="0"/>
          <w:i w:val="0"/>
          <w:iCs w:val="0"/>
          <w:noProof w:val="0"/>
          <w:color w:val="000000" w:themeColor="text1" w:themeTint="FF" w:themeShade="FF"/>
          <w:sz w:val="22"/>
          <w:szCs w:val="22"/>
          <w:lang w:val="en-US"/>
        </w:rPr>
        <w:t>, 45(1), pp. 35–67.</w:t>
      </w:r>
    </w:p>
    <w:p w:rsidR="26562981" w:rsidP="5D9D7041" w:rsidRDefault="26562981" w14:paraId="02BE04A3" w14:textId="649EF007">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1"/>
          <w:bCs w:val="1"/>
          <w:i w:val="0"/>
          <w:iCs w:val="0"/>
          <w:noProof w:val="0"/>
          <w:color w:val="000000" w:themeColor="text1" w:themeTint="FF" w:themeShade="FF"/>
          <w:sz w:val="22"/>
          <w:szCs w:val="22"/>
          <w:lang w:val="en-US"/>
        </w:rPr>
        <w:t>Schein, E.H. (2020)</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w:t>
      </w:r>
      <w:r w:rsidRPr="5D9D7041" w:rsidR="26562981">
        <w:rPr>
          <w:rFonts w:ascii="Arial" w:hAnsi="Arial" w:eastAsia="Arial" w:cs="Arial"/>
          <w:b w:val="0"/>
          <w:bCs w:val="0"/>
          <w:i w:val="1"/>
          <w:iCs w:val="1"/>
          <w:noProof w:val="0"/>
          <w:color w:val="000000" w:themeColor="text1" w:themeTint="FF" w:themeShade="FF"/>
          <w:sz w:val="22"/>
          <w:szCs w:val="22"/>
          <w:lang w:val="en-US"/>
        </w:rPr>
        <w:t>Organizational Culture and Leadership</w:t>
      </w:r>
      <w:r w:rsidRPr="5D9D7041" w:rsidR="26562981">
        <w:rPr>
          <w:rFonts w:ascii="Arial" w:hAnsi="Arial" w:eastAsia="Arial" w:cs="Arial"/>
          <w:b w:val="0"/>
          <w:bCs w:val="0"/>
          <w:i w:val="0"/>
          <w:iCs w:val="0"/>
          <w:noProof w:val="0"/>
          <w:color w:val="000000" w:themeColor="text1" w:themeTint="FF" w:themeShade="FF"/>
          <w:sz w:val="22"/>
          <w:szCs w:val="22"/>
          <w:lang w:val="en-US"/>
        </w:rPr>
        <w:t>. 5th ed. San Francisco: Jossey-Bass.</w:t>
      </w:r>
    </w:p>
    <w:p w:rsidR="26562981" w:rsidP="5D9D7041" w:rsidRDefault="26562981" w14:paraId="064FD9FE" w14:textId="4484A0A2">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1"/>
          <w:bCs w:val="1"/>
          <w:i w:val="0"/>
          <w:iCs w:val="0"/>
          <w:noProof w:val="0"/>
          <w:color w:val="000000" w:themeColor="text1" w:themeTint="FF" w:themeShade="FF"/>
          <w:sz w:val="22"/>
          <w:szCs w:val="22"/>
          <w:lang w:val="en-US"/>
        </w:rPr>
        <w:t>Stone, D.L. and Deadrick, D.L. (2020)</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“Challenges and Opportunities Affecting the Future of HRM.” </w:t>
      </w:r>
      <w:r w:rsidRPr="5D9D7041" w:rsidR="26562981">
        <w:rPr>
          <w:rFonts w:ascii="Arial" w:hAnsi="Arial" w:eastAsia="Arial" w:cs="Arial"/>
          <w:b w:val="0"/>
          <w:bCs w:val="0"/>
          <w:i w:val="1"/>
          <w:iCs w:val="1"/>
          <w:noProof w:val="0"/>
          <w:color w:val="000000" w:themeColor="text1" w:themeTint="FF" w:themeShade="FF"/>
          <w:sz w:val="22"/>
          <w:szCs w:val="22"/>
          <w:lang w:val="en-US"/>
        </w:rPr>
        <w:t>Human Resource Management Review</w:t>
      </w:r>
      <w:r w:rsidRPr="5D9D7041" w:rsidR="26562981">
        <w:rPr>
          <w:rFonts w:ascii="Arial" w:hAnsi="Arial" w:eastAsia="Arial" w:cs="Arial"/>
          <w:b w:val="0"/>
          <w:bCs w:val="0"/>
          <w:i w:val="0"/>
          <w:iCs w:val="0"/>
          <w:noProof w:val="0"/>
          <w:color w:val="000000" w:themeColor="text1" w:themeTint="FF" w:themeShade="FF"/>
          <w:sz w:val="22"/>
          <w:szCs w:val="22"/>
          <w:lang w:val="en-US"/>
        </w:rPr>
        <w:t>, 30(1), 100678.</w:t>
      </w:r>
    </w:p>
    <w:p w:rsidR="26562981" w:rsidP="5D9D7041" w:rsidRDefault="26562981" w14:paraId="59FCB5EA" w14:textId="0D0F5D6B">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2"/>
          <w:szCs w:val="22"/>
          <w:lang w:val="en-US"/>
        </w:rPr>
      </w:pPr>
      <w:r w:rsidRPr="5D9D7041" w:rsidR="26562981">
        <w:rPr>
          <w:rFonts w:ascii="Arial" w:hAnsi="Arial" w:eastAsia="Arial" w:cs="Arial"/>
          <w:b w:val="1"/>
          <w:bCs w:val="1"/>
          <w:i w:val="0"/>
          <w:iCs w:val="0"/>
          <w:noProof w:val="0"/>
          <w:color w:val="000000" w:themeColor="text1" w:themeTint="FF" w:themeShade="FF"/>
          <w:sz w:val="22"/>
          <w:szCs w:val="22"/>
          <w:lang w:val="en-US"/>
        </w:rPr>
        <w:t>Ulrich, D., Younger, J., Brockbank, W. and Ulrich, M. (2022)</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w:t>
      </w:r>
      <w:r w:rsidRPr="5D9D7041" w:rsidR="26562981">
        <w:rPr>
          <w:rFonts w:ascii="Arial" w:hAnsi="Arial" w:eastAsia="Arial" w:cs="Arial"/>
          <w:b w:val="0"/>
          <w:bCs w:val="0"/>
          <w:i w:val="1"/>
          <w:iCs w:val="1"/>
          <w:noProof w:val="0"/>
          <w:color w:val="000000" w:themeColor="text1" w:themeTint="FF" w:themeShade="FF"/>
          <w:sz w:val="22"/>
          <w:szCs w:val="22"/>
          <w:lang w:val="en-US"/>
        </w:rPr>
        <w:t>HR from the Outside In</w:t>
      </w:r>
      <w:r w:rsidRPr="5D9D7041" w:rsidR="26562981">
        <w:rPr>
          <w:rFonts w:ascii="Arial" w:hAnsi="Arial" w:eastAsia="Arial" w:cs="Arial"/>
          <w:b w:val="0"/>
          <w:bCs w:val="0"/>
          <w:i w:val="0"/>
          <w:iCs w:val="0"/>
          <w:noProof w:val="0"/>
          <w:color w:val="000000" w:themeColor="text1" w:themeTint="FF" w:themeShade="FF"/>
          <w:sz w:val="22"/>
          <w:szCs w:val="22"/>
          <w:lang w:val="en-US"/>
        </w:rPr>
        <w:t xml:space="preserve">. New York: McGraw-Hill. </w:t>
      </w:r>
    </w:p>
    <w:p w:rsidR="5D9D7041" w:rsidP="5D9D7041" w:rsidRDefault="5D9D7041" w14:paraId="1B3CCBFE" w14:textId="12546776">
      <w:pPr>
        <w:pStyle w:val="Normal"/>
        <w:rPr>
          <w:rFonts w:ascii="Arial" w:hAnsi="Arial" w:eastAsia="Arial" w:cs="Arial"/>
          <w:noProof w:val="0"/>
          <w:sz w:val="22"/>
          <w:szCs w:val="22"/>
          <w:lang w:val="en-US"/>
        </w:rPr>
      </w:pPr>
    </w:p>
    <w:p w:rsidR="5D9D7041" w:rsidP="5D9D7041" w:rsidRDefault="5D9D7041" w14:paraId="7C7096B7" w14:textId="4219CC70">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6236e6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ba660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9E96FB"/>
    <w:rsid w:val="01F28EDD"/>
    <w:rsid w:val="02449D89"/>
    <w:rsid w:val="039D8DD2"/>
    <w:rsid w:val="0D4CF909"/>
    <w:rsid w:val="0E069C5C"/>
    <w:rsid w:val="0F04DAC8"/>
    <w:rsid w:val="110924A6"/>
    <w:rsid w:val="11EF9480"/>
    <w:rsid w:val="1222D986"/>
    <w:rsid w:val="13462DC0"/>
    <w:rsid w:val="13A4A800"/>
    <w:rsid w:val="15E690E8"/>
    <w:rsid w:val="1CE42728"/>
    <w:rsid w:val="1FCFB032"/>
    <w:rsid w:val="207B6F82"/>
    <w:rsid w:val="23B88E94"/>
    <w:rsid w:val="26562981"/>
    <w:rsid w:val="292B283E"/>
    <w:rsid w:val="295C781A"/>
    <w:rsid w:val="2BF29D4A"/>
    <w:rsid w:val="30508B1F"/>
    <w:rsid w:val="376704EA"/>
    <w:rsid w:val="37839C40"/>
    <w:rsid w:val="37F0FAD9"/>
    <w:rsid w:val="402995EB"/>
    <w:rsid w:val="46B0215E"/>
    <w:rsid w:val="489BD432"/>
    <w:rsid w:val="495CEDC2"/>
    <w:rsid w:val="4ABF93ED"/>
    <w:rsid w:val="4BEB1C3C"/>
    <w:rsid w:val="4C444520"/>
    <w:rsid w:val="4DF8C7BC"/>
    <w:rsid w:val="519E96FB"/>
    <w:rsid w:val="54FB3E7E"/>
    <w:rsid w:val="57349F46"/>
    <w:rsid w:val="5822657A"/>
    <w:rsid w:val="58AAE353"/>
    <w:rsid w:val="58DEBABC"/>
    <w:rsid w:val="5A3B174B"/>
    <w:rsid w:val="5BA6E137"/>
    <w:rsid w:val="5C3DFAE3"/>
    <w:rsid w:val="5D691AE2"/>
    <w:rsid w:val="5D8D7EC5"/>
    <w:rsid w:val="5D9D7041"/>
    <w:rsid w:val="65D47511"/>
    <w:rsid w:val="666B176F"/>
    <w:rsid w:val="67B5E238"/>
    <w:rsid w:val="6C8BEEE0"/>
    <w:rsid w:val="6D9260F6"/>
    <w:rsid w:val="7128CD53"/>
    <w:rsid w:val="73871E70"/>
    <w:rsid w:val="76C4AABE"/>
    <w:rsid w:val="781C730D"/>
    <w:rsid w:val="7C22EAB6"/>
    <w:rsid w:val="7C5522A3"/>
    <w:rsid w:val="7D2FAD44"/>
    <w:rsid w:val="7EB151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EB8A5"/>
  <w15:chartTrackingRefBased/>
  <w15:docId w15:val="{F979D4D8-3080-49F3-B26F-86B2409D07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D9D704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D9D704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D9D704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D9D704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0f0c8f88d24749f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2026-07-04T19:42:55.2818174Z</dcterms:created>
  <dcterms:modified xsi:type="dcterms:W3CDTF">2026-07-04T20:22:59.2235208Z</dcterms:modified>
  <dc:creator>Gheorghe Robu (2440088)</dc:creator>
  <lastModifiedBy>Gheorghe Robu (2440088)</lastModifiedBy>
</coreProperties>
</file>