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EC9201">
      <w:pPr>
        <w:jc w:val="center"/>
        <w:rPr>
          <w:rFonts w:ascii="Arial" w:hAnsi="Arial" w:cs="Arial"/>
          <w:color w:val="000000" w:themeColor="text1"/>
          <w:sz w:val="36"/>
          <w:szCs w:val="24"/>
          <w14:textFill>
            <w14:solidFill>
              <w14:schemeClr w14:val="tx1"/>
            </w14:solidFill>
          </w14:textFill>
        </w:rPr>
      </w:pPr>
      <w:r>
        <w:rPr>
          <w:rFonts w:ascii="Arial" w:hAnsi="Arial" w:cs="Arial"/>
          <w:color w:val="000000" w:themeColor="text1"/>
          <w:sz w:val="36"/>
          <w:szCs w:val="24"/>
          <w14:textFill>
            <w14:solidFill>
              <w14:schemeClr w14:val="tx1"/>
            </w14:solidFill>
          </w14:textFill>
        </w:rPr>
        <w:t>University of Wales Trinity Saint David (UWTSD)</w:t>
      </w:r>
    </w:p>
    <w:p w14:paraId="4C89B242">
      <w:pPr>
        <w:jc w:val="both"/>
        <w:rPr>
          <w:rFonts w:ascii="Arial" w:hAnsi="Arial" w:cs="Arial"/>
          <w:szCs w:val="24"/>
        </w:rPr>
      </w:pPr>
      <w:r>
        <w:rPr>
          <w:rFonts w:ascii="Arial" w:hAnsi="Arial" w:cs="Arial"/>
          <w:color w:val="000000" w:themeColor="text1"/>
          <w:szCs w:val="24"/>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-635</wp:posOffset>
                </wp:positionV>
                <wp:extent cx="2526030" cy="1193165"/>
                <wp:effectExtent l="0" t="0" r="7620" b="6985"/>
                <wp:wrapNone/>
                <wp:docPr id="2" name="Rectangle 2"/>
                <wp:cNvGraphicFramePr/>
                <a:graphic xmlns:a="http://schemas.openxmlformats.org/drawingml/2006/main">
                  <a:graphicData uri="http://schemas.microsoft.com/office/word/2010/wordprocessingShape">
                    <wps:wsp>
                      <wps:cNvSpPr/>
                      <wps:spPr>
                        <a:xfrm>
                          <a:off x="0" y="0"/>
                          <a:ext cx="2526224" cy="1193369"/>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4A29E08">
                            <w:pPr>
                              <w:jc w:val="center"/>
                            </w:pPr>
                            <w:r>
                              <w:drawing>
                                <wp:inline distT="0" distB="0" distL="0" distR="0">
                                  <wp:extent cx="2546350" cy="1224280"/>
                                  <wp:effectExtent l="0" t="0" r="6350" b="0"/>
                                  <wp:docPr id="1442284264" name="Picture 3"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84264" name="Picture 3"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2574718" cy="123791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wps:wsp>
                  </a:graphicData>
                </a:graphic>
              </wp:anchor>
            </w:drawing>
          </mc:Choice>
          <mc:Fallback>
            <w:pict>
              <v:rect id="Rectangle 2" o:spid="_x0000_s1026" o:spt="1" style="position:absolute;left:0pt;margin-left:0pt;margin-top:-0.05pt;height:93.95pt;width:198.9pt;z-index:251659264;v-text-anchor:middle;mso-width-relative:page;mso-height-relative:page;" fillcolor="#FFFFFF [3201]" filled="t" stroked="f" coordsize="21600,21600" o:gfxdata="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DDmsS0gAAAAYBAAAPAAAAAAAAAAEA&#10;IAAAACIAAABkcnMvZG93bnJldi54bWxQSwECFAAUAAAACACHTuJAKtG3rE4CAACpBAAADgAAAAAA&#10;AAABACAAAAAhAQAAZHJzL2Uyb0RvYy54bWxQSwUGAAAAAAYABgBZAQAA4QUAAAAA&#10;">
                <v:fill on="t" focussize="0,0"/>
                <v:stroke on="f" weight="2pt"/>
                <v:imagedata o:title=""/>
                <o:lock v:ext="edit" aspectratio="f"/>
                <v:textbox>
                  <w:txbxContent>
                    <w:p w14:paraId="04A29E08">
                      <w:pPr>
                        <w:jc w:val="center"/>
                      </w:pPr>
                      <w:r>
                        <w:drawing>
                          <wp:inline distT="0" distB="0" distL="0" distR="0">
                            <wp:extent cx="2546350" cy="1224280"/>
                            <wp:effectExtent l="0" t="0" r="6350" b="0"/>
                            <wp:docPr id="1442284264" name="Picture 3"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84264" name="Picture 3"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2574718" cy="1237919"/>
                                    </a:xfrm>
                                    <a:prstGeom prst="rect">
                                      <a:avLst/>
                                    </a:prstGeom>
                                    <a:noFill/>
                                    <a:ln>
                                      <a:noFill/>
                                    </a:ln>
                                  </pic:spPr>
                                </pic:pic>
                              </a:graphicData>
                            </a:graphic>
                          </wp:inline>
                        </w:drawing>
                      </w:r>
                    </w:p>
                  </w:txbxContent>
                </v:textbox>
              </v:rect>
            </w:pict>
          </mc:Fallback>
        </mc:AlternateContent>
      </w:r>
    </w:p>
    <w:p w14:paraId="7BDE4561">
      <w:pPr>
        <w:jc w:val="both"/>
        <w:rPr>
          <w:rFonts w:ascii="Arial" w:hAnsi="Arial" w:cs="Arial"/>
          <w:szCs w:val="24"/>
        </w:rPr>
      </w:pPr>
    </w:p>
    <w:p w14:paraId="542D6F14">
      <w:pPr>
        <w:jc w:val="both"/>
        <w:rPr>
          <w:rFonts w:ascii="Arial" w:hAnsi="Arial" w:cs="Arial"/>
          <w:szCs w:val="24"/>
        </w:rPr>
      </w:pPr>
      <w:r>
        <w:rPr>
          <w:rFonts w:ascii="Arial" w:hAnsi="Arial" w:cs="Arial"/>
          <w:szCs w:val="24"/>
        </w:rPr>
        <w:t xml:space="preserve">                  </w:t>
      </w:r>
    </w:p>
    <w:p w14:paraId="56D21FE7">
      <w:pPr>
        <w:jc w:val="both"/>
        <w:rPr>
          <w:rFonts w:ascii="Arial" w:hAnsi="Arial" w:cs="Arial"/>
          <w:szCs w:val="24"/>
        </w:rPr>
      </w:pPr>
    </w:p>
    <w:p w14:paraId="5DCA40C6">
      <w:pPr>
        <w:jc w:val="both"/>
        <w:rPr>
          <w:rFonts w:ascii="Arial" w:hAnsi="Arial" w:cs="Arial"/>
          <w:szCs w:val="24"/>
        </w:rPr>
      </w:pPr>
    </w:p>
    <w:p w14:paraId="6A4B74E1">
      <w:pPr>
        <w:jc w:val="both"/>
        <w:rPr>
          <w:rFonts w:ascii="Arial" w:hAnsi="Arial" w:cs="Arial"/>
          <w:szCs w:val="24"/>
        </w:rPr>
      </w:pPr>
    </w:p>
    <w:p w14:paraId="08F83ADB">
      <w:pPr>
        <w:jc w:val="center"/>
        <w:rPr>
          <w:rFonts w:ascii="Arial" w:hAnsi="Arial" w:eastAsia="Microsoft JhengHei" w:cs="Arial"/>
          <w:color w:val="000000" w:themeColor="text1"/>
          <w:szCs w:val="24"/>
          <w14:textFill>
            <w14:solidFill>
              <w14:schemeClr w14:val="tx1"/>
            </w14:solidFill>
          </w14:textFill>
        </w:rPr>
      </w:pPr>
      <w:r>
        <w:rPr>
          <w:rFonts w:ascii="Arial" w:hAnsi="Arial" w:eastAsia="Microsoft JhengHei" w:cs="Arial"/>
          <w:color w:val="000000" w:themeColor="text1"/>
          <w:szCs w:val="24"/>
          <w14:textFill>
            <w14:solidFill>
              <w14:schemeClr w14:val="tx1"/>
            </w14:solidFill>
          </w14:textFill>
        </w:rPr>
        <w:t>Assignment Title: Financial performance and management</w:t>
      </w:r>
    </w:p>
    <w:p w14:paraId="31C8FE3A">
      <w:pPr>
        <w:jc w:val="both"/>
        <w:rPr>
          <w:rFonts w:ascii="Arial" w:hAnsi="Arial" w:eastAsia="Microsoft JhengHei" w:cs="Arial"/>
          <w:color w:val="000000" w:themeColor="text1"/>
          <w:szCs w:val="24"/>
          <w14:textFill>
            <w14:solidFill>
              <w14:schemeClr w14:val="tx1"/>
            </w14:solidFill>
          </w14:textFill>
        </w:rPr>
      </w:pPr>
    </w:p>
    <w:p w14:paraId="3C0B370A">
      <w:pPr>
        <w:jc w:val="both"/>
        <w:rPr>
          <w:rFonts w:ascii="Arial" w:hAnsi="Arial" w:cs="Arial"/>
          <w:color w:val="E46C0A" w:themeColor="accent6" w:themeShade="BF"/>
          <w:szCs w:val="24"/>
        </w:rPr>
      </w:pPr>
      <w:r>
        <w:rPr>
          <w:rFonts w:ascii="Arial" w:hAnsi="Arial" w:cs="Arial"/>
          <w:color w:val="E46C0A" w:themeColor="accent6" w:themeShade="BF"/>
          <w:szCs w:val="24"/>
        </w:rPr>
        <w:t>Programme: Master of Business Administration (MBA)</w:t>
      </w:r>
    </w:p>
    <w:p w14:paraId="4FAD2289">
      <w:pPr>
        <w:jc w:val="both"/>
        <w:rPr>
          <w:rFonts w:ascii="Arial" w:hAnsi="Arial" w:cs="Arial"/>
          <w:color w:val="E46C0A" w:themeColor="accent6" w:themeShade="BF"/>
          <w:szCs w:val="24"/>
        </w:rPr>
      </w:pPr>
      <w:r>
        <w:rPr>
          <w:rFonts w:ascii="Arial" w:hAnsi="Arial" w:cs="Arial"/>
          <w:color w:val="E46C0A" w:themeColor="accent6" w:themeShade="BF"/>
          <w:szCs w:val="24"/>
        </w:rPr>
        <w:t>Module: Financial Management</w:t>
      </w:r>
    </w:p>
    <w:p w14:paraId="232C2237">
      <w:pPr>
        <w:jc w:val="both"/>
        <w:rPr>
          <w:rFonts w:ascii="Arial" w:hAnsi="Arial" w:cs="Arial"/>
          <w:color w:val="E46C0A" w:themeColor="accent6" w:themeShade="BF"/>
          <w:szCs w:val="24"/>
        </w:rPr>
      </w:pPr>
      <w:r>
        <w:rPr>
          <w:rFonts w:ascii="Arial" w:hAnsi="Arial" w:cs="Arial"/>
          <w:color w:val="E46C0A" w:themeColor="accent6" w:themeShade="BF"/>
          <w:szCs w:val="24"/>
        </w:rPr>
        <w:t>Module Code: LCMB7002</w:t>
      </w:r>
    </w:p>
    <w:p w14:paraId="07F01805">
      <w:pPr>
        <w:jc w:val="both"/>
        <w:rPr>
          <w:rFonts w:hint="default" w:ascii="Arial" w:hAnsi="Arial" w:cs="Arial"/>
          <w:color w:val="000000" w:themeColor="text1"/>
          <w:sz w:val="28"/>
          <w:szCs w:val="24"/>
          <w:lang w:val="en-US"/>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 w:val="28"/>
          <w:szCs w:val="24"/>
          <w14:textFill>
            <w14:solidFill>
              <w14:schemeClr w14:val="tx1"/>
            </w14:solidFill>
          </w14:textFill>
        </w:rPr>
        <w:t>Lecturer: Dr.</w:t>
      </w:r>
      <w:r>
        <w:rPr>
          <w:rFonts w:hint="default" w:ascii="Arial" w:hAnsi="Arial" w:cs="Arial"/>
          <w:color w:val="000000" w:themeColor="text1"/>
          <w:sz w:val="28"/>
          <w:szCs w:val="24"/>
          <w:lang w:val="en-US"/>
          <w14:textFill>
            <w14:solidFill>
              <w14:schemeClr w14:val="tx1"/>
            </w14:solidFill>
          </w14:textFill>
        </w:rPr>
        <w:t xml:space="preserve"> </w:t>
      </w:r>
      <w:r>
        <w:rPr>
          <w:rFonts w:hint="default" w:ascii="Arial" w:hAnsi="Arial" w:eastAsia="Helvetica" w:cs="Arial"/>
          <w:i w:val="0"/>
          <w:iCs w:val="0"/>
          <w:caps w:val="0"/>
          <w:color w:val="242130"/>
          <w:spacing w:val="0"/>
          <w:sz w:val="28"/>
          <w:szCs w:val="28"/>
          <w:shd w:val="clear" w:fill="FFFFFF"/>
        </w:rPr>
        <w:t>Isaiah Oino</w:t>
      </w:r>
    </w:p>
    <w:p w14:paraId="3AD38557">
      <w:pPr>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Cs w:val="24"/>
          <w14:textFill>
            <w14:solidFill>
              <w14:schemeClr w14:val="tx1"/>
            </w14:solidFill>
          </w14:textFill>
        </w:rPr>
        <w:t>Student Name: Marzana Hasan Mita</w:t>
      </w:r>
    </w:p>
    <w:p w14:paraId="7CD6A6F0">
      <w:pPr>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Student ID: 2504068</w:t>
      </w:r>
    </w:p>
    <w:p w14:paraId="1B7941C2">
      <w:pPr>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Cs w:val="24"/>
          <w14:textFill>
            <w14:solidFill>
              <w14:schemeClr w14:val="tx1"/>
            </w14:solidFill>
          </w14:textFill>
        </w:rPr>
        <w:t>Word Count: 5264</w:t>
      </w:r>
    </w:p>
    <w:p w14:paraId="515F0807">
      <w:pPr>
        <w:jc w:val="center"/>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Cs w:val="24"/>
          <w14:textFill>
            <w14:solidFill>
              <w14:schemeClr w14:val="tx1"/>
            </w14:solidFill>
          </w14:textFill>
        </w:rPr>
        <w:t>Submission Date: 2</w:t>
      </w:r>
      <w:r>
        <w:rPr>
          <w:rFonts w:hint="default" w:ascii="Arial" w:hAnsi="Arial" w:cs="Arial"/>
          <w:color w:val="000000" w:themeColor="text1"/>
          <w:szCs w:val="24"/>
          <w:lang w:val="en-US"/>
          <w14:textFill>
            <w14:solidFill>
              <w14:schemeClr w14:val="tx1"/>
            </w14:solidFill>
          </w14:textFill>
        </w:rPr>
        <w:t>2</w:t>
      </w:r>
      <w:r>
        <w:rPr>
          <w:rFonts w:ascii="Arial" w:hAnsi="Arial" w:cs="Arial"/>
          <w:color w:val="000000" w:themeColor="text1"/>
          <w:szCs w:val="24"/>
          <w:vertAlign w:val="superscript"/>
          <w14:textFill>
            <w14:solidFill>
              <w14:schemeClr w14:val="tx1"/>
            </w14:solidFill>
          </w14:textFill>
        </w:rPr>
        <w:t>th</w:t>
      </w:r>
      <w:r>
        <w:rPr>
          <w:rFonts w:ascii="Arial" w:hAnsi="Arial" w:cs="Arial"/>
          <w:color w:val="000000" w:themeColor="text1"/>
          <w:szCs w:val="24"/>
          <w14:textFill>
            <w14:solidFill>
              <w14:schemeClr w14:val="tx1"/>
            </w14:solidFill>
          </w14:textFill>
        </w:rPr>
        <w:t xml:space="preserve"> </w:t>
      </w:r>
      <w:r>
        <w:rPr>
          <w:rFonts w:ascii="Arial" w:hAnsi="Arial" w:cs="Arial"/>
          <w:color w:val="000000" w:themeColor="text1"/>
          <w:szCs w:val="24"/>
          <w:lang w:val="en-US"/>
          <w14:textFill>
            <w14:solidFill>
              <w14:schemeClr w14:val="tx1"/>
            </w14:solidFill>
          </w14:textFill>
        </w:rPr>
        <w:t>December</w:t>
      </w:r>
      <w:bookmarkStart w:id="50" w:name="_GoBack"/>
      <w:bookmarkEnd w:id="50"/>
      <w:r>
        <w:rPr>
          <w:rFonts w:ascii="Arial" w:hAnsi="Arial" w:cs="Arial"/>
          <w:color w:val="000000" w:themeColor="text1"/>
          <w:szCs w:val="24"/>
          <w14:textFill>
            <w14:solidFill>
              <w14:schemeClr w14:val="tx1"/>
            </w14:solidFill>
          </w14:textFill>
        </w:rPr>
        <w:t xml:space="preserve"> 2025</w:t>
      </w:r>
    </w:p>
    <w:p w14:paraId="736CDAE3">
      <w:pPr>
        <w:rPr>
          <w:rFonts w:ascii="Times New Roman" w:hAnsi="Times New Roman" w:cs="Times New Roman" w:eastAsiaTheme="majorEastAsia"/>
          <w:b/>
          <w:bCs/>
          <w:color w:val="376092" w:themeColor="accent1" w:themeShade="BF"/>
          <w:sz w:val="32"/>
          <w:szCs w:val="32"/>
        </w:rPr>
      </w:pPr>
      <w:r>
        <w:rPr>
          <w:rFonts w:ascii="Times New Roman" w:hAnsi="Times New Roman" w:cs="Times New Roman"/>
          <w:sz w:val="32"/>
          <w:szCs w:val="32"/>
        </w:rPr>
        <w:br w:type="page"/>
      </w:r>
    </w:p>
    <w:sdt>
      <w:sdtPr>
        <w:rPr>
          <w:rFonts w:asciiTheme="minorHAnsi" w:hAnsiTheme="minorHAnsi" w:eastAsiaTheme="minorEastAsia" w:cstheme="minorBidi"/>
          <w:b w:val="0"/>
          <w:bCs w:val="0"/>
          <w:color w:val="auto"/>
          <w:sz w:val="22"/>
          <w:szCs w:val="22"/>
        </w:rPr>
        <w:id w:val="1460376858"/>
        <w:docPartObj>
          <w:docPartGallery w:val="Table of Contents"/>
          <w:docPartUnique/>
        </w:docPartObj>
      </w:sdtPr>
      <w:sdtEndPr>
        <w:rPr>
          <w:rFonts w:asciiTheme="minorHAnsi" w:hAnsiTheme="minorHAnsi" w:eastAsiaTheme="minorEastAsia" w:cstheme="minorBidi"/>
          <w:b w:val="0"/>
          <w:bCs w:val="0"/>
          <w:color w:val="auto"/>
          <w:sz w:val="22"/>
          <w:szCs w:val="22"/>
        </w:rPr>
      </w:sdtEndPr>
      <w:sdtContent>
        <w:p w14:paraId="7545B196">
          <w:pPr>
            <w:pStyle w:val="175"/>
          </w:pPr>
          <w:r>
            <w:t>Table of Contents</w:t>
          </w:r>
        </w:p>
        <w:p w14:paraId="50DA9F20">
          <w:pPr>
            <w:pStyle w:val="40"/>
            <w:tabs>
              <w:tab w:val="right" w:leader="dot" w:pos="8630"/>
            </w:tabs>
            <w:rPr>
              <w:rFonts w:cs="Vrinda"/>
              <w:b w:val="0"/>
              <w:bCs w:val="0"/>
              <w:i w:val="0"/>
              <w:iCs w:val="0"/>
              <w:kern w:val="2"/>
              <w:szCs w:val="30"/>
              <w:lang w:val="en-GB" w:eastAsia="en-GB" w:bidi="bn-IN"/>
              <w14:ligatures w14:val="standardContextual"/>
            </w:rPr>
          </w:pPr>
          <w:r>
            <w:rPr>
              <w:b w:val="0"/>
              <w:bCs w:val="0"/>
            </w:rPr>
            <w:fldChar w:fldCharType="begin"/>
          </w:r>
          <w:r>
            <w:instrText xml:space="preserve"> TOC \o "1-3" \h \z \u </w:instrText>
          </w:r>
          <w:r>
            <w:rPr>
              <w:b w:val="0"/>
              <w:bCs w:val="0"/>
            </w:rPr>
            <w:fldChar w:fldCharType="separate"/>
          </w:r>
          <w:r>
            <w:fldChar w:fldCharType="begin"/>
          </w:r>
          <w:r>
            <w:instrText xml:space="preserve"> HYPERLINK \l "_Toc217080727" </w:instrText>
          </w:r>
          <w:r>
            <w:fldChar w:fldCharType="separate"/>
          </w:r>
          <w:r>
            <w:rPr>
              <w:rStyle w:val="20"/>
              <w:rFonts w:ascii="Times New Roman" w:hAnsi="Times New Roman"/>
            </w:rPr>
            <w:t>Introduction</w:t>
          </w:r>
          <w:r>
            <w:tab/>
          </w:r>
          <w:r>
            <w:fldChar w:fldCharType="begin"/>
          </w:r>
          <w:r>
            <w:instrText xml:space="preserve"> PAGEREF _Toc217080727 \h </w:instrText>
          </w:r>
          <w:r>
            <w:fldChar w:fldCharType="separate"/>
          </w:r>
          <w:r>
            <w:t>4</w:t>
          </w:r>
          <w:r>
            <w:fldChar w:fldCharType="end"/>
          </w:r>
          <w:r>
            <w:fldChar w:fldCharType="end"/>
          </w:r>
        </w:p>
        <w:p w14:paraId="06CCCBD0">
          <w:pPr>
            <w:pStyle w:val="40"/>
            <w:tabs>
              <w:tab w:val="left" w:pos="440"/>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"_Toc217080728" </w:instrText>
          </w:r>
          <w:r>
            <w:fldChar w:fldCharType="separate"/>
          </w:r>
          <w:r>
            <w:rPr>
              <w:rStyle w:val="20"/>
              <w:rFonts w:ascii="Times New Roman" w:hAnsi="Times New Roman"/>
            </w:rPr>
            <w:t>1.</w:t>
          </w:r>
          <w:r>
            <w:rPr>
              <w:rFonts w:cs="Vrinda"/>
              <w:b w:val="0"/>
              <w:bCs w:val="0"/>
              <w:i w:val="0"/>
              <w:iCs w:val="0"/>
              <w:kern w:val="2"/>
              <w:szCs w:val="30"/>
              <w:lang w:val="en-GB" w:eastAsia="en-GB" w:bidi="bn-IN"/>
              <w14:ligatures w14:val="standardContextual"/>
            </w:rPr>
            <w:tab/>
          </w:r>
          <w:r>
            <w:rPr>
              <w:rStyle w:val="20"/>
              <w:rFonts w:ascii="Times New Roman" w:hAnsi="Times New Roman"/>
            </w:rPr>
            <w:t>Financial Health Check of General Electronics</w:t>
          </w:r>
          <w:r>
            <w:tab/>
          </w:r>
          <w:r>
            <w:fldChar w:fldCharType="begin"/>
          </w:r>
          <w:r>
            <w:instrText xml:space="preserve"> PAGEREF _Toc217080728 \h </w:instrText>
          </w:r>
          <w:r>
            <w:fldChar w:fldCharType="separate"/>
          </w:r>
          <w:r>
            <w:t>5</w:t>
          </w:r>
          <w:r>
            <w:fldChar w:fldCharType="end"/>
          </w:r>
          <w:r>
            <w:fldChar w:fldCharType="end"/>
          </w:r>
        </w:p>
        <w:p w14:paraId="3E8C719C">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"_Toc217080729" </w:instrText>
          </w:r>
          <w:r>
            <w:fldChar w:fldCharType="separate"/>
          </w:r>
          <w:r>
            <w:rPr>
              <w:rStyle w:val="20"/>
              <w:rFonts w:ascii="Times New Roman" w:hAnsi="Times New Roman"/>
            </w:rPr>
            <w:t>1.1 Analysis of Financial Statements</w:t>
          </w:r>
          <w:r>
            <w:tab/>
          </w:r>
          <w:r>
            <w:fldChar w:fldCharType="begin"/>
          </w:r>
          <w:r>
            <w:instrText xml:space="preserve"> PAGEREF _Toc217080729 \h </w:instrText>
          </w:r>
          <w:r>
            <w:fldChar w:fldCharType="separate"/>
          </w:r>
          <w:r>
            <w:t>5</w:t>
          </w:r>
          <w:r>
            <w:fldChar w:fldCharType="end"/>
          </w:r>
          <w:r>
            <w:fldChar w:fldCharType="end"/>
          </w:r>
        </w:p>
        <w:p w14:paraId="367AECF8">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"_Toc217080730" </w:instrText>
          </w:r>
          <w:r>
            <w:fldChar w:fldCharType="separate"/>
          </w:r>
          <w:r>
            <w:rPr>
              <w:rStyle w:val="20"/>
              <w:rFonts w:ascii="Times New Roman" w:hAnsi="Times New Roman"/>
            </w:rPr>
            <w:t>1.2 Ratio Analysis</w:t>
          </w:r>
          <w:r>
            <w:tab/>
          </w:r>
          <w:r>
            <w:fldChar w:fldCharType="begin"/>
          </w:r>
          <w:r>
            <w:instrText xml:space="preserve"> PAGEREF _Toc217080730 \h </w:instrText>
          </w:r>
          <w:r>
            <w:fldChar w:fldCharType="separate"/>
          </w:r>
          <w:r>
            <w:t>6</w:t>
          </w:r>
          <w:r>
            <w:fldChar w:fldCharType="end"/>
          </w:r>
          <w:r>
            <w:fldChar w:fldCharType="end"/>
          </w:r>
        </w:p>
        <w:p w14:paraId="35DD5710">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"_Toc217080731" </w:instrText>
          </w:r>
          <w:r>
            <w:fldChar w:fldCharType="separate"/>
          </w:r>
          <w:r>
            <w:rPr>
              <w:rStyle w:val="20"/>
              <w:rFonts w:ascii="Times New Roman" w:hAnsi="Times New Roman"/>
            </w:rPr>
            <w:t>1.2.1 Profitability Ratios</w:t>
          </w:r>
          <w:r>
            <w:tab/>
          </w:r>
          <w:r>
            <w:fldChar w:fldCharType="begin"/>
          </w:r>
          <w:r>
            <w:instrText xml:space="preserve"> PAGEREF _Toc217080731 \h </w:instrText>
          </w:r>
          <w:r>
            <w:fldChar w:fldCharType="separate"/>
          </w:r>
          <w:r>
            <w:t>6</w:t>
          </w:r>
          <w:r>
            <w:fldChar w:fldCharType="end"/>
          </w:r>
          <w:r>
            <w:fldChar w:fldCharType="end"/>
          </w:r>
        </w:p>
        <w:p w14:paraId="34209A1B">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"_Toc217080732" </w:instrText>
          </w:r>
          <w:r>
            <w:fldChar w:fldCharType="separate"/>
          </w:r>
          <w:r>
            <w:rPr>
              <w:rStyle w:val="20"/>
              <w:rFonts w:ascii="Times New Roman" w:hAnsi="Times New Roman"/>
            </w:rPr>
            <w:t>1.2.2 Liquidity Ratios</w:t>
          </w:r>
          <w:r>
            <w:tab/>
          </w:r>
          <w:r>
            <w:fldChar w:fldCharType="begin"/>
          </w:r>
          <w:r>
            <w:instrText xml:space="preserve"> PAGEREF _Toc217080732 \h </w:instrText>
          </w:r>
          <w:r>
            <w:fldChar w:fldCharType="separate"/>
          </w:r>
          <w:r>
            <w:t>7</w:t>
          </w:r>
          <w:r>
            <w:fldChar w:fldCharType="end"/>
          </w:r>
          <w:r>
            <w:fldChar w:fldCharType="end"/>
          </w:r>
        </w:p>
        <w:p w14:paraId="7C87FCC5">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"_Toc217080733" </w:instrText>
          </w:r>
          <w:r>
            <w:fldChar w:fldCharType="separate"/>
          </w:r>
          <w:r>
            <w:rPr>
              <w:rStyle w:val="20"/>
              <w:rFonts w:ascii="Times New Roman" w:hAnsi="Times New Roman"/>
            </w:rPr>
            <w:t>1.2.3 Efficiency Ratios</w:t>
          </w:r>
          <w:r>
            <w:tab/>
          </w:r>
          <w:r>
            <w:fldChar w:fldCharType="begin"/>
          </w:r>
          <w:r>
            <w:instrText xml:space="preserve"> PAGEREF _Toc217080733 \h </w:instrText>
          </w:r>
          <w:r>
            <w:fldChar w:fldCharType="separate"/>
          </w:r>
          <w:r>
            <w:t>7</w:t>
          </w:r>
          <w:r>
            <w:fldChar w:fldCharType="end"/>
          </w:r>
          <w:r>
            <w:fldChar w:fldCharType="end"/>
          </w:r>
        </w:p>
        <w:p w14:paraId="1DF926DA">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"_Toc217080734" </w:instrText>
          </w:r>
          <w:r>
            <w:fldChar w:fldCharType="separate"/>
          </w:r>
          <w:r>
            <w:rPr>
              <w:rStyle w:val="20"/>
              <w:rFonts w:ascii="Times New Roman" w:hAnsi="Times New Roman"/>
            </w:rPr>
            <w:t>1.2.4 Gearing and Solvency Ratios</w:t>
          </w:r>
          <w:r>
            <w:tab/>
          </w:r>
          <w:r>
            <w:fldChar w:fldCharType="begin"/>
          </w:r>
          <w:r>
            <w:instrText xml:space="preserve"> PAGEREF _Toc217080734 \h </w:instrText>
          </w:r>
          <w:r>
            <w:fldChar w:fldCharType="separate"/>
          </w:r>
          <w:r>
            <w:t>8</w:t>
          </w:r>
          <w:r>
            <w:fldChar w:fldCharType="end"/>
          </w:r>
          <w:r>
            <w:fldChar w:fldCharType="end"/>
          </w:r>
        </w:p>
        <w:p w14:paraId="35500FA8">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"_Toc217080735" </w:instrText>
          </w:r>
          <w:r>
            <w:fldChar w:fldCharType="separate"/>
          </w:r>
          <w:r>
            <w:rPr>
              <w:rStyle w:val="20"/>
              <w:rFonts w:ascii="Times New Roman" w:hAnsi="Times New Roman"/>
            </w:rPr>
            <w:t>1.2.5 Investment Ratios</w:t>
          </w:r>
          <w:r>
            <w:tab/>
          </w:r>
          <w:r>
            <w:fldChar w:fldCharType="begin"/>
          </w:r>
          <w:r>
            <w:instrText xml:space="preserve"> PAGEREF _Toc217080735 \h </w:instrText>
          </w:r>
          <w:r>
            <w:fldChar w:fldCharType="separate"/>
          </w:r>
          <w:r>
            <w:t>8</w:t>
          </w:r>
          <w:r>
            <w:fldChar w:fldCharType="end"/>
          </w:r>
          <w:r>
            <w:fldChar w:fldCharType="end"/>
          </w:r>
        </w:p>
        <w:p w14:paraId="2C6C351F">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"_Toc217080736" </w:instrText>
          </w:r>
          <w:r>
            <w:fldChar w:fldCharType="separate"/>
          </w:r>
          <w:r>
            <w:rPr>
              <w:rStyle w:val="20"/>
              <w:rFonts w:ascii="Times New Roman" w:hAnsi="Times New Roman"/>
            </w:rPr>
            <w:t>1.2.6 Cash Flow Ratios</w:t>
          </w:r>
          <w:r>
            <w:tab/>
          </w:r>
          <w:r>
            <w:fldChar w:fldCharType="begin"/>
          </w:r>
          <w:r>
            <w:instrText xml:space="preserve"> PAGEREF _Toc217080736 \h </w:instrText>
          </w:r>
          <w:r>
            <w:fldChar w:fldCharType="separate"/>
          </w:r>
          <w:r>
            <w:t>8</w:t>
          </w:r>
          <w:r>
            <w:fldChar w:fldCharType="end"/>
          </w:r>
          <w:r>
            <w:fldChar w:fldCharType="end"/>
          </w:r>
        </w:p>
        <w:p w14:paraId="7A0ED538">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"_Toc217080737" </w:instrText>
          </w:r>
          <w:r>
            <w:fldChar w:fldCharType="separate"/>
          </w:r>
          <w:r>
            <w:rPr>
              <w:rStyle w:val="20"/>
              <w:rFonts w:ascii="Times New Roman" w:hAnsi="Times New Roman"/>
            </w:rPr>
            <w:t>1.3 Trends, Strengths, and Threats</w:t>
          </w:r>
          <w:r>
            <w:tab/>
          </w:r>
          <w:r>
            <w:fldChar w:fldCharType="begin"/>
          </w:r>
          <w:r>
            <w:instrText xml:space="preserve"> PAGEREF _Toc217080737 \h </w:instrText>
          </w:r>
          <w:r>
            <w:fldChar w:fldCharType="separate"/>
          </w:r>
          <w:r>
            <w:t>9</w:t>
          </w:r>
          <w:r>
            <w:fldChar w:fldCharType="end"/>
          </w:r>
          <w:r>
            <w:fldChar w:fldCharType="end"/>
          </w:r>
        </w:p>
        <w:p w14:paraId="24EE385A">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"_Toc217080738" </w:instrText>
          </w:r>
          <w:r>
            <w:fldChar w:fldCharType="separate"/>
          </w:r>
          <w:r>
            <w:rPr>
              <w:rStyle w:val="20"/>
              <w:rFonts w:ascii="Times New Roman" w:hAnsi="Times New Roman"/>
            </w:rPr>
            <w:t>1.4 Corporate Failure Prediction (Altman Z-Score)</w:t>
          </w:r>
          <w:r>
            <w:tab/>
          </w:r>
          <w:r>
            <w:fldChar w:fldCharType="begin"/>
          </w:r>
          <w:r>
            <w:instrText xml:space="preserve"> PAGEREF _Toc217080738 \h </w:instrText>
          </w:r>
          <w:r>
            <w:fldChar w:fldCharType="separate"/>
          </w:r>
          <w:r>
            <w:t>9</w:t>
          </w:r>
          <w:r>
            <w:fldChar w:fldCharType="end"/>
          </w:r>
          <w:r>
            <w:fldChar w:fldCharType="end"/>
          </w:r>
        </w:p>
        <w:p w14:paraId="3D04ECBC">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"_Toc217080739" </w:instrText>
          </w:r>
          <w:r>
            <w:fldChar w:fldCharType="separate"/>
          </w:r>
          <w:r>
            <w:rPr>
              <w:rStyle w:val="20"/>
              <w:rFonts w:ascii="Times New Roman" w:hAnsi="Times New Roman"/>
            </w:rPr>
            <w:t>2. Working Capital Management Analysis</w:t>
          </w:r>
          <w:r>
            <w:tab/>
          </w:r>
          <w:r>
            <w:fldChar w:fldCharType="begin"/>
          </w:r>
          <w:r>
            <w:instrText xml:space="preserve"> PAGEREF _Toc217080739 \h </w:instrText>
          </w:r>
          <w:r>
            <w:fldChar w:fldCharType="separate"/>
          </w:r>
          <w:r>
            <w:t>11</w:t>
          </w:r>
          <w:r>
            <w:fldChar w:fldCharType="end"/>
          </w:r>
          <w:r>
            <w:fldChar w:fldCharType="end"/>
          </w:r>
        </w:p>
        <w:p w14:paraId="1D96A0D3">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"_Toc217080740" </w:instrText>
          </w:r>
          <w:r>
            <w:fldChar w:fldCharType="separate"/>
          </w:r>
          <w:r>
            <w:rPr>
              <w:rStyle w:val="20"/>
              <w:rFonts w:ascii="Times New Roman" w:hAnsi="Times New Roman"/>
            </w:rPr>
            <w:t>2.1 Cash Operating Cycle (COC) Analysis</w:t>
          </w:r>
          <w:r>
            <w:tab/>
          </w:r>
          <w:r>
            <w:fldChar w:fldCharType="begin"/>
          </w:r>
          <w:r>
            <w:instrText xml:space="preserve"> PAGEREF _Toc217080740 \h </w:instrText>
          </w:r>
          <w:r>
            <w:fldChar w:fldCharType="separate"/>
          </w:r>
          <w:r>
            <w:t>11</w:t>
          </w:r>
          <w:r>
            <w:fldChar w:fldCharType="end"/>
          </w:r>
          <w:r>
            <w:fldChar w:fldCharType="end"/>
          </w:r>
        </w:p>
        <w:p w14:paraId="2EB2368D">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"_Toc217080741" </w:instrText>
          </w:r>
          <w:r>
            <w:fldChar w:fldCharType="separate"/>
          </w:r>
          <w:r>
            <w:rPr>
              <w:rStyle w:val="20"/>
              <w:rFonts w:ascii="Times New Roman" w:hAnsi="Times New Roman"/>
            </w:rPr>
            <w:t>2.2 Strategies to Improve Liquidity Through Working Capital Reforms</w:t>
          </w:r>
          <w:r>
            <w:tab/>
          </w:r>
          <w:r>
            <w:fldChar w:fldCharType="begin"/>
          </w:r>
          <w:r>
            <w:instrText xml:space="preserve"> PAGEREF _Toc217080741 \h </w:instrText>
          </w:r>
          <w:r>
            <w:fldChar w:fldCharType="separate"/>
          </w:r>
          <w:r>
            <w:t>12</w:t>
          </w:r>
          <w:r>
            <w:fldChar w:fldCharType="end"/>
          </w:r>
          <w:r>
            <w:fldChar w:fldCharType="end"/>
          </w:r>
        </w:p>
        <w:p w14:paraId="537A1734">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"_Toc217080742" </w:instrText>
          </w:r>
          <w:r>
            <w:fldChar w:fldCharType="separate"/>
          </w:r>
          <w:r>
            <w:rPr>
              <w:rStyle w:val="20"/>
              <w:rFonts w:ascii="Times New Roman" w:hAnsi="Times New Roman"/>
            </w:rPr>
            <w:t>2.2.1 Inventory Management Reforms</w:t>
          </w:r>
          <w:r>
            <w:tab/>
          </w:r>
          <w:r>
            <w:fldChar w:fldCharType="begin"/>
          </w:r>
          <w:r>
            <w:instrText xml:space="preserve"> PAGEREF _Toc217080742 \h </w:instrText>
          </w:r>
          <w:r>
            <w:fldChar w:fldCharType="separate"/>
          </w:r>
          <w:r>
            <w:t>12</w:t>
          </w:r>
          <w:r>
            <w:fldChar w:fldCharType="end"/>
          </w:r>
          <w:r>
            <w:fldChar w:fldCharType="end"/>
          </w:r>
        </w:p>
        <w:p w14:paraId="484D2F92">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"_Toc217080743" </w:instrText>
          </w:r>
          <w:r>
            <w:fldChar w:fldCharType="separate"/>
          </w:r>
          <w:r>
            <w:rPr>
              <w:rStyle w:val="20"/>
              <w:rFonts w:ascii="Times New Roman" w:hAnsi="Times New Roman"/>
            </w:rPr>
            <w:t>2.2.2 Receivables Management Reforms</w:t>
          </w:r>
          <w:r>
            <w:tab/>
          </w:r>
          <w:r>
            <w:fldChar w:fldCharType="begin"/>
          </w:r>
          <w:r>
            <w:instrText xml:space="preserve"> PAGEREF _Toc217080743 \h </w:instrText>
          </w:r>
          <w:r>
            <w:fldChar w:fldCharType="separate"/>
          </w:r>
          <w:r>
            <w:t>12</w:t>
          </w:r>
          <w:r>
            <w:fldChar w:fldCharType="end"/>
          </w:r>
          <w:r>
            <w:fldChar w:fldCharType="end"/>
          </w:r>
        </w:p>
        <w:p w14:paraId="0DE6B935">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"_Toc217080744" </w:instrText>
          </w:r>
          <w:r>
            <w:fldChar w:fldCharType="separate"/>
          </w:r>
          <w:r>
            <w:rPr>
              <w:rStyle w:val="20"/>
              <w:rFonts w:ascii="Times New Roman" w:hAnsi="Times New Roman"/>
            </w:rPr>
            <w:t>2.3 Short-Term vs Long-Term Financing Options</w:t>
          </w:r>
          <w:r>
            <w:tab/>
          </w:r>
          <w:r>
            <w:fldChar w:fldCharType="begin"/>
          </w:r>
          <w:r>
            <w:instrText xml:space="preserve"> PAGEREF _Toc217080744 \h </w:instrText>
          </w:r>
          <w:r>
            <w:fldChar w:fldCharType="separate"/>
          </w:r>
          <w:r>
            <w:t>13</w:t>
          </w:r>
          <w:r>
            <w:fldChar w:fldCharType="end"/>
          </w:r>
          <w:r>
            <w:fldChar w:fldCharType="end"/>
          </w:r>
        </w:p>
        <w:p w14:paraId="708254EE">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"_Toc217080745" </w:instrText>
          </w:r>
          <w:r>
            <w:fldChar w:fldCharType="separate"/>
          </w:r>
          <w:r>
            <w:rPr>
              <w:rStyle w:val="20"/>
              <w:rFonts w:ascii="Times New Roman" w:hAnsi="Times New Roman"/>
            </w:rPr>
            <w:t>2.3.1 Short-Term Financing Options</w:t>
          </w:r>
          <w:r>
            <w:tab/>
          </w:r>
          <w:r>
            <w:fldChar w:fldCharType="begin"/>
          </w:r>
          <w:r>
            <w:instrText xml:space="preserve"> PAGEREF _Toc217080745 \h </w:instrText>
          </w:r>
          <w:r>
            <w:fldChar w:fldCharType="separate"/>
          </w:r>
          <w:r>
            <w:t>13</w:t>
          </w:r>
          <w:r>
            <w:fldChar w:fldCharType="end"/>
          </w:r>
          <w:r>
            <w:fldChar w:fldCharType="end"/>
          </w:r>
        </w:p>
        <w:p w14:paraId="7BAC53A9">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"_Toc217080746" </w:instrText>
          </w:r>
          <w:r>
            <w:fldChar w:fldCharType="separate"/>
          </w:r>
          <w:r>
            <w:rPr>
              <w:rStyle w:val="20"/>
              <w:rFonts w:ascii="Times New Roman" w:hAnsi="Times New Roman"/>
            </w:rPr>
            <w:t>2.3.2 Long-Term Financing Options</w:t>
          </w:r>
          <w:r>
            <w:tab/>
          </w:r>
          <w:r>
            <w:fldChar w:fldCharType="begin"/>
          </w:r>
          <w:r>
            <w:instrText xml:space="preserve"> PAGEREF _Toc217080746 \h </w:instrText>
          </w:r>
          <w:r>
            <w:fldChar w:fldCharType="separate"/>
          </w:r>
          <w:r>
            <w:t>13</w:t>
          </w:r>
          <w:r>
            <w:fldChar w:fldCharType="end"/>
          </w:r>
          <w:r>
            <w:fldChar w:fldCharType="end"/>
          </w:r>
        </w:p>
        <w:p w14:paraId="528ADB49">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"_Toc217080747" </w:instrText>
          </w:r>
          <w:r>
            <w:fldChar w:fldCharType="separate"/>
          </w:r>
          <w:r>
            <w:rPr>
              <w:rStyle w:val="20"/>
              <w:rFonts w:ascii="Times New Roman" w:hAnsi="Times New Roman"/>
            </w:rPr>
            <w:t>3. Strategic Financial Restructuring Plan</w:t>
          </w:r>
          <w:r>
            <w:tab/>
          </w:r>
          <w:r>
            <w:fldChar w:fldCharType="begin"/>
          </w:r>
          <w:r>
            <w:instrText xml:space="preserve"> PAGEREF _Toc217080747 \h </w:instrText>
          </w:r>
          <w:r>
            <w:fldChar w:fldCharType="separate"/>
          </w:r>
          <w:r>
            <w:t>15</w:t>
          </w:r>
          <w:r>
            <w:fldChar w:fldCharType="end"/>
          </w:r>
          <w:r>
            <w:fldChar w:fldCharType="end"/>
          </w:r>
        </w:p>
        <w:p w14:paraId="260305F2">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"_Toc217080748" </w:instrText>
          </w:r>
          <w:r>
            <w:fldChar w:fldCharType="separate"/>
          </w:r>
          <w:r>
            <w:rPr>
              <w:rStyle w:val="20"/>
              <w:rFonts w:ascii="Times New Roman" w:hAnsi="Times New Roman"/>
            </w:rPr>
            <w:t>3.1 Strategic Option 1: Divestiture of Non-Core or Underperforming Units</w:t>
          </w:r>
          <w:r>
            <w:tab/>
          </w:r>
          <w:r>
            <w:fldChar w:fldCharType="begin"/>
          </w:r>
          <w:r>
            <w:instrText xml:space="preserve"> PAGEREF _Toc217080748 \h </w:instrText>
          </w:r>
          <w:r>
            <w:fldChar w:fldCharType="separate"/>
          </w:r>
          <w:r>
            <w:t>15</w:t>
          </w:r>
          <w:r>
            <w:fldChar w:fldCharType="end"/>
          </w:r>
          <w:r>
            <w:fldChar w:fldCharType="end"/>
          </w:r>
        </w:p>
        <w:p w14:paraId="5686C4CA">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"_Toc217080749" </w:instrText>
          </w:r>
          <w:r>
            <w:fldChar w:fldCharType="separate"/>
          </w:r>
          <w:r>
            <w:rPr>
              <w:rStyle w:val="20"/>
              <w:rFonts w:ascii="Times New Roman" w:hAnsi="Times New Roman"/>
            </w:rPr>
            <w:t>3.2 Strategic Option 2: Merger or Strategic Partnership</w:t>
          </w:r>
          <w:r>
            <w:tab/>
          </w:r>
          <w:r>
            <w:fldChar w:fldCharType="begin"/>
          </w:r>
          <w:r>
            <w:instrText xml:space="preserve"> PAGEREF _Toc217080749 \h </w:instrText>
          </w:r>
          <w:r>
            <w:fldChar w:fldCharType="separate"/>
          </w:r>
          <w:r>
            <w:t>16</w:t>
          </w:r>
          <w:r>
            <w:fldChar w:fldCharType="end"/>
          </w:r>
          <w:r>
            <w:fldChar w:fldCharType="end"/>
          </w:r>
        </w:p>
        <w:p w14:paraId="398712CB">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"_Toc217080750" </w:instrText>
          </w:r>
          <w:r>
            <w:fldChar w:fldCharType="separate"/>
          </w:r>
          <w:r>
            <w:rPr>
              <w:rStyle w:val="20"/>
              <w:rFonts w:ascii="Times New Roman" w:hAnsi="Times New Roman"/>
            </w:rPr>
            <w:t>3.3 Strategic Option 3: Equity Injection or Recapitalization</w:t>
          </w:r>
          <w:r>
            <w:tab/>
          </w:r>
          <w:r>
            <w:fldChar w:fldCharType="begin"/>
          </w:r>
          <w:r>
            <w:instrText xml:space="preserve"> PAGEREF _Toc217080750 \h </w:instrText>
          </w:r>
          <w:r>
            <w:fldChar w:fldCharType="separate"/>
          </w:r>
          <w:r>
            <w:t>16</w:t>
          </w:r>
          <w:r>
            <w:fldChar w:fldCharType="end"/>
          </w:r>
          <w:r>
            <w:fldChar w:fldCharType="end"/>
          </w:r>
        </w:p>
        <w:p w14:paraId="252CBCED">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"_Toc217080751" </w:instrText>
          </w:r>
          <w:r>
            <w:fldChar w:fldCharType="separate"/>
          </w:r>
          <w:r>
            <w:rPr>
              <w:rStyle w:val="20"/>
              <w:rFonts w:ascii="Times New Roman" w:hAnsi="Times New Roman"/>
              <w:lang w:val="en-GB" w:eastAsia="en-GB"/>
            </w:rPr>
            <w:t>3.4 Integrated Restructuring Strategy (Combined Approach)</w:t>
          </w:r>
          <w:r>
            <w:tab/>
          </w:r>
          <w:r>
            <w:fldChar w:fldCharType="begin"/>
          </w:r>
          <w:r>
            <w:instrText xml:space="preserve"> PAGEREF _Toc217080751 \h </w:instrText>
          </w:r>
          <w:r>
            <w:fldChar w:fldCharType="separate"/>
          </w:r>
          <w:r>
            <w:t>17</w:t>
          </w:r>
          <w:r>
            <w:fldChar w:fldCharType="end"/>
          </w:r>
          <w:r>
            <w:fldChar w:fldCharType="end"/>
          </w:r>
        </w:p>
        <w:p w14:paraId="7050E3DD">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"_Toc217080752" </w:instrText>
          </w:r>
          <w:r>
            <w:fldChar w:fldCharType="separate"/>
          </w:r>
          <w:r>
            <w:rPr>
              <w:rStyle w:val="20"/>
              <w:rFonts w:ascii="Times New Roman" w:hAnsi="Times New Roman"/>
            </w:rPr>
            <w:t>3.5 Ethical, International, and ESG Considerations</w:t>
          </w:r>
          <w:r>
            <w:tab/>
          </w:r>
          <w:r>
            <w:fldChar w:fldCharType="begin"/>
          </w:r>
          <w:r>
            <w:instrText xml:space="preserve"> PAGEREF _Toc217080752 \h </w:instrText>
          </w:r>
          <w:r>
            <w:fldChar w:fldCharType="separate"/>
          </w:r>
          <w:r>
            <w:t>18</w:t>
          </w:r>
          <w:r>
            <w:fldChar w:fldCharType="end"/>
          </w:r>
          <w:r>
            <w:fldChar w:fldCharType="end"/>
          </w:r>
        </w:p>
        <w:p w14:paraId="445A8EA2">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"_Toc217080753" </w:instrText>
          </w:r>
          <w:r>
            <w:fldChar w:fldCharType="separate"/>
          </w:r>
          <w:r>
            <w:rPr>
              <w:rStyle w:val="20"/>
              <w:rFonts w:ascii="Times New Roman" w:hAnsi="Times New Roman"/>
            </w:rPr>
            <w:t>4. Investment Appraisal and Capital Budgeting</w:t>
          </w:r>
          <w:r>
            <w:tab/>
          </w:r>
          <w:r>
            <w:fldChar w:fldCharType="begin"/>
          </w:r>
          <w:r>
            <w:instrText xml:space="preserve"> PAGEREF _Toc217080753 \h </w:instrText>
          </w:r>
          <w:r>
            <w:fldChar w:fldCharType="separate"/>
          </w:r>
          <w:r>
            <w:t>19</w:t>
          </w:r>
          <w:r>
            <w:fldChar w:fldCharType="end"/>
          </w:r>
          <w:r>
            <w:fldChar w:fldCharType="end"/>
          </w:r>
        </w:p>
        <w:p w14:paraId="20C792C4">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"_Toc217080754" </w:instrText>
          </w:r>
          <w:r>
            <w:fldChar w:fldCharType="separate"/>
          </w:r>
          <w:r>
            <w:rPr>
              <w:rStyle w:val="20"/>
              <w:rFonts w:ascii="Times New Roman" w:hAnsi="Times New Roman"/>
            </w:rPr>
            <w:t>4.1 Payback Period (PBP)</w:t>
          </w:r>
          <w:r>
            <w:tab/>
          </w:r>
          <w:r>
            <w:fldChar w:fldCharType="begin"/>
          </w:r>
          <w:r>
            <w:instrText xml:space="preserve"> PAGEREF _Toc217080754 \h </w:instrText>
          </w:r>
          <w:r>
            <w:fldChar w:fldCharType="separate"/>
          </w:r>
          <w:r>
            <w:t>19</w:t>
          </w:r>
          <w:r>
            <w:fldChar w:fldCharType="end"/>
          </w:r>
          <w:r>
            <w:fldChar w:fldCharType="end"/>
          </w:r>
        </w:p>
        <w:p w14:paraId="01DCDC98">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"_Toc217080755" </w:instrText>
          </w:r>
          <w:r>
            <w:fldChar w:fldCharType="separate"/>
          </w:r>
          <w:r>
            <w:rPr>
              <w:rStyle w:val="20"/>
              <w:rFonts w:ascii="Times New Roman" w:hAnsi="Times New Roman"/>
            </w:rPr>
            <w:t>4.1.1 Project A</w:t>
          </w:r>
          <w:r>
            <w:tab/>
          </w:r>
          <w:r>
            <w:fldChar w:fldCharType="begin"/>
          </w:r>
          <w:r>
            <w:instrText xml:space="preserve"> PAGEREF _Toc217080755 \h </w:instrText>
          </w:r>
          <w:r>
            <w:fldChar w:fldCharType="separate"/>
          </w:r>
          <w:r>
            <w:t>19</w:t>
          </w:r>
          <w:r>
            <w:fldChar w:fldCharType="end"/>
          </w:r>
          <w:r>
            <w:fldChar w:fldCharType="end"/>
          </w:r>
        </w:p>
        <w:p w14:paraId="72033577">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"_Toc217080756" </w:instrText>
          </w:r>
          <w:r>
            <w:fldChar w:fldCharType="separate"/>
          </w:r>
          <w:r>
            <w:rPr>
              <w:rStyle w:val="20"/>
              <w:rFonts w:ascii="Times New Roman" w:hAnsi="Times New Roman"/>
            </w:rPr>
            <w:t>4.1.2 Project B</w:t>
          </w:r>
          <w:r>
            <w:tab/>
          </w:r>
          <w:r>
            <w:fldChar w:fldCharType="begin"/>
          </w:r>
          <w:r>
            <w:instrText xml:space="preserve"> PAGEREF _Toc217080756 \h </w:instrText>
          </w:r>
          <w:r>
            <w:fldChar w:fldCharType="separate"/>
          </w:r>
          <w:r>
            <w:t>20</w:t>
          </w:r>
          <w:r>
            <w:fldChar w:fldCharType="end"/>
          </w:r>
          <w:r>
            <w:fldChar w:fldCharType="end"/>
          </w:r>
        </w:p>
        <w:p w14:paraId="5578FE26">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"_Toc217080757" </w:instrText>
          </w:r>
          <w:r>
            <w:fldChar w:fldCharType="separate"/>
          </w:r>
          <w:r>
            <w:rPr>
              <w:rStyle w:val="20"/>
              <w:rFonts w:ascii="Times New Roman" w:hAnsi="Times New Roman"/>
            </w:rPr>
            <w:t>4.1.3 Project C</w:t>
          </w:r>
          <w:r>
            <w:tab/>
          </w:r>
          <w:r>
            <w:fldChar w:fldCharType="begin"/>
          </w:r>
          <w:r>
            <w:instrText xml:space="preserve"> PAGEREF _Toc217080757 \h </w:instrText>
          </w:r>
          <w:r>
            <w:fldChar w:fldCharType="separate"/>
          </w:r>
          <w:r>
            <w:t>20</w:t>
          </w:r>
          <w:r>
            <w:fldChar w:fldCharType="end"/>
          </w:r>
          <w:r>
            <w:fldChar w:fldCharType="end"/>
          </w:r>
        </w:p>
        <w:p w14:paraId="77C21E5D">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"_Toc217080758" </w:instrText>
          </w:r>
          <w:r>
            <w:fldChar w:fldCharType="separate"/>
          </w:r>
          <w:r>
            <w:rPr>
              <w:rStyle w:val="20"/>
              <w:rFonts w:ascii="Times New Roman" w:hAnsi="Times New Roman"/>
            </w:rPr>
            <w:t>PBP Summary</w:t>
          </w:r>
          <w:r>
            <w:tab/>
          </w:r>
          <w:r>
            <w:fldChar w:fldCharType="begin"/>
          </w:r>
          <w:r>
            <w:instrText xml:space="preserve"> PAGEREF _Toc217080758 \h </w:instrText>
          </w:r>
          <w:r>
            <w:fldChar w:fldCharType="separate"/>
          </w:r>
          <w:r>
            <w:t>20</w:t>
          </w:r>
          <w:r>
            <w:fldChar w:fldCharType="end"/>
          </w:r>
          <w:r>
            <w:fldChar w:fldCharType="end"/>
          </w:r>
        </w:p>
        <w:p w14:paraId="1A9AE5FD">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"_Toc217080759" </w:instrText>
          </w:r>
          <w:r>
            <w:fldChar w:fldCharType="separate"/>
          </w:r>
          <w:r>
            <w:rPr>
              <w:rStyle w:val="20"/>
              <w:rFonts w:ascii="Times New Roman" w:hAnsi="Times New Roman"/>
            </w:rPr>
            <w:t>4.2 Accounting Rate of Return (ARR)</w:t>
          </w:r>
          <w:r>
            <w:tab/>
          </w:r>
          <w:r>
            <w:fldChar w:fldCharType="begin"/>
          </w:r>
          <w:r>
            <w:instrText xml:space="preserve"> PAGEREF _Toc217080759 \h </w:instrText>
          </w:r>
          <w:r>
            <w:fldChar w:fldCharType="separate"/>
          </w:r>
          <w:r>
            <w:t>21</w:t>
          </w:r>
          <w:r>
            <w:fldChar w:fldCharType="end"/>
          </w:r>
          <w:r>
            <w:fldChar w:fldCharType="end"/>
          </w:r>
        </w:p>
        <w:p w14:paraId="5E5A7130">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"_Toc217080760" </w:instrText>
          </w:r>
          <w:r>
            <w:fldChar w:fldCharType="separate"/>
          </w:r>
          <w:r>
            <w:rPr>
              <w:rStyle w:val="20"/>
              <w:rFonts w:ascii="Times New Roman" w:hAnsi="Times New Roman"/>
            </w:rPr>
            <w:t>ARR Summary</w:t>
          </w:r>
          <w:r>
            <w:tab/>
          </w:r>
          <w:r>
            <w:fldChar w:fldCharType="begin"/>
          </w:r>
          <w:r>
            <w:instrText xml:space="preserve"> PAGEREF _Toc217080760 \h </w:instrText>
          </w:r>
          <w:r>
            <w:fldChar w:fldCharType="separate"/>
          </w:r>
          <w:r>
            <w:t>21</w:t>
          </w:r>
          <w:r>
            <w:fldChar w:fldCharType="end"/>
          </w:r>
          <w:r>
            <w:fldChar w:fldCharType="end"/>
          </w:r>
        </w:p>
        <w:p w14:paraId="1EE11CD5">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"_Toc217080761" </w:instrText>
          </w:r>
          <w:r>
            <w:fldChar w:fldCharType="separate"/>
          </w:r>
          <w:r>
            <w:rPr>
              <w:rStyle w:val="20"/>
              <w:rFonts w:ascii="Times New Roman" w:hAnsi="Times New Roman"/>
            </w:rPr>
            <w:t>4.3 Net Present Value (NPV)</w:t>
          </w:r>
          <w:r>
            <w:tab/>
          </w:r>
          <w:r>
            <w:fldChar w:fldCharType="begin"/>
          </w:r>
          <w:r>
            <w:instrText xml:space="preserve"> PAGEREF _Toc217080761 \h </w:instrText>
          </w:r>
          <w:r>
            <w:fldChar w:fldCharType="separate"/>
          </w:r>
          <w:r>
            <w:t>21</w:t>
          </w:r>
          <w:r>
            <w:fldChar w:fldCharType="end"/>
          </w:r>
          <w:r>
            <w:fldChar w:fldCharType="end"/>
          </w:r>
        </w:p>
        <w:p w14:paraId="521A0324">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"_Toc217080762" </w:instrText>
          </w:r>
          <w:r>
            <w:fldChar w:fldCharType="separate"/>
          </w:r>
          <w:r>
            <w:rPr>
              <w:rStyle w:val="20"/>
              <w:rFonts w:ascii="Times New Roman" w:hAnsi="Times New Roman"/>
            </w:rPr>
            <w:t>4.3.1 Project A</w:t>
          </w:r>
          <w:r>
            <w:tab/>
          </w:r>
          <w:r>
            <w:fldChar w:fldCharType="begin"/>
          </w:r>
          <w:r>
            <w:instrText xml:space="preserve"> PAGEREF _Toc217080762 \h </w:instrText>
          </w:r>
          <w:r>
            <w:fldChar w:fldCharType="separate"/>
          </w:r>
          <w:r>
            <w:t>22</w:t>
          </w:r>
          <w:r>
            <w:fldChar w:fldCharType="end"/>
          </w:r>
          <w:r>
            <w:fldChar w:fldCharType="end"/>
          </w:r>
        </w:p>
        <w:p w14:paraId="2CBD8DE4">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"_Toc217080763" </w:instrText>
          </w:r>
          <w:r>
            <w:fldChar w:fldCharType="separate"/>
          </w:r>
          <w:r>
            <w:rPr>
              <w:rStyle w:val="20"/>
              <w:rFonts w:ascii="Times New Roman" w:hAnsi="Times New Roman"/>
            </w:rPr>
            <w:t>4.3.2 Project B</w:t>
          </w:r>
          <w:r>
            <w:tab/>
          </w:r>
          <w:r>
            <w:fldChar w:fldCharType="begin"/>
          </w:r>
          <w:r>
            <w:instrText xml:space="preserve"> PAGEREF _Toc217080763 \h </w:instrText>
          </w:r>
          <w:r>
            <w:fldChar w:fldCharType="separate"/>
          </w:r>
          <w:r>
            <w:t>22</w:t>
          </w:r>
          <w:r>
            <w:fldChar w:fldCharType="end"/>
          </w:r>
          <w:r>
            <w:fldChar w:fldCharType="end"/>
          </w:r>
        </w:p>
        <w:p w14:paraId="3054284A">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"_Toc217080764" </w:instrText>
          </w:r>
          <w:r>
            <w:fldChar w:fldCharType="separate"/>
          </w:r>
          <w:r>
            <w:rPr>
              <w:rStyle w:val="20"/>
              <w:rFonts w:ascii="Times New Roman" w:hAnsi="Times New Roman"/>
            </w:rPr>
            <w:t>4.3.3 Project C</w:t>
          </w:r>
          <w:r>
            <w:tab/>
          </w:r>
          <w:r>
            <w:fldChar w:fldCharType="begin"/>
          </w:r>
          <w:r>
            <w:instrText xml:space="preserve"> PAGEREF _Toc217080764 \h </w:instrText>
          </w:r>
          <w:r>
            <w:fldChar w:fldCharType="separate"/>
          </w:r>
          <w:r>
            <w:t>22</w:t>
          </w:r>
          <w:r>
            <w:fldChar w:fldCharType="end"/>
          </w:r>
          <w:r>
            <w:fldChar w:fldCharType="end"/>
          </w:r>
        </w:p>
        <w:p w14:paraId="666DE012">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"_Toc217080765" </w:instrText>
          </w:r>
          <w:r>
            <w:fldChar w:fldCharType="separate"/>
          </w:r>
          <w:r>
            <w:rPr>
              <w:rStyle w:val="20"/>
              <w:rFonts w:ascii="Times New Roman" w:hAnsi="Times New Roman"/>
            </w:rPr>
            <w:t>NPV Summary</w:t>
          </w:r>
          <w:r>
            <w:tab/>
          </w:r>
          <w:r>
            <w:fldChar w:fldCharType="begin"/>
          </w:r>
          <w:r>
            <w:instrText xml:space="preserve"> PAGEREF _Toc217080765 \h </w:instrText>
          </w:r>
          <w:r>
            <w:fldChar w:fldCharType="separate"/>
          </w:r>
          <w:r>
            <w:t>23</w:t>
          </w:r>
          <w:r>
            <w:fldChar w:fldCharType="end"/>
          </w:r>
          <w:r>
            <w:fldChar w:fldCharType="end"/>
          </w:r>
        </w:p>
        <w:p w14:paraId="00886DDB">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"_Toc217080766" </w:instrText>
          </w:r>
          <w:r>
            <w:fldChar w:fldCharType="separate"/>
          </w:r>
          <w:r>
            <w:rPr>
              <w:rStyle w:val="20"/>
              <w:rFonts w:ascii="Times New Roman" w:hAnsi="Times New Roman"/>
            </w:rPr>
            <w:t>4.4 Profitability Index (PI)</w:t>
          </w:r>
          <w:r>
            <w:tab/>
          </w:r>
          <w:r>
            <w:fldChar w:fldCharType="begin"/>
          </w:r>
          <w:r>
            <w:instrText xml:space="preserve"> PAGEREF _Toc217080766 \h </w:instrText>
          </w:r>
          <w:r>
            <w:fldChar w:fldCharType="separate"/>
          </w:r>
          <w:r>
            <w:t>23</w:t>
          </w:r>
          <w:r>
            <w:fldChar w:fldCharType="end"/>
          </w:r>
          <w:r>
            <w:fldChar w:fldCharType="end"/>
          </w:r>
        </w:p>
        <w:p w14:paraId="02A0040A">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"_Toc217080767" </w:instrText>
          </w:r>
          <w:r>
            <w:fldChar w:fldCharType="separate"/>
          </w:r>
          <w:r>
            <w:rPr>
              <w:rStyle w:val="20"/>
              <w:rFonts w:ascii="Times New Roman" w:hAnsi="Times New Roman"/>
            </w:rPr>
            <w:t>PI Summary</w:t>
          </w:r>
          <w:r>
            <w:tab/>
          </w:r>
          <w:r>
            <w:fldChar w:fldCharType="begin"/>
          </w:r>
          <w:r>
            <w:instrText xml:space="preserve"> PAGEREF _Toc217080767 \h </w:instrText>
          </w:r>
          <w:r>
            <w:fldChar w:fldCharType="separate"/>
          </w:r>
          <w:r>
            <w:t>23</w:t>
          </w:r>
          <w:r>
            <w:fldChar w:fldCharType="end"/>
          </w:r>
          <w:r>
            <w:fldChar w:fldCharType="end"/>
          </w:r>
        </w:p>
        <w:p w14:paraId="3D92E59A">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"_Toc217080768" </w:instrText>
          </w:r>
          <w:r>
            <w:fldChar w:fldCharType="separate"/>
          </w:r>
          <w:r>
            <w:rPr>
              <w:rStyle w:val="20"/>
              <w:rFonts w:ascii="Times New Roman" w:hAnsi="Times New Roman"/>
            </w:rPr>
            <w:t>4.5 Internal Rate of Return (IRR)</w:t>
          </w:r>
          <w:r>
            <w:tab/>
          </w:r>
          <w:r>
            <w:fldChar w:fldCharType="begin"/>
          </w:r>
          <w:r>
            <w:instrText xml:space="preserve"> PAGEREF _Toc217080768 \h </w:instrText>
          </w:r>
          <w:r>
            <w:fldChar w:fldCharType="separate"/>
          </w:r>
          <w:r>
            <w:t>23</w:t>
          </w:r>
          <w:r>
            <w:fldChar w:fldCharType="end"/>
          </w:r>
          <w:r>
            <w:fldChar w:fldCharType="end"/>
          </w:r>
        </w:p>
        <w:p w14:paraId="0CDB522E">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"_Toc217080769" </w:instrText>
          </w:r>
          <w:r>
            <w:fldChar w:fldCharType="separate"/>
          </w:r>
          <w:r>
            <w:rPr>
              <w:rStyle w:val="20"/>
              <w:rFonts w:ascii="Times New Roman" w:hAnsi="Times New Roman"/>
            </w:rPr>
            <w:t>NPVs at 15%</w:t>
          </w:r>
          <w:r>
            <w:tab/>
          </w:r>
          <w:r>
            <w:fldChar w:fldCharType="begin"/>
          </w:r>
          <w:r>
            <w:instrText xml:space="preserve"> PAGEREF _Toc217080769 \h </w:instrText>
          </w:r>
          <w:r>
            <w:fldChar w:fldCharType="separate"/>
          </w:r>
          <w:r>
            <w:t>23</w:t>
          </w:r>
          <w:r>
            <w:fldChar w:fldCharType="end"/>
          </w:r>
          <w:r>
            <w:fldChar w:fldCharType="end"/>
          </w:r>
        </w:p>
        <w:p w14:paraId="3FC6CEB6">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"_Toc217080770" </w:instrText>
          </w:r>
          <w:r>
            <w:fldChar w:fldCharType="separate"/>
          </w:r>
          <w:r>
            <w:rPr>
              <w:rStyle w:val="20"/>
              <w:rFonts w:ascii="Times New Roman" w:hAnsi="Times New Roman"/>
            </w:rPr>
            <w:t>4.6 Comparative Summary of All Techniques</w:t>
          </w:r>
          <w:r>
            <w:tab/>
          </w:r>
          <w:r>
            <w:fldChar w:fldCharType="begin"/>
          </w:r>
          <w:r>
            <w:instrText xml:space="preserve"> PAGEREF _Toc217080770 \h </w:instrText>
          </w:r>
          <w:r>
            <w:fldChar w:fldCharType="separate"/>
          </w:r>
          <w:r>
            <w:t>25</w:t>
          </w:r>
          <w:r>
            <w:fldChar w:fldCharType="end"/>
          </w:r>
          <w:r>
            <w:fldChar w:fldCharType="end"/>
          </w:r>
        </w:p>
        <w:p w14:paraId="4A988027">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"_Toc217080771" </w:instrText>
          </w:r>
          <w:r>
            <w:fldChar w:fldCharType="separate"/>
          </w:r>
          <w:r>
            <w:rPr>
              <w:rStyle w:val="20"/>
              <w:rFonts w:ascii="Times New Roman" w:hAnsi="Times New Roman"/>
            </w:rPr>
            <w:t>Overall Ranking:</w:t>
          </w:r>
          <w:r>
            <w:tab/>
          </w:r>
          <w:r>
            <w:fldChar w:fldCharType="begin"/>
          </w:r>
          <w:r>
            <w:instrText xml:space="preserve"> PAGEREF _Toc217080771 \h </w:instrText>
          </w:r>
          <w:r>
            <w:fldChar w:fldCharType="separate"/>
          </w:r>
          <w:r>
            <w:t>25</w:t>
          </w:r>
          <w:r>
            <w:fldChar w:fldCharType="end"/>
          </w:r>
          <w:r>
            <w:fldChar w:fldCharType="end"/>
          </w:r>
        </w:p>
        <w:p w14:paraId="0EFA1603">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"_Toc217080772" </w:instrText>
          </w:r>
          <w:r>
            <w:fldChar w:fldCharType="separate"/>
          </w:r>
          <w:r>
            <w:rPr>
              <w:rStyle w:val="20"/>
              <w:rFonts w:ascii="Times New Roman" w:hAnsi="Times New Roman"/>
            </w:rPr>
            <w:t>4.7 Capital Rationing Decision (Maximum £60m available)</w:t>
          </w:r>
          <w:r>
            <w:tab/>
          </w:r>
          <w:r>
            <w:fldChar w:fldCharType="begin"/>
          </w:r>
          <w:r>
            <w:instrText xml:space="preserve"> PAGEREF _Toc217080772 \h </w:instrText>
          </w:r>
          <w:r>
            <w:fldChar w:fldCharType="separate"/>
          </w:r>
          <w:r>
            <w:t>25</w:t>
          </w:r>
          <w:r>
            <w:fldChar w:fldCharType="end"/>
          </w:r>
          <w:r>
            <w:fldChar w:fldCharType="end"/>
          </w:r>
        </w:p>
        <w:p w14:paraId="5309E194">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"_Toc217080773" </w:instrText>
          </w:r>
          <w:r>
            <w:fldChar w:fldCharType="separate"/>
          </w:r>
          <w:r>
            <w:rPr>
              <w:rStyle w:val="20"/>
              <w:rFonts w:ascii="Times New Roman" w:hAnsi="Times New Roman"/>
            </w:rPr>
            <w:t>4.8 Strategic Justification Linked to GENERAL ELECTRONICS ’s Financial Health</w:t>
          </w:r>
          <w:r>
            <w:tab/>
          </w:r>
          <w:r>
            <w:fldChar w:fldCharType="begin"/>
          </w:r>
          <w:r>
            <w:instrText xml:space="preserve"> PAGEREF _Toc217080773 \h </w:instrText>
          </w:r>
          <w:r>
            <w:fldChar w:fldCharType="separate"/>
          </w:r>
          <w:r>
            <w:t>26</w:t>
          </w:r>
          <w:r>
            <w:fldChar w:fldCharType="end"/>
          </w:r>
          <w:r>
            <w:fldChar w:fldCharType="end"/>
          </w:r>
        </w:p>
        <w:p w14:paraId="031BD628">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"_Toc217080774" </w:instrText>
          </w:r>
          <w:r>
            <w:fldChar w:fldCharType="separate"/>
          </w:r>
          <w:r>
            <w:rPr>
              <w:rStyle w:val="20"/>
              <w:rFonts w:ascii="Times New Roman" w:hAnsi="Times New Roman"/>
              <w:lang w:val="en-GB" w:eastAsia="en-GB"/>
            </w:rPr>
            <w:t>Conclusion</w:t>
          </w:r>
          <w:r>
            <w:tab/>
          </w:r>
          <w:r>
            <w:fldChar w:fldCharType="begin"/>
          </w:r>
          <w:r>
            <w:instrText xml:space="preserve"> PAGEREF _Toc217080774 \h </w:instrText>
          </w:r>
          <w:r>
            <w:fldChar w:fldCharType="separate"/>
          </w:r>
          <w:r>
            <w:t>27</w:t>
          </w:r>
          <w:r>
            <w:fldChar w:fldCharType="end"/>
          </w:r>
          <w:r>
            <w:fldChar w:fldCharType="end"/>
          </w:r>
        </w:p>
        <w:p w14:paraId="1F91A8D2">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"_Toc217080775" </w:instrText>
          </w:r>
          <w:r>
            <w:fldChar w:fldCharType="separate"/>
          </w:r>
          <w:r>
            <w:rPr>
              <w:rStyle w:val="20"/>
              <w:rFonts w:ascii="Times New Roman" w:hAnsi="Times New Roman"/>
            </w:rPr>
            <w:t>References</w:t>
          </w:r>
          <w:r>
            <w:tab/>
          </w:r>
          <w:r>
            <w:fldChar w:fldCharType="begin"/>
          </w:r>
          <w:r>
            <w:instrText xml:space="preserve"> PAGEREF _Toc217080775 \h </w:instrText>
          </w:r>
          <w:r>
            <w:fldChar w:fldCharType="separate"/>
          </w:r>
          <w:r>
            <w:t>28</w:t>
          </w:r>
          <w:r>
            <w:fldChar w:fldCharType="end"/>
          </w:r>
          <w:r>
            <w:fldChar w:fldCharType="end"/>
          </w:r>
        </w:p>
        <w:p w14:paraId="696B68CC">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"_Toc217080776" </w:instrText>
          </w:r>
          <w:r>
            <w:fldChar w:fldCharType="separate"/>
          </w:r>
          <w:r>
            <w:rPr>
              <w:rStyle w:val="20"/>
              <w:rFonts w:ascii="Times New Roman" w:hAnsi="Times New Roman"/>
            </w:rPr>
            <w:t>Appendix</w:t>
          </w:r>
          <w:r>
            <w:tab/>
          </w:r>
          <w:r>
            <w:fldChar w:fldCharType="begin"/>
          </w:r>
          <w:r>
            <w:instrText xml:space="preserve"> PAGEREF _Toc217080776 \h </w:instrText>
          </w:r>
          <w:r>
            <w:fldChar w:fldCharType="separate"/>
          </w:r>
          <w:r>
            <w:t>30</w:t>
          </w:r>
          <w:r>
            <w:fldChar w:fldCharType="end"/>
          </w:r>
          <w:r>
            <w:fldChar w:fldCharType="end"/>
          </w:r>
        </w:p>
        <w:p w14:paraId="0F022619">
          <w:pPr>
            <w:rPr>
              <w:b/>
              <w:bCs/>
            </w:rPr>
          </w:pPr>
          <w:r>
            <w:rPr>
              <w:b/>
              <w:bCs/>
            </w:rPr>
            <w:fldChar w:fldCharType="end"/>
          </w:r>
        </w:p>
      </w:sdtContent>
    </w:sdt>
    <w:p w14:paraId="30AAE42E">
      <w:pPr>
        <w:pStyle w:val="2"/>
        <w:rPr>
          <w:rFonts w:ascii="Times New Roman" w:hAnsi="Times New Roman" w:cs="Times New Roman"/>
          <w:sz w:val="32"/>
          <w:szCs w:val="32"/>
        </w:rPr>
      </w:pPr>
      <w:bookmarkStart w:id="0" w:name="_Toc217080727"/>
      <w:r>
        <w:rPr>
          <w:rFonts w:ascii="Times New Roman" w:hAnsi="Times New Roman" w:cs="Times New Roman"/>
          <w:sz w:val="32"/>
          <w:szCs w:val="32"/>
        </w:rPr>
        <w:t>Introduction</w:t>
      </w:r>
      <w:bookmarkEnd w:id="0"/>
    </w:p>
    <w:p w14:paraId="5F61334D">
      <w:pPr>
        <w:jc w:val="both"/>
        <w:rPr>
          <w:rFonts w:ascii="Times New Roman" w:hAnsi="Times New Roman" w:cs="Times New Roman"/>
          <w:lang w:val="en-GB"/>
        </w:rPr>
      </w:pPr>
      <w:r>
        <w:rPr>
          <w:rFonts w:ascii="Times New Roman" w:hAnsi="Times New Roman" w:cs="Times New Roman"/>
        </w:rPr>
        <w:t xml:space="preserve">In this report, a </w:t>
      </w:r>
      <w:r>
        <w:rPr>
          <w:rFonts w:ascii="Times New Roman" w:hAnsi="Times New Roman" w:cs="Times New Roman"/>
          <w:lang w:val="en-US"/>
        </w:rPr>
        <w:t>general</w:t>
      </w:r>
      <w:r>
        <w:rPr>
          <w:rFonts w:ascii="Times New Roman" w:hAnsi="Times New Roman" w:cs="Times New Roman"/>
        </w:rPr>
        <w:t xml:space="preserve"> financial health check of GENERAL ELECTRONICS is carried out whereby its overall financial performance over the last five years is analyzed to determine its weaknesses of structure, liquidity strains, and risk of being inadequately solvent. By using the analysis of financial statements and ratios, such as profitability, liquidity, efficiency, gearing, and cash-flow indicators, the analysis shows a decrease of the margins of the company, its worsening cash position, increasing leverage. Special focus is placed on the long Cash Operating Cycle due to high </w:t>
      </w:r>
      <w:r>
        <w:rPr>
          <w:rFonts w:hint="default" w:ascii="Times New Roman" w:hAnsi="Times New Roman" w:cs="Times New Roman"/>
          <w:lang w:val="en-US"/>
        </w:rPr>
        <w:t>d</w:t>
      </w:r>
      <w:r>
        <w:rPr>
          <w:rFonts w:ascii="Times New Roman" w:hAnsi="Times New Roman" w:cs="Times New Roman"/>
        </w:rPr>
        <w:t xml:space="preserve">ays </w:t>
      </w:r>
      <w:r>
        <w:rPr>
          <w:rFonts w:hint="default" w:ascii="Times New Roman" w:hAnsi="Times New Roman" w:cs="Times New Roman"/>
          <w:lang w:val="en-US"/>
        </w:rPr>
        <w:t>s</w:t>
      </w:r>
      <w:r>
        <w:rPr>
          <w:rFonts w:ascii="Times New Roman" w:hAnsi="Times New Roman" w:cs="Times New Roman"/>
        </w:rPr>
        <w:t xml:space="preserve">ales of </w:t>
      </w:r>
      <w:r>
        <w:rPr>
          <w:rFonts w:ascii="Times New Roman" w:hAnsi="Times New Roman" w:cs="Times New Roman"/>
          <w:lang w:val="en-US"/>
        </w:rPr>
        <w:t>inventory</w:t>
      </w:r>
      <w:r>
        <w:rPr>
          <w:rFonts w:ascii="Times New Roman" w:hAnsi="Times New Roman" w:cs="Times New Roman"/>
        </w:rPr>
        <w:t xml:space="preserve"> (DSI) and increasing </w:t>
      </w:r>
      <w:r>
        <w:rPr>
          <w:rFonts w:ascii="Times New Roman" w:hAnsi="Times New Roman" w:cs="Times New Roman"/>
          <w:lang w:val="en-US"/>
        </w:rPr>
        <w:t>days sales</w:t>
      </w:r>
      <w:r>
        <w:rPr>
          <w:rFonts w:ascii="Times New Roman" w:hAnsi="Times New Roman" w:cs="Times New Roman"/>
        </w:rPr>
        <w:t xml:space="preserve"> outstanding (DSO) which are indications of operational inefficiencies and decreasing liquidity </w:t>
      </w:r>
      <w:r>
        <w:rPr>
          <w:rFonts w:ascii="Times New Roman" w:hAnsi="Times New Roman" w:cs="Times New Roman"/>
          <w:lang w:val="en-GB"/>
        </w:rPr>
        <w:t>(Altman, Hotchkiss and Wang, 2019)</w:t>
      </w:r>
      <w:r>
        <w:rPr>
          <w:rFonts w:ascii="Times New Roman" w:hAnsi="Times New Roman" w:cs="Times New Roman"/>
        </w:rPr>
        <w:t>. The Altman Z-Score also shows that GENERAL ELECTRONICS lies in the gr</w:t>
      </w:r>
      <w:r>
        <w:rPr>
          <w:rFonts w:hint="default" w:ascii="Times New Roman" w:hAnsi="Times New Roman" w:cs="Times New Roman"/>
          <w:lang w:val="en-US"/>
        </w:rPr>
        <w:t>a</w:t>
      </w:r>
      <w:r>
        <w:rPr>
          <w:rFonts w:ascii="Times New Roman" w:hAnsi="Times New Roman" w:cs="Times New Roman"/>
        </w:rPr>
        <w:t>y area of being financially troubled.</w:t>
      </w:r>
      <w:r>
        <w:rPr>
          <w:rFonts w:ascii="Times New Roman" w:hAnsi="Times New Roman" w:cs="Times New Roman"/>
          <w:lang w:val="en-GB"/>
        </w:rPr>
        <w:t xml:space="preserve"> </w:t>
      </w:r>
      <w:r>
        <w:rPr>
          <w:rFonts w:ascii="Times New Roman" w:hAnsi="Times New Roman" w:cs="Times New Roman"/>
        </w:rPr>
        <w:t>Based on these, the report assesses strategic alternatives including working-capital reforms, divestiture, equity recapitalization and possible mergers or alliances. Lastly, capital-budgeting tools, such NPV, IRR, PI, ARR, and PBP are used as a guide to make investment choices that are subject to capital-rationing.</w:t>
      </w:r>
    </w:p>
    <w:p w14:paraId="550EED3D">
      <w:pPr>
        <w:rPr>
          <w:rFonts w:ascii="Times New Roman" w:hAnsi="Times New Roman" w:cs="Times New Roman"/>
        </w:rPr>
      </w:pPr>
    </w:p>
    <w:p w14:paraId="21C6DA65">
      <w:pPr>
        <w:rPr>
          <w:rFonts w:ascii="Times New Roman" w:hAnsi="Times New Roman" w:cs="Times New Roman" w:eastAsiaTheme="majorEastAsia"/>
          <w:b/>
          <w:bCs/>
          <w:color w:val="376092" w:themeColor="accent1" w:themeShade="BF"/>
          <w:sz w:val="32"/>
          <w:szCs w:val="32"/>
        </w:rPr>
      </w:pPr>
      <w:r>
        <w:rPr>
          <w:rFonts w:ascii="Times New Roman" w:hAnsi="Times New Roman" w:cs="Times New Roman"/>
          <w:sz w:val="32"/>
          <w:szCs w:val="32"/>
        </w:rPr>
        <w:br w:type="page"/>
      </w:r>
    </w:p>
    <w:p w14:paraId="4B672240">
      <w:pPr>
        <w:pStyle w:val="2"/>
        <w:numPr>
          <w:ilvl w:val="0"/>
          <w:numId w:val="7"/>
        </w:numPr>
        <w:ind w:left="357" w:hanging="357"/>
        <w:rPr>
          <w:rFonts w:ascii="Times New Roman" w:hAnsi="Times New Roman" w:cs="Times New Roman"/>
          <w:sz w:val="32"/>
          <w:szCs w:val="32"/>
        </w:rPr>
      </w:pPr>
      <w:bookmarkStart w:id="1" w:name="_Toc217080728"/>
      <w:r>
        <w:rPr>
          <w:rFonts w:ascii="Times New Roman" w:hAnsi="Times New Roman" w:cs="Times New Roman"/>
          <w:sz w:val="32"/>
          <w:szCs w:val="32"/>
        </w:rPr>
        <w:t>Financial Health Check of General Electronics</w:t>
      </w:r>
      <w:bookmarkEnd w:id="1"/>
      <w:r>
        <w:rPr>
          <w:rFonts w:ascii="Times New Roman" w:hAnsi="Times New Roman" w:cs="Times New Roman"/>
          <w:sz w:val="32"/>
          <w:szCs w:val="32"/>
        </w:rPr>
        <w:t xml:space="preserve"> </w:t>
      </w:r>
    </w:p>
    <w:p w14:paraId="5EE39EC8">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This Financial </w:t>
      </w:r>
      <w:r>
        <w:rPr>
          <w:rFonts w:hint="default" w:ascii="Times New Roman" w:hAnsi="Times New Roman" w:eastAsia="Times New Roman" w:cs="Times New Roman"/>
          <w:sz w:val="24"/>
          <w:szCs w:val="24"/>
          <w:lang w:val="en-US" w:eastAsia="en-GB"/>
        </w:rPr>
        <w:t>H</w:t>
      </w:r>
      <w:r>
        <w:rPr>
          <w:rFonts w:ascii="Times New Roman" w:hAnsi="Times New Roman" w:eastAsia="Times New Roman" w:cs="Times New Roman"/>
          <w:sz w:val="24"/>
          <w:szCs w:val="24"/>
          <w:lang w:val="en-GB" w:eastAsia="en-GB"/>
        </w:rPr>
        <w:t>ealth Check is a critical assessment of the financial performance of General Electronics of the last five years through the financial statement given. This is to determine the existing background financial trends, strengths, weaknesses, and threats of the firm (Altman, Hotchkiss and Wang, 2019). The section ends with an analysis of the risk of corporate failure of GENERAL ELECTRONICS based on Altman Z-Score model. The calculations of ratios in detail are shown in Appendix (Tables 1-19).</w:t>
      </w:r>
    </w:p>
    <w:p w14:paraId="221AC8FF">
      <w:pPr>
        <w:pStyle w:val="3"/>
        <w:rPr>
          <w:rFonts w:ascii="Times New Roman" w:hAnsi="Times New Roman" w:cs="Times New Roman"/>
          <w:b w:val="0"/>
          <w:bCs w:val="0"/>
          <w:sz w:val="28"/>
          <w:szCs w:val="28"/>
        </w:rPr>
      </w:pPr>
      <w:bookmarkStart w:id="2" w:name="_Toc217080729"/>
      <w:r>
        <w:rPr>
          <w:rStyle w:val="36"/>
          <w:rFonts w:ascii="Times New Roman" w:hAnsi="Times New Roman" w:cs="Times New Roman"/>
          <w:b/>
          <w:bCs/>
          <w:sz w:val="28"/>
          <w:szCs w:val="28"/>
        </w:rPr>
        <w:t>1.1 Analysis of Financial Statements</w:t>
      </w:r>
      <w:bookmarkEnd w:id="2"/>
    </w:p>
    <w:p w14:paraId="04264A83">
      <w:pPr>
        <w:jc w:val="both"/>
        <w:rPr>
          <w:rFonts w:ascii="Times New Roman" w:hAnsi="Times New Roman" w:cs="Times New Roman"/>
          <w:sz w:val="24"/>
          <w:szCs w:val="24"/>
        </w:rPr>
      </w:pPr>
      <w:r>
        <w:rPr>
          <w:rFonts w:ascii="Times New Roman" w:hAnsi="Times New Roman" w:eastAsia="Times New Roman" w:cs="Times New Roman"/>
          <w:sz w:val="24"/>
          <w:szCs w:val="24"/>
          <w:lang w:val="en-GB" w:eastAsia="en-GB"/>
        </w:rPr>
        <w:t>An examination of the income statement of GENERAL ELECTRONICS indicates that the company experienced significant negative changes in net sales in the period between 2020 and 2024, with a reduction in net sales levels to £394.9bn in 2024, which is one of the adverse signs of the weakened market positions and loss of competitive integration. The cost of sales decreased at a lower rate as compared to revenue, which added to the varying margins. In 2023, operating expenses increased as a result of an impairment charge of goodwill in the value of about 49bn, leading to hefty operating losses</w:t>
      </w:r>
      <w:r>
        <w:rPr>
          <w:rFonts w:ascii="Times New Roman" w:hAnsi="Times New Roman" w:cs="Times New Roman"/>
          <w:sz w:val="24"/>
          <w:szCs w:val="24"/>
        </w:rPr>
        <w:t xml:space="preserve"> (McKinsey &amp; Company, 2023)</w:t>
      </w:r>
      <w:r>
        <w:rPr>
          <w:rFonts w:ascii="Times New Roman" w:hAnsi="Times New Roman" w:eastAsia="Times New Roman" w:cs="Times New Roman"/>
          <w:sz w:val="24"/>
          <w:szCs w:val="24"/>
          <w:lang w:val="en-GB" w:eastAsia="en-GB"/>
        </w:rPr>
        <w:t>.</w:t>
      </w:r>
    </w:p>
    <w:p w14:paraId="03F069FB">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In the balance sheet, the</w:t>
      </w:r>
      <w:r>
        <w:rPr>
          <w:rFonts w:hint="default" w:ascii="Times New Roman" w:hAnsi="Times New Roman" w:eastAsia="Times New Roman" w:cs="Times New Roman"/>
          <w:sz w:val="24"/>
          <w:szCs w:val="24"/>
          <w:lang w:val="en-US" w:eastAsia="en-GB"/>
        </w:rPr>
        <w:t xml:space="preserve"> </w:t>
      </w:r>
      <w:r>
        <w:rPr>
          <w:rFonts w:ascii="Times New Roman" w:hAnsi="Times New Roman" w:eastAsia="Times New Roman" w:cs="Times New Roman"/>
          <w:sz w:val="24"/>
          <w:szCs w:val="24"/>
          <w:lang w:val="en-GB" w:eastAsia="en-GB"/>
        </w:rPr>
        <w:t>total assets are decreasing as they were in 2020 (£510bn) and 2024 (£323bn) due t</w:t>
      </w:r>
      <w:r>
        <w:rPr>
          <w:rFonts w:hint="default" w:ascii="Times New Roman" w:hAnsi="Times New Roman" w:eastAsia="Times New Roman" w:cs="Times New Roman"/>
          <w:sz w:val="24"/>
          <w:szCs w:val="24"/>
          <w:lang w:val="en-US" w:eastAsia="en-GB"/>
        </w:rPr>
        <w:t>d</w:t>
      </w:r>
      <w:r>
        <w:rPr>
          <w:rFonts w:ascii="Times New Roman" w:hAnsi="Times New Roman" w:eastAsia="Times New Roman" w:cs="Times New Roman"/>
          <w:sz w:val="24"/>
          <w:szCs w:val="24"/>
          <w:lang w:val="en-GB" w:eastAsia="en-GB"/>
        </w:rPr>
        <w:t>o the asset impairments and decreased investment. Cash and cash equivalents reduced drastically, and inventory declined after 2022, which is also in line with the</w:t>
      </w:r>
      <w:r>
        <w:rPr>
          <w:rFonts w:hint="default" w:ascii="Times New Roman" w:hAnsi="Times New Roman" w:eastAsia="Times New Roman" w:cs="Times New Roman"/>
          <w:sz w:val="24"/>
          <w:szCs w:val="24"/>
          <w:lang w:val="en-US" w:eastAsia="en-GB"/>
        </w:rPr>
        <w:t xml:space="preserve"> </w:t>
      </w:r>
      <w:r>
        <w:rPr>
          <w:rFonts w:ascii="Times New Roman" w:hAnsi="Times New Roman" w:eastAsia="Times New Roman" w:cs="Times New Roman"/>
          <w:sz w:val="24"/>
          <w:szCs w:val="24"/>
          <w:lang w:val="en-GB" w:eastAsia="en-GB"/>
        </w:rPr>
        <w:t>attempts at stock</w:t>
      </w:r>
      <w:r>
        <w:rPr>
          <w:rFonts w:hint="default" w:ascii="Times New Roman" w:hAnsi="Times New Roman" w:eastAsia="Times New Roman" w:cs="Times New Roman"/>
          <w:sz w:val="24"/>
          <w:szCs w:val="24"/>
          <w:lang w:val="en-US" w:eastAsia="en-GB"/>
        </w:rPr>
        <w:t xml:space="preserve">s </w:t>
      </w:r>
      <w:r>
        <w:rPr>
          <w:rFonts w:ascii="Times New Roman" w:hAnsi="Times New Roman" w:eastAsia="Times New Roman" w:cs="Times New Roman"/>
          <w:sz w:val="24"/>
          <w:szCs w:val="24"/>
          <w:lang w:val="en-GB" w:eastAsia="en-GB"/>
        </w:rPr>
        <w:t xml:space="preserve">reduction. In the meantime, the level of current liabilities was very impressive, and the total liabilities amounted to more than £170bn in 2024, which enhances the leverage of GENERAL ELECTRONICS </w:t>
      </w:r>
      <w:r>
        <w:rPr>
          <w:rFonts w:ascii="Times New Roman" w:hAnsi="Times New Roman" w:eastAsia="Times New Roman" w:cs="Times New Roman"/>
          <w:sz w:val="24"/>
          <w:szCs w:val="24"/>
          <w:lang w:eastAsia="en-GB"/>
        </w:rPr>
        <w:t>(Deloitte, 2023)</w:t>
      </w:r>
      <w:r>
        <w:rPr>
          <w:rFonts w:ascii="Times New Roman" w:hAnsi="Times New Roman" w:eastAsia="Times New Roman" w:cs="Times New Roman"/>
          <w:sz w:val="24"/>
          <w:szCs w:val="24"/>
          <w:lang w:val="en-GB" w:eastAsia="en-GB"/>
        </w:rPr>
        <w:t>.</w:t>
      </w:r>
    </w:p>
    <w:p w14:paraId="1ED9405A">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cash flow statement shows that there was</w:t>
      </w:r>
      <w:r>
        <w:rPr>
          <w:rFonts w:hint="default" w:ascii="Times New Roman" w:hAnsi="Times New Roman" w:eastAsia="Times New Roman" w:cs="Times New Roman"/>
          <w:sz w:val="24"/>
          <w:szCs w:val="24"/>
          <w:lang w:val="en-US" w:eastAsia="en-GB"/>
        </w:rPr>
        <w:t xml:space="preserve"> </w:t>
      </w:r>
      <w:r>
        <w:rPr>
          <w:rFonts w:ascii="Times New Roman" w:hAnsi="Times New Roman" w:eastAsia="Times New Roman" w:cs="Times New Roman"/>
          <w:sz w:val="24"/>
          <w:szCs w:val="24"/>
          <w:lang w:val="en-GB" w:eastAsia="en-GB"/>
        </w:rPr>
        <w:t>positive but declining operating cash flows, which dropped down to 14.8bn in 2024 as compared to 73bn in 2020. Capital spending decreased in response to cash preservation over the years, though the overall free cash flow decreased due to decreasing profitability and associated activity in restructuring. Put together, the financial reports show a company that is facing a prolonged revenue contraction, constrained liquidity, increased leverage and poor profitability.</w:t>
      </w:r>
    </w:p>
    <w:p w14:paraId="1C9EE83B">
      <w:pPr>
        <w:pStyle w:val="3"/>
        <w:rPr>
          <w:rFonts w:ascii="Times New Roman" w:hAnsi="Times New Roman" w:cs="Times New Roman"/>
          <w:b w:val="0"/>
          <w:bCs w:val="0"/>
          <w:sz w:val="28"/>
          <w:szCs w:val="28"/>
        </w:rPr>
      </w:pPr>
      <w:bookmarkStart w:id="3" w:name="_Toc217080730"/>
      <w:r>
        <w:rPr>
          <w:rStyle w:val="36"/>
          <w:rFonts w:ascii="Times New Roman" w:hAnsi="Times New Roman" w:cs="Times New Roman"/>
          <w:b/>
          <w:bCs/>
          <w:sz w:val="28"/>
          <w:szCs w:val="28"/>
        </w:rPr>
        <w:t>1.2 Ratio Analysis</w:t>
      </w:r>
      <w:bookmarkEnd w:id="3"/>
    </w:p>
    <w:p w14:paraId="75D67F19">
      <w:pPr>
        <w:pStyle w:val="34"/>
      </w:pPr>
      <w:r>
        <w:t>A full ratio analysis has been performed across six major categories. All results and calculations are provided in the Appendix.</w:t>
      </w:r>
    </w:p>
    <w:p w14:paraId="1C02DE53">
      <w:pPr>
        <w:pStyle w:val="4"/>
        <w:rPr>
          <w:rFonts w:ascii="Times New Roman" w:hAnsi="Times New Roman" w:cs="Times New Roman"/>
          <w:b w:val="0"/>
          <w:bCs w:val="0"/>
          <w:sz w:val="24"/>
          <w:szCs w:val="24"/>
        </w:rPr>
      </w:pPr>
      <w:bookmarkStart w:id="4" w:name="_Toc217080731"/>
      <w:r>
        <w:rPr>
          <w:rStyle w:val="36"/>
          <w:rFonts w:ascii="Times New Roman" w:hAnsi="Times New Roman" w:cs="Times New Roman"/>
          <w:b/>
          <w:bCs/>
          <w:sz w:val="24"/>
          <w:szCs w:val="24"/>
        </w:rPr>
        <w:t>1.2.1 Profitability Ratios</w:t>
      </w:r>
      <w:bookmarkEnd w:id="4"/>
    </w:p>
    <w:p w14:paraId="766FE27F">
      <w:pPr>
        <w:jc w:val="both"/>
        <w:rPr>
          <w:rFonts w:ascii="Times New Roman" w:hAnsi="Times New Roman" w:cs="Times New Roman"/>
          <w:sz w:val="24"/>
          <w:szCs w:val="24"/>
        </w:rPr>
      </w:pPr>
      <w:r>
        <w:rPr>
          <w:rFonts w:ascii="Times New Roman" w:hAnsi="Times New Roman" w:cs="Times New Roman"/>
          <w:sz w:val="24"/>
          <w:szCs w:val="24"/>
        </w:rPr>
        <w:t>Profitability ratios assess GENERAL ELECTRONICS ’s ability to convert revenue into profit.</w:t>
      </w:r>
    </w:p>
    <w:p w14:paraId="09B52B5D">
      <w:pPr>
        <w:jc w:val="both"/>
        <w:rPr>
          <w:rFonts w:ascii="Times New Roman" w:hAnsi="Times New Roman" w:cs="Times New Roman"/>
          <w:b/>
          <w:bCs/>
          <w:sz w:val="24"/>
          <w:szCs w:val="24"/>
        </w:rPr>
      </w:pPr>
      <w:r>
        <w:rPr>
          <w:rStyle w:val="36"/>
          <w:rFonts w:ascii="Times New Roman" w:hAnsi="Times New Roman" w:cs="Times New Roman"/>
          <w:sz w:val="24"/>
          <w:szCs w:val="24"/>
        </w:rPr>
        <w:t>Gross Profit Margin:</w:t>
      </w:r>
      <w:r>
        <w:rPr>
          <w:rFonts w:ascii="Times New Roman" w:hAnsi="Times New Roman" w:cs="Times New Roman"/>
          <w:sz w:val="24"/>
          <w:szCs w:val="24"/>
        </w:rPr>
        <w:t xml:space="preserve"> Gross margin did not decrease and was about 28% in 2020 through 2022, and declined to 23.2% in 2023 and continued to increase to 28.9% in 2024 (Appendix Table 1). The lower quarterly performance can be attributed to the high-cost pressure, inventory write-down and poor pricing in 2023 (Brigham and Ehrhardt, 2022).</w:t>
      </w:r>
    </w:p>
    <w:p w14:paraId="790D619C">
      <w:pPr>
        <w:jc w:val="both"/>
        <w:rPr>
          <w:rFonts w:ascii="Times New Roman" w:hAnsi="Times New Roman" w:cs="Times New Roman"/>
          <w:sz w:val="24"/>
          <w:szCs w:val="24"/>
        </w:rPr>
      </w:pPr>
      <w:r>
        <w:rPr>
          <w:rStyle w:val="36"/>
          <w:rFonts w:ascii="Times New Roman" w:hAnsi="Times New Roman" w:cs="Times New Roman"/>
          <w:sz w:val="24"/>
          <w:szCs w:val="24"/>
        </w:rPr>
        <w:t>Operating Profit Margin:</w:t>
      </w:r>
      <w:r>
        <w:rPr>
          <w:rFonts w:ascii="Times New Roman" w:hAnsi="Times New Roman" w:cs="Times New Roman"/>
          <w:sz w:val="24"/>
          <w:szCs w:val="24"/>
        </w:rPr>
        <w:t xml:space="preserve"> The operating margins are heavily worsened. The margin of GENERAL ELECTRONICS decreased to 2.7% in 2022, and then became significantly negative (−20.3) in 2023, followed by a slight improvement to -3.9 in 2024, as a result of the massive impairment of assets (Table 2). This validates the existence of structural vulnerabilities of cost management and poor control of overhead management.</w:t>
      </w:r>
    </w:p>
    <w:p w14:paraId="6C07679D">
      <w:pPr>
        <w:jc w:val="both"/>
        <w:rPr>
          <w:rFonts w:ascii="Times New Roman" w:hAnsi="Times New Roman" w:cs="Times New Roman"/>
          <w:sz w:val="24"/>
          <w:szCs w:val="24"/>
        </w:rPr>
      </w:pPr>
      <w:r>
        <w:rPr>
          <w:rStyle w:val="36"/>
          <w:rFonts w:ascii="Times New Roman" w:hAnsi="Times New Roman" w:cs="Times New Roman"/>
          <w:sz w:val="24"/>
          <w:szCs w:val="24"/>
        </w:rPr>
        <w:t>Net Profit Margin:</w:t>
      </w:r>
      <w:r>
        <w:rPr>
          <w:rFonts w:ascii="Times New Roman" w:hAnsi="Times New Roman" w:cs="Times New Roman"/>
          <w:sz w:val="24"/>
          <w:szCs w:val="24"/>
        </w:rPr>
        <w:t xml:space="preserve"> Although net margins went down to almost zero in 2022, they then plummeted to massive losses in 2023 (−23.4%), and 2024 (−6.1) (Table 3). The negative net margin persistence points to the value destruction to shareholders (Drury, 2021).</w:t>
      </w:r>
    </w:p>
    <w:p w14:paraId="16449E35">
      <w:pPr>
        <w:jc w:val="both"/>
        <w:rPr>
          <w:rFonts w:ascii="Times New Roman" w:hAnsi="Times New Roman" w:cs="Times New Roman"/>
          <w:sz w:val="24"/>
          <w:szCs w:val="24"/>
        </w:rPr>
      </w:pPr>
      <w:r>
        <w:rPr>
          <w:rStyle w:val="36"/>
          <w:rFonts w:ascii="Times New Roman" w:hAnsi="Times New Roman" w:cs="Times New Roman"/>
          <w:sz w:val="24"/>
          <w:szCs w:val="24"/>
        </w:rPr>
        <w:t>Return on Assets (ROA):</w:t>
      </w:r>
      <w:r>
        <w:rPr>
          <w:rFonts w:ascii="Times New Roman" w:hAnsi="Times New Roman" w:cs="Times New Roman"/>
          <w:sz w:val="24"/>
          <w:szCs w:val="24"/>
        </w:rPr>
        <w:t xml:space="preserve"> In 2020, ROA stood at 7.6% and in 2022; it deteriorated to nearly zero (−1.9), followed by a sharp negative in 2023 (−27.6) and a negative value in 2024 (−7.4) (Table 4). This indicates that the asset base of GENERAL ELECTRONICS is not able to provide sufficient returns anymore.</w:t>
      </w:r>
    </w:p>
    <w:p w14:paraId="01D339FE">
      <w:pPr>
        <w:jc w:val="both"/>
        <w:rPr>
          <w:rFonts w:ascii="Times New Roman" w:hAnsi="Times New Roman" w:cs="Times New Roman"/>
          <w:sz w:val="24"/>
          <w:szCs w:val="24"/>
        </w:rPr>
      </w:pPr>
      <w:r>
        <w:rPr>
          <w:rStyle w:val="36"/>
          <w:rFonts w:ascii="Times New Roman" w:hAnsi="Times New Roman" w:cs="Times New Roman"/>
          <w:sz w:val="24"/>
          <w:szCs w:val="24"/>
        </w:rPr>
        <w:t>Return on Equity (ROE):</w:t>
      </w:r>
      <w:r>
        <w:rPr>
          <w:rFonts w:ascii="Times New Roman" w:hAnsi="Times New Roman" w:cs="Times New Roman"/>
          <w:sz w:val="24"/>
          <w:szCs w:val="24"/>
        </w:rPr>
        <w:t xml:space="preserve"> ROE has decreased to nearly zero in 2022 and then to negative 54.9 in 2023 as a result of significant losses, and then to negative 15.7 in 2024 (Table 5). This amounts to great annihilation of shareholder value.</w:t>
      </w:r>
    </w:p>
    <w:p w14:paraId="4D1481A0">
      <w:pPr>
        <w:jc w:val="both"/>
        <w:rPr>
          <w:rFonts w:ascii="Times New Roman" w:hAnsi="Times New Roman" w:cs="Times New Roman"/>
          <w:sz w:val="24"/>
          <w:szCs w:val="24"/>
        </w:rPr>
      </w:pPr>
      <w:r>
        <w:rPr>
          <w:rFonts w:ascii="Times New Roman" w:hAnsi="Times New Roman" w:cs="Times New Roman"/>
          <w:sz w:val="24"/>
          <w:szCs w:val="24"/>
        </w:rPr>
        <w:t>All the measures of profitability are worse off, with the continued losses and poor margins proving the existence of significant strategic and operational drawbacks.</w:t>
      </w:r>
    </w:p>
    <w:p w14:paraId="1BA12BEA">
      <w:pPr>
        <w:pStyle w:val="4"/>
        <w:rPr>
          <w:rFonts w:ascii="Times New Roman" w:hAnsi="Times New Roman" w:cs="Times New Roman"/>
          <w:b w:val="0"/>
          <w:bCs w:val="0"/>
          <w:sz w:val="24"/>
          <w:szCs w:val="24"/>
        </w:rPr>
      </w:pPr>
      <w:bookmarkStart w:id="5" w:name="_Toc217080732"/>
      <w:r>
        <w:rPr>
          <w:rStyle w:val="36"/>
          <w:rFonts w:ascii="Times New Roman" w:hAnsi="Times New Roman" w:cs="Times New Roman"/>
          <w:b/>
          <w:bCs/>
          <w:sz w:val="24"/>
          <w:szCs w:val="24"/>
        </w:rPr>
        <w:t>1.2.2 Liquidity Ratios</w:t>
      </w:r>
      <w:bookmarkEnd w:id="5"/>
    </w:p>
    <w:p w14:paraId="178AE27E">
      <w:pPr>
        <w:pStyle w:val="34"/>
        <w:spacing w:line="360" w:lineRule="auto"/>
        <w:jc w:val="both"/>
      </w:pPr>
      <w:r>
        <w:t>Liquidity ratios are the ratios that determine the capacity of GENERAL ELECTRONICS to fulfil the immediate debt.</w:t>
      </w:r>
    </w:p>
    <w:p w14:paraId="0E5998DA">
      <w:pPr>
        <w:pStyle w:val="34"/>
        <w:spacing w:line="360" w:lineRule="auto"/>
        <w:jc w:val="both"/>
      </w:pPr>
      <w:r>
        <w:rPr>
          <w:b/>
          <w:bCs/>
        </w:rPr>
        <w:t xml:space="preserve">Current Ratio: </w:t>
      </w:r>
      <w:r>
        <w:t>The current ratio of GENERAL ELECTRONICS decreased in 2024 compared to 2020 when the company had the current ratio of 1.82 (Table 6). This negative trend is an indication of the reduced ability to meet short-term obligations.</w:t>
      </w:r>
    </w:p>
    <w:p w14:paraId="3C0F9147">
      <w:pPr>
        <w:pStyle w:val="34"/>
        <w:spacing w:line="360" w:lineRule="auto"/>
        <w:jc w:val="both"/>
      </w:pPr>
      <w:r>
        <w:rPr>
          <w:b/>
          <w:bCs/>
        </w:rPr>
        <w:t>Quick Ratio:</w:t>
      </w:r>
      <w:r>
        <w:t xml:space="preserve"> The quick ratio was less than 1.0 starting the year 2022 and it was in 2024 that it finally closed at 0.96 (Table 7). A current ratio that is lower than 1 depicts that GENERAL ELECTRONICS is unable to meet short term obligations without using inventory sales </w:t>
      </w:r>
      <w:r>
        <w:rPr>
          <w:lang w:val="en-US"/>
        </w:rPr>
        <w:t>(Bain &amp; Company, 2023)</w:t>
      </w:r>
      <w:r>
        <w:t>.</w:t>
      </w:r>
    </w:p>
    <w:p w14:paraId="3C460AF5">
      <w:pPr>
        <w:pStyle w:val="34"/>
        <w:spacing w:line="360" w:lineRule="auto"/>
        <w:jc w:val="both"/>
      </w:pPr>
      <w:r>
        <w:rPr>
          <w:b/>
          <w:bCs/>
        </w:rPr>
        <w:t>Cash Ratio:</w:t>
      </w:r>
      <w:r>
        <w:t xml:space="preserve"> Cash ratio declined drastically with 0.32 in 2020 to 0.17 in 2024 (Table 8), which means it was highly dependent on external financing and less resilient to liquidity. The liquidity is becoming weaker, and GENERAL ELECTRONICS is more and more relying on the short-term debt to finance its operations.</w:t>
      </w:r>
    </w:p>
    <w:p w14:paraId="40F05F37">
      <w:pPr>
        <w:pStyle w:val="4"/>
        <w:rPr>
          <w:rFonts w:ascii="Times New Roman" w:hAnsi="Times New Roman" w:cs="Times New Roman"/>
          <w:b w:val="0"/>
          <w:bCs w:val="0"/>
          <w:sz w:val="24"/>
          <w:szCs w:val="24"/>
        </w:rPr>
      </w:pPr>
      <w:bookmarkStart w:id="6" w:name="_Toc217080733"/>
      <w:r>
        <w:rPr>
          <w:rStyle w:val="36"/>
          <w:rFonts w:ascii="Times New Roman" w:hAnsi="Times New Roman" w:cs="Times New Roman"/>
          <w:b/>
          <w:bCs/>
          <w:sz w:val="24"/>
          <w:szCs w:val="24"/>
        </w:rPr>
        <w:t>1.2.3 Efficiency Ratios</w:t>
      </w:r>
      <w:bookmarkEnd w:id="6"/>
    </w:p>
    <w:p w14:paraId="6F13253C">
      <w:pPr>
        <w:pStyle w:val="34"/>
        <w:spacing w:line="360" w:lineRule="auto"/>
        <w:jc w:val="both"/>
        <w:rPr>
          <w:rStyle w:val="36"/>
        </w:rPr>
      </w:pPr>
      <w:r>
        <w:rPr>
          <w:rStyle w:val="36"/>
        </w:rPr>
        <w:t xml:space="preserve">Inventory Turnover and DSI: </w:t>
      </w:r>
      <w:r>
        <w:rPr>
          <w:rStyle w:val="36"/>
          <w:b w:val="0"/>
          <w:bCs w:val="0"/>
        </w:rPr>
        <w:t xml:space="preserve">The level of inventory turnover decreased in 2020 (3.64) to the lowest point in 2022 (2.79), then slightly rose (Table 9). On the other hand, Days Sales of Inventory (DSI) went up to 131 days in 2022 compared to 100 days in 2020, indicating low-turnover inventory (Table 10). Inventory management is also inefficient despite the fact that DSI has </w:t>
      </w:r>
      <w:r>
        <w:rPr>
          <w:rStyle w:val="36"/>
          <w:b w:val="0"/>
          <w:bCs w:val="0"/>
          <w:lang w:val="en-US"/>
        </w:rPr>
        <w:t>stabilized</w:t>
      </w:r>
      <w:r>
        <w:rPr>
          <w:rStyle w:val="36"/>
          <w:rFonts w:hint="default"/>
          <w:b w:val="0"/>
          <w:bCs w:val="0"/>
          <w:lang w:val="en-US"/>
        </w:rPr>
        <w:t xml:space="preserve"> </w:t>
      </w:r>
      <w:r>
        <w:rPr>
          <w:rStyle w:val="36"/>
          <w:b w:val="0"/>
          <w:bCs w:val="0"/>
        </w:rPr>
        <w:t>to 103 days in 2024.</w:t>
      </w:r>
    </w:p>
    <w:p w14:paraId="40F525FA">
      <w:pPr>
        <w:pStyle w:val="34"/>
        <w:spacing w:line="360" w:lineRule="auto"/>
        <w:jc w:val="both"/>
        <w:rPr>
          <w:rStyle w:val="36"/>
          <w:b w:val="0"/>
          <w:bCs w:val="0"/>
        </w:rPr>
      </w:pPr>
      <w:r>
        <w:rPr>
          <w:rStyle w:val="36"/>
        </w:rPr>
        <w:t xml:space="preserve">Receivables Turnover &amp; DSO: </w:t>
      </w:r>
      <w:r>
        <w:rPr>
          <w:rStyle w:val="36"/>
          <w:b w:val="0"/>
          <w:bCs w:val="0"/>
        </w:rPr>
        <w:t xml:space="preserve">Table 11 shows that the flow of receivables slowed down since 4.75 in 2020 to 3.46 in 2024, whereas Table 12 reveals that Days Sales Outstanding (DSO) increased to 105 days in 2024 (Table 12). The growing DSO shows a decrease in customer payments and weakened credit control </w:t>
      </w:r>
      <w:r>
        <w:rPr>
          <w:lang w:val="en-US"/>
        </w:rPr>
        <w:t>(Moody’s Analytics, 2023)</w:t>
      </w:r>
      <w:r>
        <w:rPr>
          <w:rStyle w:val="36"/>
          <w:b w:val="0"/>
          <w:bCs w:val="0"/>
        </w:rPr>
        <w:t>.</w:t>
      </w:r>
    </w:p>
    <w:p w14:paraId="5DDC0821">
      <w:pPr>
        <w:pStyle w:val="34"/>
        <w:spacing w:line="360" w:lineRule="auto"/>
        <w:jc w:val="both"/>
        <w:rPr>
          <w:b/>
          <w:bCs/>
        </w:rPr>
      </w:pPr>
      <w:r>
        <w:rPr>
          <w:rStyle w:val="36"/>
          <w:b w:val="0"/>
          <w:bCs w:val="0"/>
        </w:rPr>
        <w:t>Productivity has declined with regard to the working capital aspects. This is because cash is held up in receivables and inventory and it increases the cash-conversion cycle.</w:t>
      </w:r>
    </w:p>
    <w:p w14:paraId="7DBF3B01">
      <w:pPr>
        <w:pStyle w:val="4"/>
        <w:rPr>
          <w:rFonts w:ascii="Times New Roman" w:hAnsi="Times New Roman" w:cs="Times New Roman"/>
          <w:b w:val="0"/>
          <w:bCs w:val="0"/>
          <w:sz w:val="24"/>
          <w:szCs w:val="24"/>
        </w:rPr>
      </w:pPr>
      <w:bookmarkStart w:id="7" w:name="_Toc217080734"/>
      <w:r>
        <w:rPr>
          <w:rStyle w:val="36"/>
          <w:rFonts w:ascii="Times New Roman" w:hAnsi="Times New Roman" w:cs="Times New Roman"/>
          <w:b/>
          <w:bCs/>
          <w:sz w:val="24"/>
          <w:szCs w:val="24"/>
        </w:rPr>
        <w:t>1.2.4 Gearing and Solvency Ratios</w:t>
      </w:r>
      <w:bookmarkEnd w:id="7"/>
    </w:p>
    <w:p w14:paraId="4556894E">
      <w:pPr>
        <w:pStyle w:val="34"/>
        <w:spacing w:line="360" w:lineRule="auto"/>
        <w:jc w:val="both"/>
      </w:pPr>
      <w:r>
        <w:t>Gearing ratios determine the financial risk and financial stability of GENERAL ELECTRONICS over the long term.</w:t>
      </w:r>
    </w:p>
    <w:p w14:paraId="55548BBF">
      <w:pPr>
        <w:pStyle w:val="34"/>
        <w:spacing w:line="360" w:lineRule="auto"/>
        <w:jc w:val="both"/>
      </w:pPr>
      <w:r>
        <w:rPr>
          <w:b/>
          <w:bCs/>
        </w:rPr>
        <w:t>Debt-to-Equity Ratio:</w:t>
      </w:r>
      <w:r>
        <w:t xml:space="preserve"> This ratio rose to 1.11 in 2024 after 0.63 in 2020 (Table 13). GENERAL ELECTRONICS currently stands in a better position than it was during the period under review.</w:t>
      </w:r>
    </w:p>
    <w:p w14:paraId="608126F3">
      <w:pPr>
        <w:pStyle w:val="34"/>
        <w:spacing w:line="360" w:lineRule="auto"/>
        <w:jc w:val="both"/>
      </w:pPr>
      <w:r>
        <w:rPr>
          <w:b/>
          <w:bCs/>
        </w:rPr>
        <w:t>Debt Ratio:</w:t>
      </w:r>
      <w:r>
        <w:t xml:space="preserve"> The current ratio of assets funded by liabilities rose by 0.39 to 0.53 in 2020 to 2024 (Table 14), which represents an increase in solvency risk.</w:t>
      </w:r>
    </w:p>
    <w:p w14:paraId="724A8E38">
      <w:pPr>
        <w:pStyle w:val="34"/>
        <w:spacing w:line="360" w:lineRule="auto"/>
        <w:jc w:val="both"/>
      </w:pPr>
      <w:r>
        <w:rPr>
          <w:b/>
          <w:bCs/>
        </w:rPr>
        <w:t>Interest Coverage:</w:t>
      </w:r>
      <w:r>
        <w:t xml:space="preserve"> There was a decline in the interest coverage to negative values in 2023 and 2024 (Table 15). This implies that GENERAL ELECTRONICS cannot cover interest payable using operating profit which exposes it to high-levels of default </w:t>
      </w:r>
      <w:r>
        <w:rPr>
          <w:lang w:val="en-US"/>
        </w:rPr>
        <w:t>(PwC, 2023)</w:t>
      </w:r>
      <w:r>
        <w:t>.</w:t>
      </w:r>
    </w:p>
    <w:p w14:paraId="1D80F23B">
      <w:pPr>
        <w:pStyle w:val="34"/>
        <w:spacing w:line="360" w:lineRule="auto"/>
        <w:jc w:val="both"/>
      </w:pPr>
      <w:r>
        <w:t>The solvency position of GENERAL ELECTRONICS has deteriorated much and their leverage is high and their profit is too little to cover their debt.</w:t>
      </w:r>
    </w:p>
    <w:p w14:paraId="321D4EEA">
      <w:pPr>
        <w:pStyle w:val="4"/>
        <w:rPr>
          <w:rFonts w:ascii="Times New Roman" w:hAnsi="Times New Roman" w:cs="Times New Roman"/>
          <w:b w:val="0"/>
          <w:bCs w:val="0"/>
          <w:sz w:val="24"/>
          <w:szCs w:val="24"/>
        </w:rPr>
      </w:pPr>
      <w:bookmarkStart w:id="8" w:name="_Toc217080735"/>
      <w:r>
        <w:rPr>
          <w:rStyle w:val="36"/>
          <w:rFonts w:ascii="Times New Roman" w:hAnsi="Times New Roman" w:cs="Times New Roman"/>
          <w:b/>
          <w:bCs/>
          <w:sz w:val="24"/>
          <w:szCs w:val="24"/>
        </w:rPr>
        <w:t>1.2.5 Investment Ratios</w:t>
      </w:r>
      <w:bookmarkEnd w:id="8"/>
    </w:p>
    <w:p w14:paraId="1EC013BA">
      <w:pPr>
        <w:pStyle w:val="34"/>
        <w:spacing w:line="360" w:lineRule="auto"/>
      </w:pPr>
      <w:r>
        <w:rPr>
          <w:rStyle w:val="36"/>
        </w:rPr>
        <w:t>Earnings per Share (EPS):</w:t>
      </w:r>
      <w:r>
        <w:t xml:space="preserve"> EPS decelerated bad between PS 2.78 in 2020 and close to zero in 2022 before increasing in large negative amounts in 2023 and 2024 (Table 16). Constant low EPS reduces shareholder confidence and equity financing accessibility is curtailed.</w:t>
      </w:r>
    </w:p>
    <w:p w14:paraId="70B250FD">
      <w:pPr>
        <w:pStyle w:val="4"/>
        <w:rPr>
          <w:rFonts w:ascii="Times New Roman" w:hAnsi="Times New Roman" w:cs="Times New Roman"/>
          <w:b w:val="0"/>
          <w:bCs w:val="0"/>
          <w:sz w:val="24"/>
          <w:szCs w:val="24"/>
        </w:rPr>
      </w:pPr>
      <w:bookmarkStart w:id="9" w:name="_Toc217080736"/>
      <w:r>
        <w:rPr>
          <w:rStyle w:val="36"/>
          <w:rFonts w:ascii="Times New Roman" w:hAnsi="Times New Roman" w:cs="Times New Roman"/>
          <w:b/>
          <w:bCs/>
          <w:sz w:val="24"/>
          <w:szCs w:val="24"/>
        </w:rPr>
        <w:t>1.2.6 Cash Flow Ratios</w:t>
      </w:r>
      <w:bookmarkEnd w:id="9"/>
    </w:p>
    <w:p w14:paraId="368FCA06">
      <w:pPr>
        <w:pStyle w:val="34"/>
        <w:spacing w:line="360" w:lineRule="auto"/>
        <w:rPr>
          <w:rStyle w:val="36"/>
        </w:rPr>
      </w:pPr>
      <w:r>
        <w:rPr>
          <w:rStyle w:val="36"/>
        </w:rPr>
        <w:t xml:space="preserve">Operating Cash Flow to Sales: </w:t>
      </w:r>
      <w:r>
        <w:rPr>
          <w:rStyle w:val="36"/>
          <w:b w:val="0"/>
          <w:bCs w:val="0"/>
        </w:rPr>
        <w:t>The ratio declined by 11.9 in 2020 to 3.8 in 2024 (Table 17). The dwindling operating cash flow as compared to revenue is indicative of a waning operational strength.</w:t>
      </w:r>
    </w:p>
    <w:p w14:paraId="07DC5AC7">
      <w:pPr>
        <w:pStyle w:val="34"/>
        <w:spacing w:line="360" w:lineRule="auto"/>
        <w:rPr>
          <w:b/>
          <w:bCs/>
        </w:rPr>
      </w:pPr>
      <w:r>
        <w:rPr>
          <w:rStyle w:val="36"/>
        </w:rPr>
        <w:t xml:space="preserve">Free Cash Flow: </w:t>
      </w:r>
      <w:r>
        <w:rPr>
          <w:rStyle w:val="36"/>
          <w:b w:val="0"/>
          <w:bCs w:val="0"/>
        </w:rPr>
        <w:t>Free cash flow decreased with a wide margin in 2020 (PS 56.5bn) to 2024 (PS 10.3bn) and even became negative in 2022 (Table 18). Reduction of free cash flow diminishes the ability of GENERAL ELECTRONICS to invest or repay debt; or to absorb shocks.</w:t>
      </w:r>
    </w:p>
    <w:p w14:paraId="7B1B2324">
      <w:pPr>
        <w:pStyle w:val="3"/>
        <w:rPr>
          <w:rFonts w:ascii="Times New Roman" w:hAnsi="Times New Roman" w:cs="Times New Roman"/>
          <w:b w:val="0"/>
          <w:bCs w:val="0"/>
          <w:sz w:val="28"/>
          <w:szCs w:val="28"/>
        </w:rPr>
      </w:pPr>
      <w:bookmarkStart w:id="10" w:name="_Toc217080737"/>
      <w:r>
        <w:rPr>
          <w:rStyle w:val="36"/>
          <w:rFonts w:ascii="Times New Roman" w:hAnsi="Times New Roman" w:cs="Times New Roman"/>
          <w:b/>
          <w:bCs/>
          <w:sz w:val="28"/>
          <w:szCs w:val="28"/>
        </w:rPr>
        <w:t>1.3 Trends, Strengths, and Threats</w:t>
      </w:r>
      <w:bookmarkEnd w:id="10"/>
    </w:p>
    <w:p w14:paraId="5A667628">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Among some disturbing trends that the company is undergoing, there is further reduction in revenue and margins, and the operating and net losses have recorded a consistent decline over the last two years. It has become more dependent on short-term borrowing, which has undermined its overall liquidity and solvency and poor management of working capital has led to longer terms of its cash cycles and increased pressure on its day-to-day business operations </w:t>
      </w:r>
      <w:r>
        <w:rPr>
          <w:rFonts w:ascii="Times New Roman" w:hAnsi="Times New Roman" w:cs="Times New Roman"/>
          <w:sz w:val="24"/>
          <w:szCs w:val="24"/>
        </w:rPr>
        <w:t>(Ross, Westerfield and Jordan, 2020)</w:t>
      </w:r>
      <w:r>
        <w:rPr>
          <w:rFonts w:ascii="Times New Roman" w:hAnsi="Times New Roman" w:cs="Times New Roman"/>
          <w:sz w:val="24"/>
          <w:szCs w:val="24"/>
          <w:lang w:val="en-GB"/>
        </w:rPr>
        <w:t>.</w:t>
      </w:r>
    </w:p>
    <w:p w14:paraId="5E5963FD">
      <w:pPr>
        <w:jc w:val="both"/>
        <w:rPr>
          <w:rFonts w:ascii="Times New Roman" w:hAnsi="Times New Roman" w:cs="Times New Roman"/>
          <w:sz w:val="24"/>
          <w:szCs w:val="24"/>
          <w:lang w:val="en-GB"/>
        </w:rPr>
      </w:pPr>
      <w:r>
        <w:rPr>
          <w:rFonts w:ascii="Times New Roman" w:hAnsi="Times New Roman" w:cs="Times New Roman"/>
          <w:sz w:val="24"/>
          <w:szCs w:val="24"/>
          <w:lang w:val="en-GB"/>
        </w:rPr>
        <w:t>Despite these weaknesses, the company has valuable strengths. It has had positive operating cash flow within a period of five years and its gross margin has demonstrated some improvement in 2024. The balance sheet is also cushioned by large asset base, global operations and high retained earnings.</w:t>
      </w:r>
    </w:p>
    <w:p w14:paraId="3ED1816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Simultaneously, the company is exposed to increasing risks like negative interest cover, increasing default risk and increased leverage and decreasing equity. The decreased speed of collection of receivables is also increasing liquidity pressure and may trigger debt covenant violations </w:t>
      </w:r>
      <w:r>
        <w:rPr>
          <w:rFonts w:ascii="Times New Roman" w:hAnsi="Times New Roman" w:cs="Times New Roman"/>
          <w:sz w:val="24"/>
          <w:szCs w:val="24"/>
        </w:rPr>
        <w:t>(IFRS Foundation, 2023)</w:t>
      </w:r>
      <w:r>
        <w:rPr>
          <w:rFonts w:ascii="Times New Roman" w:hAnsi="Times New Roman" w:cs="Times New Roman"/>
          <w:sz w:val="24"/>
          <w:szCs w:val="24"/>
          <w:lang w:val="en-GB"/>
        </w:rPr>
        <w:t>. Moreover, the negative EPS is undermining investor confidence, and the erosion of the market share is happening slowly through diminishing sales.</w:t>
      </w:r>
    </w:p>
    <w:p w14:paraId="41CDDBE4">
      <w:pPr>
        <w:rPr>
          <w:rFonts w:ascii="Times New Roman" w:hAnsi="Times New Roman" w:cs="Times New Roman"/>
          <w:sz w:val="24"/>
          <w:szCs w:val="24"/>
          <w:lang w:val="en-GB"/>
        </w:rPr>
      </w:pPr>
    </w:p>
    <w:p w14:paraId="473C13C5">
      <w:pPr>
        <w:pStyle w:val="3"/>
        <w:rPr>
          <w:rFonts w:ascii="Times New Roman" w:hAnsi="Times New Roman" w:cs="Times New Roman"/>
          <w:b w:val="0"/>
          <w:bCs w:val="0"/>
          <w:sz w:val="28"/>
          <w:szCs w:val="28"/>
        </w:rPr>
      </w:pPr>
      <w:bookmarkStart w:id="11" w:name="_Toc217080738"/>
      <w:r>
        <w:rPr>
          <w:rStyle w:val="36"/>
          <w:rFonts w:ascii="Times New Roman" w:hAnsi="Times New Roman" w:cs="Times New Roman"/>
          <w:b/>
          <w:bCs/>
          <w:sz w:val="28"/>
          <w:szCs w:val="28"/>
        </w:rPr>
        <w:t>1.4 Corporate Failure Prediction (Altman Z-Score)</w:t>
      </w:r>
      <w:bookmarkEnd w:id="11"/>
    </w:p>
    <w:p w14:paraId="7CCFC38F">
      <w:pPr>
        <w:pStyle w:val="34"/>
      </w:pPr>
      <w:r>
        <w:t>The Altman Z-Score for GENERAL ELECTRONICS in 2024, calculated using the components in Appendix Table 19, is approximately:</w:t>
      </w:r>
    </w:p>
    <w:p w14:paraId="23089738">
      <w:pPr>
        <w:pStyle w:val="34"/>
      </w:pPr>
      <w:r>
        <w:rPr>
          <w:rStyle w:val="36"/>
        </w:rPr>
        <w:t>Z ≈ 2.11</w:t>
      </w:r>
    </w:p>
    <w:p w14:paraId="3854770D">
      <w:pPr>
        <w:pStyle w:val="34"/>
      </w:pPr>
      <w:r>
        <w:t>Interpretation:</w:t>
      </w:r>
    </w:p>
    <w:p w14:paraId="104FBCCF">
      <w:pPr>
        <w:pStyle w:val="34"/>
        <w:numPr>
          <w:ilvl w:val="0"/>
          <w:numId w:val="8"/>
        </w:numPr>
      </w:pPr>
      <w:r>
        <w:rPr>
          <w:rStyle w:val="36"/>
        </w:rPr>
        <w:t>Z &gt; 2.99:</w:t>
      </w:r>
      <w:r>
        <w:t xml:space="preserve"> Safe zone</w:t>
      </w:r>
    </w:p>
    <w:p w14:paraId="20BFF78C">
      <w:pPr>
        <w:pStyle w:val="34"/>
        <w:numPr>
          <w:ilvl w:val="0"/>
          <w:numId w:val="8"/>
        </w:numPr>
      </w:pPr>
      <w:r>
        <w:rPr>
          <w:rStyle w:val="36"/>
        </w:rPr>
        <w:t>1.81–2.99:</w:t>
      </w:r>
      <w:r>
        <w:t xml:space="preserve"> Gr</w:t>
      </w:r>
      <w:r>
        <w:rPr>
          <w:rFonts w:hint="default"/>
          <w:lang w:val="en-US"/>
        </w:rPr>
        <w:t>a</w:t>
      </w:r>
      <w:r>
        <w:t>y zone</w:t>
      </w:r>
    </w:p>
    <w:p w14:paraId="17B342F4">
      <w:pPr>
        <w:pStyle w:val="34"/>
        <w:numPr>
          <w:ilvl w:val="0"/>
          <w:numId w:val="8"/>
        </w:numPr>
      </w:pPr>
      <w:r>
        <w:rPr>
          <w:rStyle w:val="36"/>
        </w:rPr>
        <w:t>&lt; 1.81:</w:t>
      </w:r>
      <w:r>
        <w:t xml:space="preserve"> Distress zone</w:t>
      </w:r>
    </w:p>
    <w:p w14:paraId="17BC432F">
      <w:pPr>
        <w:pStyle w:val="34"/>
        <w:spacing w:line="360" w:lineRule="auto"/>
        <w:jc w:val="both"/>
        <w:rPr>
          <w:rFonts w:eastAsiaTheme="minorEastAsia"/>
          <w:lang w:eastAsia="en-US"/>
        </w:rPr>
      </w:pPr>
      <w:r>
        <w:rPr>
          <w:rFonts w:eastAsiaTheme="minorEastAsia"/>
          <w:lang w:eastAsia="en-US"/>
        </w:rPr>
        <w:t>The score of GENERAL ELECTRONICS of 2.11 puts it under the gr</w:t>
      </w:r>
      <w:r>
        <w:rPr>
          <w:rFonts w:hint="default" w:eastAsiaTheme="minorEastAsia"/>
          <w:lang w:val="en-US" w:eastAsia="en-US"/>
        </w:rPr>
        <w:t>a</w:t>
      </w:r>
      <w:r>
        <w:rPr>
          <w:rFonts w:eastAsiaTheme="minorEastAsia"/>
          <w:lang w:eastAsia="en-US"/>
        </w:rPr>
        <w:t xml:space="preserve">y zone which means that it is in a high risk of being in financial distress. The score is most debilitating by the negative EBIT component (the operating losses). Although GENERAL ELECTRONICS is not in the distress zone yet, the further losses or additional liquidity aggravation of the situation are likely to place the company in the zone of excessive default-risk </w:t>
      </w:r>
      <w:r>
        <w:rPr>
          <w:rFonts w:eastAsiaTheme="minorEastAsia"/>
          <w:lang w:val="en-US" w:eastAsia="en-US"/>
        </w:rPr>
        <w:t>(Ross, Westerfield and Jordan, 2020)</w:t>
      </w:r>
      <w:r>
        <w:rPr>
          <w:rFonts w:eastAsiaTheme="minorEastAsia"/>
          <w:lang w:eastAsia="en-US"/>
        </w:rPr>
        <w:t>.</w:t>
      </w:r>
    </w:p>
    <w:p w14:paraId="426F5BD7">
      <w:pPr>
        <w:pStyle w:val="34"/>
        <w:spacing w:line="360" w:lineRule="auto"/>
        <w:jc w:val="both"/>
        <w:rPr>
          <w:rFonts w:eastAsiaTheme="minorEastAsia"/>
          <w:lang w:eastAsia="en-US"/>
        </w:rPr>
      </w:pPr>
      <w:r>
        <w:rPr>
          <w:rFonts w:eastAsiaTheme="minorEastAsia"/>
          <w:lang w:eastAsia="en-US"/>
        </w:rPr>
        <w:t>The Financial Health Check shows a firm which is in deep financial distress. GENERAL ELECTRONICS has had a meltdown in the profitability, deteriorating liquidity, low working capital efficiency and growing leverage. The fact that it cannot meet interest expenses on operating earnings is a real cause of alarm. The Altman Z-Score validates high distress risk and indicates an occurrence of urgency in strategic intervention. These results give the analytical basis to the turnaround strategy and investment decision taken in subsequent sections.</w:t>
      </w:r>
    </w:p>
    <w:p w14:paraId="669626AD">
      <w:pPr>
        <w:pStyle w:val="34"/>
        <w:spacing w:line="360" w:lineRule="auto"/>
        <w:jc w:val="both"/>
        <w:rPr>
          <w:rFonts w:eastAsiaTheme="minorEastAsia"/>
          <w:lang w:eastAsia="en-US"/>
        </w:rPr>
      </w:pPr>
    </w:p>
    <w:p w14:paraId="6AE59684">
      <w:pPr>
        <w:pStyle w:val="34"/>
        <w:spacing w:line="360" w:lineRule="auto"/>
        <w:jc w:val="both"/>
        <w:rPr>
          <w:rFonts w:eastAsiaTheme="minorEastAsia"/>
          <w:lang w:eastAsia="en-US"/>
        </w:rPr>
      </w:pPr>
    </w:p>
    <w:p w14:paraId="3228D7FD">
      <w:pPr>
        <w:pStyle w:val="34"/>
        <w:rPr>
          <w:rFonts w:eastAsiaTheme="minorEastAsia"/>
          <w:lang w:eastAsia="en-US"/>
        </w:rPr>
      </w:pPr>
    </w:p>
    <w:p w14:paraId="4DD40A6A">
      <w:pPr>
        <w:rPr>
          <w:rStyle w:val="36"/>
          <w:rFonts w:ascii="Times New Roman" w:hAnsi="Times New Roman" w:cs="Times New Roman" w:eastAsiaTheme="majorEastAsia"/>
          <w:color w:val="376092" w:themeColor="accent1" w:themeShade="BF"/>
          <w:sz w:val="32"/>
          <w:szCs w:val="32"/>
        </w:rPr>
      </w:pPr>
      <w:r>
        <w:rPr>
          <w:rStyle w:val="36"/>
          <w:rFonts w:ascii="Times New Roman" w:hAnsi="Times New Roman" w:cs="Times New Roman"/>
          <w:b w:val="0"/>
          <w:bCs w:val="0"/>
          <w:sz w:val="32"/>
          <w:szCs w:val="32"/>
        </w:rPr>
        <w:br w:type="page"/>
      </w:r>
    </w:p>
    <w:p w14:paraId="15DCD8EE">
      <w:pPr>
        <w:pStyle w:val="2"/>
        <w:rPr>
          <w:rFonts w:ascii="Times New Roman" w:hAnsi="Times New Roman" w:cs="Times New Roman"/>
          <w:sz w:val="32"/>
          <w:szCs w:val="32"/>
        </w:rPr>
      </w:pPr>
      <w:bookmarkStart w:id="12" w:name="_Toc217080739"/>
      <w:r>
        <w:rPr>
          <w:rStyle w:val="36"/>
          <w:rFonts w:ascii="Times New Roman" w:hAnsi="Times New Roman" w:cs="Times New Roman"/>
          <w:b/>
          <w:bCs/>
          <w:sz w:val="32"/>
          <w:szCs w:val="32"/>
        </w:rPr>
        <w:t>2. Working Capital Management Analysis</w:t>
      </w:r>
      <w:bookmarkEnd w:id="12"/>
      <w:r>
        <w:rPr>
          <w:rStyle w:val="36"/>
          <w:rFonts w:ascii="Times New Roman" w:hAnsi="Times New Roman" w:cs="Times New Roman"/>
          <w:b/>
          <w:bCs/>
          <w:sz w:val="32"/>
          <w:szCs w:val="32"/>
        </w:rPr>
        <w:t xml:space="preserve"> </w:t>
      </w:r>
    </w:p>
    <w:p w14:paraId="6EF631FF">
      <w:pPr>
        <w:jc w:val="both"/>
        <w:rPr>
          <w:rFonts w:ascii="Times New Roman" w:hAnsi="Times New Roman" w:cs="Times New Roman"/>
          <w:b/>
          <w:bCs/>
          <w:lang w:val="en-GB" w:eastAsia="en-GB"/>
        </w:rPr>
      </w:pPr>
      <w:r>
        <w:rPr>
          <w:rFonts w:ascii="Times New Roman" w:hAnsi="Times New Roman" w:cs="Times New Roman"/>
          <w:sz w:val="24"/>
          <w:szCs w:val="24"/>
          <w:lang w:val="en-GB"/>
        </w:rPr>
        <w:t>The management of the working capital is very essential to General Electronics because the liquidity is reduced, the leverage increases and operating cash flow is decreasing. In this section, the Cash Operating Cycle (COC) of the company was examined in the last five years with the help of DSO, DSI and DPO.</w:t>
      </w:r>
    </w:p>
    <w:p w14:paraId="61C40CE6">
      <w:pPr>
        <w:pStyle w:val="2"/>
        <w:rPr>
          <w:rFonts w:ascii="Times New Roman" w:hAnsi="Times New Roman" w:cs="Times New Roman"/>
          <w:sz w:val="32"/>
          <w:szCs w:val="32"/>
        </w:rPr>
      </w:pPr>
      <w:bookmarkStart w:id="13" w:name="_Toc217080740"/>
      <w:r>
        <w:rPr>
          <w:rStyle w:val="36"/>
          <w:rFonts w:ascii="Times New Roman" w:hAnsi="Times New Roman" w:cs="Times New Roman"/>
          <w:b/>
          <w:bCs/>
          <w:sz w:val="32"/>
          <w:szCs w:val="32"/>
        </w:rPr>
        <w:t>2.1 Cash Operating Cycle (COC) Analysis</w:t>
      </w:r>
      <w:bookmarkEnd w:id="13"/>
    </w:p>
    <w:p w14:paraId="2C2B2D22">
      <w:pPr>
        <w:pStyle w:val="34"/>
        <w:rPr>
          <w:b/>
          <w:bCs/>
        </w:rPr>
      </w:pPr>
      <w:r>
        <w:rPr>
          <w:b/>
          <w:bCs/>
        </w:rPr>
        <w:t>COC=DSO+DIO−DPO</w:t>
      </w:r>
    </w:p>
    <w:p w14:paraId="105C2D95">
      <w:pPr>
        <w:pStyle w:val="34"/>
      </w:pPr>
      <w:r>
        <w:t>Where:</w:t>
      </w:r>
    </w:p>
    <w:p w14:paraId="648F76E1">
      <w:pPr>
        <w:pStyle w:val="34"/>
        <w:numPr>
          <w:ilvl w:val="0"/>
          <w:numId w:val="9"/>
        </w:numPr>
      </w:pPr>
      <w:r>
        <w:rPr>
          <w:rStyle w:val="36"/>
        </w:rPr>
        <w:t>DSI</w:t>
      </w:r>
      <w:r>
        <w:t xml:space="preserve"> = Days Sales of Inventory</w:t>
      </w:r>
    </w:p>
    <w:p w14:paraId="1C5F0477">
      <w:pPr>
        <w:pStyle w:val="34"/>
        <w:numPr>
          <w:ilvl w:val="0"/>
          <w:numId w:val="9"/>
        </w:numPr>
      </w:pPr>
      <w:r>
        <w:rPr>
          <w:rStyle w:val="36"/>
        </w:rPr>
        <w:t>DSO</w:t>
      </w:r>
      <w:r>
        <w:t xml:space="preserve"> = Days Sales Outstanding</w:t>
      </w:r>
    </w:p>
    <w:p w14:paraId="48AFC37D">
      <w:pPr>
        <w:pStyle w:val="34"/>
        <w:numPr>
          <w:ilvl w:val="0"/>
          <w:numId w:val="9"/>
        </w:numPr>
      </w:pPr>
      <w:r>
        <w:rPr>
          <w:rStyle w:val="36"/>
        </w:rPr>
        <w:t>DPO</w:t>
      </w:r>
      <w:r>
        <w:t xml:space="preserve"> = Days Payables Outstanding</w:t>
      </w:r>
    </w:p>
    <w:p w14:paraId="2C595D1D">
      <w:pPr>
        <w:pStyle w:val="34"/>
        <w:numPr>
          <w:ilvl w:val="0"/>
          <w:numId w:val="9"/>
        </w:numPr>
      </w:pPr>
      <w:r>
        <w:t xml:space="preserve">Here is a </w:t>
      </w:r>
      <w:r>
        <w:rPr>
          <w:rStyle w:val="36"/>
        </w:rPr>
        <w:t>shorter, clearer</w:t>
      </w:r>
      <w:r>
        <w:t xml:space="preserve"> version:</w:t>
      </w:r>
    </w:p>
    <w:p w14:paraId="5419D1F0">
      <w:pPr>
        <w:pStyle w:val="34"/>
      </w:pPr>
    </w:p>
    <w:p w14:paraId="6BF4846A">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The Cash Operating Cycle of GENERAL ELECTRONICS (88-95 days; Appendix 20-21) indicates that the company keeps its cash tied up in operations almost three months in length- long compared with industry average. A significant problem is the inefficiency of inventory: DSI went to the highest point of 131 days in 2022 and continues to be higher than 100 days, which reflects the slow turnover and overstocking </w:t>
      </w:r>
      <w:r>
        <w:rPr>
          <w:rFonts w:ascii="Times New Roman" w:hAnsi="Times New Roman" w:eastAsia="Times New Roman" w:cs="Times New Roman"/>
          <w:sz w:val="24"/>
          <w:szCs w:val="24"/>
          <w:lang w:eastAsia="en-GB"/>
        </w:rPr>
        <w:t>(Atrill and McLaney, 2022)</w:t>
      </w:r>
      <w:r>
        <w:rPr>
          <w:rFonts w:ascii="Times New Roman" w:hAnsi="Times New Roman" w:eastAsia="Times New Roman" w:cs="Times New Roman"/>
          <w:sz w:val="24"/>
          <w:szCs w:val="24"/>
          <w:lang w:val="en-GB" w:eastAsia="en-GB"/>
        </w:rPr>
        <w:t xml:space="preserve">. The situation has also deteriorated in terms of receivables collection and DSO has increased to 105 days in 2024 (as compared to 77 days in 2020) because of ineffective credit discipline. The only temporary solution is to make DPO 120 days the only one, yet this makes the suppliers more dependent, and the relations with them may become unsatisfactory in the future. Also, the COC is much higher than the industry average of 35-60 days, which indicates that the large amount of cash is on waiting </w:t>
      </w:r>
      <w:r>
        <w:rPr>
          <w:rFonts w:ascii="Times New Roman" w:hAnsi="Times New Roman" w:eastAsia="Times New Roman" w:cs="Times New Roman"/>
          <w:sz w:val="24"/>
          <w:szCs w:val="24"/>
          <w:lang w:eastAsia="en-GB"/>
        </w:rPr>
        <w:t>(ICAEW, 2022)</w:t>
      </w:r>
      <w:r>
        <w:rPr>
          <w:rFonts w:ascii="Times New Roman" w:hAnsi="Times New Roman" w:eastAsia="Times New Roman" w:cs="Times New Roman"/>
          <w:sz w:val="24"/>
          <w:szCs w:val="24"/>
          <w:lang w:val="en-GB" w:eastAsia="en-GB"/>
        </w:rPr>
        <w:t>. This supports the financial health check results that the low working-capital efficiency is a significant contributor to the liquidity stress of GENERAL ELECTRONICS.</w:t>
      </w:r>
    </w:p>
    <w:p w14:paraId="5A19AFC5">
      <w:pPr>
        <w:pStyle w:val="2"/>
        <w:rPr>
          <w:rFonts w:ascii="Times New Roman" w:hAnsi="Times New Roman" w:cs="Times New Roman"/>
          <w:sz w:val="32"/>
          <w:szCs w:val="32"/>
        </w:rPr>
      </w:pPr>
      <w:bookmarkStart w:id="14" w:name="_Toc217080741"/>
      <w:r>
        <w:rPr>
          <w:rStyle w:val="36"/>
          <w:rFonts w:ascii="Times New Roman" w:hAnsi="Times New Roman" w:cs="Times New Roman"/>
          <w:b/>
          <w:bCs/>
          <w:sz w:val="32"/>
          <w:szCs w:val="32"/>
        </w:rPr>
        <w:t>2.2 Strategies to Improve Liquidity Through Working Capital Reforms</w:t>
      </w:r>
      <w:bookmarkEnd w:id="14"/>
    </w:p>
    <w:p w14:paraId="2858A78A">
      <w:pPr>
        <w:pStyle w:val="34"/>
        <w:spacing w:line="360" w:lineRule="auto"/>
      </w:pPr>
      <w:r>
        <w:t>Given the inefficiencies highlighted, GENERAL ELECTRONICS must adopt aggressive working capital reforms to stabili</w:t>
      </w:r>
      <w:r>
        <w:rPr>
          <w:rFonts w:hint="default"/>
          <w:lang w:val="en-US"/>
        </w:rPr>
        <w:t>z</w:t>
      </w:r>
      <w:r>
        <w:t>e liquidity. Recommended strategies include:</w:t>
      </w:r>
    </w:p>
    <w:p w14:paraId="4B7425A8">
      <w:pPr>
        <w:pStyle w:val="3"/>
        <w:rPr>
          <w:rFonts w:ascii="Times New Roman" w:hAnsi="Times New Roman" w:cs="Times New Roman"/>
          <w:b w:val="0"/>
          <w:bCs w:val="0"/>
          <w:sz w:val="28"/>
          <w:szCs w:val="28"/>
        </w:rPr>
      </w:pPr>
      <w:bookmarkStart w:id="15" w:name="_Toc217080742"/>
      <w:r>
        <w:rPr>
          <w:rStyle w:val="36"/>
          <w:rFonts w:ascii="Times New Roman" w:hAnsi="Times New Roman" w:cs="Times New Roman"/>
          <w:b/>
          <w:bCs/>
          <w:sz w:val="28"/>
          <w:szCs w:val="28"/>
        </w:rPr>
        <w:t>2.2.1 Inventory Management Reforms</w:t>
      </w:r>
      <w:bookmarkEnd w:id="15"/>
    </w:p>
    <w:p w14:paraId="0934F20C">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GENERAL ELECTRONICS should adopt demand-driven forecasting (DDMRP) to align production with real demand and cut excess inventory. Rationalising the SKU portfolio to remove low-margin, slow-moving items will also lower operational load and reduce DSI. The company can further minimise inventory levels through Just-in-Time procurement, supported by stronger supplier resilience via multi-sourcing, closer partnerships, and adequate safety stocks </w:t>
      </w:r>
      <w:r>
        <w:rPr>
          <w:rFonts w:ascii="Times New Roman" w:hAnsi="Times New Roman" w:eastAsia="Times New Roman" w:cs="Times New Roman"/>
          <w:sz w:val="24"/>
          <w:szCs w:val="24"/>
          <w:lang w:eastAsia="en-GB"/>
        </w:rPr>
        <w:t>(Financial Times, 2023)</w:t>
      </w:r>
      <w:r>
        <w:rPr>
          <w:rFonts w:ascii="Times New Roman" w:hAnsi="Times New Roman" w:eastAsia="Times New Roman" w:cs="Times New Roman"/>
          <w:sz w:val="24"/>
          <w:szCs w:val="24"/>
          <w:lang w:val="en-GB" w:eastAsia="en-GB"/>
        </w:rPr>
        <w:t>. Using real-time analytics, IoT, and AI will improve supply-chain visibility and optimise current stock. Together, these measures could bring DSI down from 100+ days to below 70 days within two years, easing liquidity pressure and improving working-capital efficiency.</w:t>
      </w:r>
    </w:p>
    <w:p w14:paraId="39EF75AA">
      <w:pPr>
        <w:pStyle w:val="3"/>
        <w:rPr>
          <w:rStyle w:val="36"/>
          <w:rFonts w:ascii="Times New Roman" w:hAnsi="Times New Roman" w:cs="Times New Roman"/>
          <w:b/>
          <w:bCs/>
          <w:sz w:val="28"/>
          <w:szCs w:val="28"/>
        </w:rPr>
      </w:pPr>
      <w:bookmarkStart w:id="16" w:name="_Toc217080743"/>
      <w:r>
        <w:rPr>
          <w:rStyle w:val="36"/>
          <w:rFonts w:ascii="Times New Roman" w:hAnsi="Times New Roman" w:cs="Times New Roman"/>
          <w:b/>
          <w:bCs/>
          <w:sz w:val="28"/>
          <w:szCs w:val="28"/>
        </w:rPr>
        <w:t>2.2.2 Receivables Management Reforms</w:t>
      </w:r>
      <w:bookmarkEnd w:id="16"/>
    </w:p>
    <w:p w14:paraId="38EED20F">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GENERAL ELECTRONICS needs to implement demand-driven forecasting (DDMRP) in order to match production and actual demand to eliminate excess stock. Operational load will also be reduced by rationalising the SKU portfolio to eliminate low-margin, slow-moving items and will reduce DSI. To reduce inventory the company can also use Just-in-Time procurement but with a greater supplier resiliency, as a result of multi-sourcing, closer ties including distinct partnership and sufficient safety stocks </w:t>
      </w:r>
      <w:r>
        <w:rPr>
          <w:rFonts w:ascii="Times New Roman" w:hAnsi="Times New Roman" w:eastAsia="Times New Roman" w:cs="Times New Roman"/>
          <w:sz w:val="24"/>
          <w:szCs w:val="24"/>
          <w:lang w:eastAsia="en-GB"/>
        </w:rPr>
        <w:t>(S&amp;P Global, 2024)</w:t>
      </w:r>
      <w:r>
        <w:rPr>
          <w:rFonts w:ascii="Times New Roman" w:hAnsi="Times New Roman" w:eastAsia="Times New Roman" w:cs="Times New Roman"/>
          <w:sz w:val="24"/>
          <w:szCs w:val="24"/>
          <w:lang w:val="en-GB" w:eastAsia="en-GB"/>
        </w:rPr>
        <w:t>. IoT, real-time analytics and AI will be used to enhance supply-chain visibility and optimise the existing stock. All of these would allow reducing DSI by 100 plus down to less than 70 days in two years, reliving liquidity strain, and enhancing working-capital efficiency. They can also implement payable management reforms.</w:t>
      </w:r>
    </w:p>
    <w:p w14:paraId="1AD85F93">
      <w:pPr>
        <w:pStyle w:val="2"/>
        <w:rPr>
          <w:rFonts w:ascii="Times New Roman" w:hAnsi="Times New Roman" w:cs="Times New Roman"/>
          <w:sz w:val="32"/>
          <w:szCs w:val="32"/>
        </w:rPr>
      </w:pPr>
      <w:bookmarkStart w:id="17" w:name="_Toc217080744"/>
      <w:r>
        <w:rPr>
          <w:rStyle w:val="36"/>
          <w:rFonts w:ascii="Times New Roman" w:hAnsi="Times New Roman" w:cs="Times New Roman"/>
          <w:b/>
          <w:bCs/>
          <w:sz w:val="32"/>
          <w:szCs w:val="32"/>
        </w:rPr>
        <w:t>2.3 Short-Term vs Long-Term Financing Options</w:t>
      </w:r>
      <w:bookmarkEnd w:id="17"/>
      <w:r>
        <w:rPr>
          <w:rStyle w:val="36"/>
          <w:rFonts w:ascii="Times New Roman" w:hAnsi="Times New Roman" w:cs="Times New Roman"/>
          <w:b/>
          <w:bCs/>
          <w:sz w:val="32"/>
          <w:szCs w:val="32"/>
        </w:rPr>
        <w:t xml:space="preserve"> </w:t>
      </w:r>
    </w:p>
    <w:p w14:paraId="1A7F828C">
      <w:pPr>
        <w:rPr>
          <w:rFonts w:ascii="Times New Roman" w:hAnsi="Times New Roman" w:cs="Times New Roman"/>
        </w:rPr>
      </w:pPr>
      <w:r>
        <w:rPr>
          <w:rFonts w:ascii="Times New Roman" w:hAnsi="Times New Roman" w:cs="Times New Roman"/>
        </w:rPr>
        <w:t>Strengthening liquidity requires an efficient financing strategy.</w:t>
      </w:r>
      <w:r>
        <w:rPr>
          <w:rFonts w:ascii="Times New Roman" w:hAnsi="Times New Roman" w:cs="Times New Roman"/>
        </w:rPr>
        <w:br w:type="textWrapping"/>
      </w:r>
      <w:r>
        <w:rPr>
          <w:rFonts w:ascii="Times New Roman" w:hAnsi="Times New Roman" w:cs="Times New Roman"/>
        </w:rPr>
        <w:t>Below is an analysis tailored to GENERAL ELECTRONICS ’s weakened financial condition.</w:t>
      </w:r>
    </w:p>
    <w:p w14:paraId="32E4A3F2">
      <w:pPr>
        <w:pStyle w:val="3"/>
        <w:rPr>
          <w:rFonts w:ascii="Times New Roman" w:hAnsi="Times New Roman" w:cs="Times New Roman"/>
          <w:b w:val="0"/>
          <w:bCs w:val="0"/>
          <w:sz w:val="28"/>
          <w:szCs w:val="28"/>
        </w:rPr>
      </w:pPr>
      <w:bookmarkStart w:id="18" w:name="_Toc217080745"/>
      <w:r>
        <w:rPr>
          <w:rStyle w:val="36"/>
          <w:rFonts w:ascii="Times New Roman" w:hAnsi="Times New Roman" w:cs="Times New Roman"/>
          <w:b/>
          <w:bCs/>
          <w:sz w:val="28"/>
          <w:szCs w:val="28"/>
        </w:rPr>
        <w:t>2.3.1 Short-Term Financing Options</w:t>
      </w:r>
      <w:bookmarkEnd w:id="18"/>
    </w:p>
    <w:p w14:paraId="06A14271">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There are a number of short-term financing opportunities available to General Electronics, with their own advantages and disadvantages. Bank overdrafts are fast and convenient solutions to cash access, but they are expensive and not reliable in cases of long funding requirements. Trade credit enables the company to defer cash outflow, but the suppliers can put pressure as this is already being heavily used. Invoice factoring is a quick liquidity solution since it transforms receivables into cash; however, it is costly because it demands high discounts, and it creates a negative impression to outsiders that a company is in a bad position </w:t>
      </w:r>
      <w:r>
        <w:rPr>
          <w:rFonts w:ascii="Times New Roman" w:hAnsi="Times New Roman" w:eastAsia="Times New Roman" w:cs="Times New Roman"/>
          <w:sz w:val="24"/>
          <w:szCs w:val="24"/>
          <w:lang w:eastAsia="en-GB"/>
        </w:rPr>
        <w:t>(Brigham and Ehrhardt, 2022)</w:t>
      </w:r>
      <w:r>
        <w:rPr>
          <w:rFonts w:ascii="Times New Roman" w:hAnsi="Times New Roman" w:eastAsia="Times New Roman" w:cs="Times New Roman"/>
          <w:sz w:val="24"/>
          <w:szCs w:val="24"/>
          <w:lang w:val="en-GB" w:eastAsia="en-GB"/>
        </w:rPr>
        <w:t>. A less expensive alternative may be commercial paper, which will not be readily available to General Electronics because of its poor credit rating. The stock financing is the ability of the firm to use its stock to raise capital which would rely on its ability to have a stable and reliable inventory valuation.</w:t>
      </w:r>
    </w:p>
    <w:p w14:paraId="36ACE3A0">
      <w:pPr>
        <w:jc w:val="both"/>
        <w:rPr>
          <w:rFonts w:ascii="Times New Roman" w:hAnsi="Times New Roman" w:eastAsia="Times New Roman" w:cs="Times New Roman"/>
          <w:sz w:val="24"/>
          <w:szCs w:val="24"/>
          <w:lang w:val="en-GB" w:eastAsia="en-GB"/>
        </w:rPr>
      </w:pPr>
      <w:r>
        <w:rPr>
          <w:rFonts w:ascii="Times New Roman" w:hAnsi="Times New Roman" w:cs="Times New Roman"/>
        </w:rPr>
        <w:t>GENERAL ELECTRONICS should prioritise factoring and structured supplier finance, because cash inflows are weak and DSO is long.</w:t>
      </w:r>
    </w:p>
    <w:p w14:paraId="2C6BAF10">
      <w:pPr>
        <w:pStyle w:val="3"/>
        <w:rPr>
          <w:rFonts w:ascii="Times New Roman" w:hAnsi="Times New Roman" w:cs="Times New Roman"/>
          <w:b w:val="0"/>
          <w:bCs w:val="0"/>
          <w:sz w:val="28"/>
          <w:szCs w:val="28"/>
        </w:rPr>
      </w:pPr>
      <w:bookmarkStart w:id="19" w:name="_Toc217080746"/>
      <w:r>
        <w:rPr>
          <w:rStyle w:val="36"/>
          <w:rFonts w:ascii="Times New Roman" w:hAnsi="Times New Roman" w:cs="Times New Roman"/>
          <w:b/>
          <w:bCs/>
          <w:sz w:val="28"/>
          <w:szCs w:val="28"/>
        </w:rPr>
        <w:t>2.3.2 Long-Term Financing Options</w:t>
      </w:r>
      <w:bookmarkEnd w:id="19"/>
    </w:p>
    <w:p w14:paraId="34D96E29">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General Electronics has various options to financing in the long term, none of which has unambiguous advantages and disadvantages. Bank loans that are long-term usually come at low interest rates as compared to short-term debt but one will be expected to have good financial statements, which General Electronics does not have currently. Corporate bonds are able to raise large amount of capital but the poor credit rating of the company would make it difficult to issue it successfully. The issuance of equity would not require any interest payment but would further dilute the shareholders when the earnings per share is already negative. Figure 1 above has the benefit that convertible debt is lower in terms of coupon payment, but it contributes to leverage during the initial period before possible conversion </w:t>
      </w:r>
      <w:r>
        <w:rPr>
          <w:rFonts w:ascii="Times New Roman" w:hAnsi="Times New Roman" w:eastAsia="Times New Roman" w:cs="Times New Roman"/>
          <w:sz w:val="24"/>
          <w:szCs w:val="24"/>
          <w:lang w:eastAsia="en-GB"/>
        </w:rPr>
        <w:t>(EY, 2023)</w:t>
      </w:r>
      <w:r>
        <w:rPr>
          <w:rFonts w:ascii="Times New Roman" w:hAnsi="Times New Roman" w:eastAsia="Times New Roman" w:cs="Times New Roman"/>
          <w:sz w:val="24"/>
          <w:szCs w:val="24"/>
          <w:lang w:val="en-GB" w:eastAsia="en-GB"/>
        </w:rPr>
        <w:t>.</w:t>
      </w:r>
    </w:p>
    <w:p w14:paraId="427F8FE8">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As negative profitability and low solvency suggest, the ability of GENERAL ELECTRONICS to borrow on a long-term basis is severely restricted. There might be an option of equity injection or convertible debt but this will further dilute the shareholders.</w:t>
      </w:r>
    </w:p>
    <w:p w14:paraId="268C51D2">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Because of the distress-level leverage (Debt/Equity = 1.11), GENERAL ELECTRONICS ought to:</w:t>
      </w:r>
    </w:p>
    <w:p w14:paraId="19061A09">
      <w:pPr>
        <w:pStyle w:val="155"/>
        <w:numPr>
          <w:ilvl w:val="0"/>
          <w:numId w:val="10"/>
        </w:num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No extra long-term debts.</w:t>
      </w:r>
    </w:p>
    <w:p w14:paraId="7A0B0954">
      <w:pPr>
        <w:pStyle w:val="155"/>
        <w:numPr>
          <w:ilvl w:val="0"/>
          <w:numId w:val="10"/>
        </w:num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Resort to hybrid financing (e.g. convertibles).</w:t>
      </w:r>
    </w:p>
    <w:p w14:paraId="2696C340">
      <w:pPr>
        <w:pStyle w:val="155"/>
        <w:numPr>
          <w:ilvl w:val="0"/>
          <w:numId w:val="10"/>
        </w:num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Combine pair financing with extreme cost cutting and rationalization.</w:t>
      </w:r>
    </w:p>
    <w:p w14:paraId="4BEF9A2F">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performance of the working capital of GENERAL Electronics has greatly diminished with an excessive long cash operating cycle due to low inventory turnover and slow collection of its receivables. Liquidity is in a dire state as indicated by a quick ratio under 1.0 and cash ratio of only 0.17.</w:t>
      </w:r>
    </w:p>
    <w:p w14:paraId="0179D42D">
      <w:pPr>
        <w:rPr>
          <w:rFonts w:ascii="Times New Roman" w:hAnsi="Times New Roman" w:eastAsia="Times New Roman" w:cs="Times New Roman"/>
          <w:sz w:val="24"/>
          <w:szCs w:val="24"/>
          <w:lang w:val="en-GB" w:eastAsia="en-GB"/>
        </w:rPr>
      </w:pPr>
    </w:p>
    <w:p w14:paraId="58AEAC88">
      <w:pP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br w:type="page"/>
      </w:r>
    </w:p>
    <w:p w14:paraId="39205E55">
      <w:pPr>
        <w:pStyle w:val="2"/>
        <w:rPr>
          <w:rFonts w:ascii="Times New Roman" w:hAnsi="Times New Roman" w:cs="Times New Roman"/>
          <w:sz w:val="32"/>
          <w:szCs w:val="32"/>
        </w:rPr>
      </w:pPr>
      <w:bookmarkStart w:id="20" w:name="_Toc217080747"/>
      <w:r>
        <w:rPr>
          <w:rStyle w:val="36"/>
          <w:rFonts w:ascii="Times New Roman" w:hAnsi="Times New Roman" w:cs="Times New Roman"/>
          <w:b/>
          <w:bCs/>
          <w:sz w:val="32"/>
          <w:szCs w:val="32"/>
        </w:rPr>
        <w:t>3. Strategic Financial Restructuring Plan</w:t>
      </w:r>
      <w:bookmarkEnd w:id="20"/>
      <w:r>
        <w:rPr>
          <w:rStyle w:val="36"/>
          <w:rFonts w:ascii="Times New Roman" w:hAnsi="Times New Roman" w:cs="Times New Roman"/>
          <w:b/>
          <w:bCs/>
          <w:sz w:val="32"/>
          <w:szCs w:val="32"/>
        </w:rPr>
        <w:t xml:space="preserve"> </w:t>
      </w:r>
    </w:p>
    <w:p w14:paraId="1749EABC">
      <w:pP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General Electronics is highly stressed in terms of poor financial performance as it shows negative profitability, poor liquidity, high leverages and a decreasing Altman Z-Score. To reinstate stability, re-align the capital structure, increase flexibility in operations, and improve shareholder value, global risks that require management, including ethics, tax, currency, and inflation, have to be handled through a comprehensive financial restructuring plan </w:t>
      </w:r>
      <w:r>
        <w:rPr>
          <w:rFonts w:ascii="Times New Roman" w:hAnsi="Times New Roman" w:eastAsia="Times New Roman" w:cs="Times New Roman"/>
          <w:sz w:val="24"/>
          <w:szCs w:val="24"/>
          <w:lang w:eastAsia="en-GB"/>
        </w:rPr>
        <w:t>(EY, 2023)</w:t>
      </w:r>
      <w:r>
        <w:rPr>
          <w:rFonts w:ascii="Times New Roman" w:hAnsi="Times New Roman" w:eastAsia="Times New Roman" w:cs="Times New Roman"/>
          <w:sz w:val="24"/>
          <w:szCs w:val="24"/>
          <w:lang w:val="en-GB" w:eastAsia="en-GB"/>
        </w:rPr>
        <w:t>.</w:t>
      </w:r>
    </w:p>
    <w:p w14:paraId="720F99EF">
      <w:pPr>
        <w:pStyle w:val="2"/>
        <w:rPr>
          <w:rFonts w:ascii="Times New Roman" w:hAnsi="Times New Roman" w:cs="Times New Roman"/>
          <w:sz w:val="32"/>
          <w:szCs w:val="32"/>
        </w:rPr>
      </w:pPr>
      <w:bookmarkStart w:id="21" w:name="_Toc217080748"/>
      <w:r>
        <w:rPr>
          <w:rStyle w:val="36"/>
          <w:rFonts w:ascii="Times New Roman" w:hAnsi="Times New Roman" w:cs="Times New Roman"/>
          <w:b/>
          <w:bCs/>
          <w:sz w:val="32"/>
          <w:szCs w:val="32"/>
        </w:rPr>
        <w:t>3.1 Strategic Option 1: Divestiture of Non-Core or Underperforming Units</w:t>
      </w:r>
      <w:bookmarkEnd w:id="21"/>
    </w:p>
    <w:p w14:paraId="00B65B40">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Divestiture is one of the best restructuring tools of the troubled firms. The financial statements of GENERAL ELECTRONICS show a downward trend in terms of its assets, which implies that it has been impaired or reduced before. Nevertheless, the company continues to have the non-core business units and regional subsidiaries operating that do not add significant value to the overall profitability.</w:t>
      </w:r>
    </w:p>
    <w:p w14:paraId="791C719F">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Selling unprofitable units enhances liquidity, decreases leverage, and allows the company to repay debt, which meets the requirement of GENERAL ELECTRONICS low cash ratio and negative interest coverage. It also focuses its strategic attention on high margin, high-growing segments and eliminates additional loss of retained earnings.</w:t>
      </w:r>
    </w:p>
    <w:p w14:paraId="767AC0FF">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Shareholders value can fall in the short-term when the divestitures are viewed as a fire sale. Efficient capital redistribution in the medium term will be able to boost ROA and ROE and turn adverse trends around and enhance confidence in the market. The company will be more profitable and valuation easeable in the long term </w:t>
      </w:r>
      <w:r>
        <w:rPr>
          <w:rFonts w:ascii="Times New Roman" w:hAnsi="Times New Roman" w:eastAsia="Times New Roman" w:cs="Times New Roman"/>
          <w:sz w:val="24"/>
          <w:szCs w:val="24"/>
          <w:lang w:eastAsia="en-GB"/>
        </w:rPr>
        <w:t>(McKinsey &amp; Company, 2023)</w:t>
      </w:r>
      <w:r>
        <w:rPr>
          <w:rFonts w:ascii="Times New Roman" w:hAnsi="Times New Roman" w:eastAsia="Times New Roman" w:cs="Times New Roman"/>
          <w:sz w:val="24"/>
          <w:szCs w:val="24"/>
          <w:lang w:val="en-GB" w:eastAsia="en-GB"/>
        </w:rPr>
        <w:t>.</w:t>
      </w:r>
    </w:p>
    <w:p w14:paraId="56779624">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Paying off debt with divestiture proceeds will lower leverage (Debt/Equity = 1.11) and will improve the Altman Z-Score. Reduction of debt will minimize financial risk and interest payments to bring back solvency.</w:t>
      </w:r>
    </w:p>
    <w:p w14:paraId="2A0A072F">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Any divestiture should not violate international labour standards, such as the EU labour laws, Asian contract standards, and the US WARN Act. With regard to CSR, GENERAL ELECTRONICS ought to consider giving the laid-off workers fair severance, retraining, or relocation benefits </w:t>
      </w:r>
      <w:r>
        <w:rPr>
          <w:rFonts w:ascii="Times New Roman" w:hAnsi="Times New Roman" w:eastAsia="Times New Roman" w:cs="Times New Roman"/>
          <w:sz w:val="24"/>
          <w:szCs w:val="24"/>
          <w:lang w:eastAsia="en-GB"/>
        </w:rPr>
        <w:t>(PwC, 2023)</w:t>
      </w:r>
      <w:r>
        <w:rPr>
          <w:rFonts w:ascii="Times New Roman" w:hAnsi="Times New Roman" w:eastAsia="Times New Roman" w:cs="Times New Roman"/>
          <w:sz w:val="24"/>
          <w:szCs w:val="24"/>
          <w:lang w:val="en-GB" w:eastAsia="en-GB"/>
        </w:rPr>
        <w:t>. The sales of assets across the borders should be satisfied with the requirements of the transfer pricing and the laws of tax withholding. Lastly, those divestments that are made in foreign currencies are to be hedged to prevent the loss of USD/GBP values.</w:t>
      </w:r>
    </w:p>
    <w:p w14:paraId="3D068F57">
      <w:pPr>
        <w:pStyle w:val="2"/>
        <w:rPr>
          <w:rStyle w:val="36"/>
          <w:rFonts w:ascii="Times New Roman" w:hAnsi="Times New Roman" w:cs="Times New Roman"/>
          <w:b/>
          <w:bCs/>
          <w:sz w:val="32"/>
          <w:szCs w:val="32"/>
        </w:rPr>
      </w:pPr>
      <w:bookmarkStart w:id="22" w:name="_Toc217080749"/>
      <w:r>
        <w:rPr>
          <w:rStyle w:val="36"/>
          <w:rFonts w:ascii="Times New Roman" w:hAnsi="Times New Roman" w:cs="Times New Roman"/>
          <w:b/>
          <w:bCs/>
          <w:sz w:val="32"/>
          <w:szCs w:val="32"/>
        </w:rPr>
        <w:t>3.2 Strategic Option 2: Merger or Strategic Partnership</w:t>
      </w:r>
      <w:bookmarkEnd w:id="22"/>
    </w:p>
    <w:p w14:paraId="3EAAA07D">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One restructuring alternative that can be applied to GENERAL ELECTRONICS in a fast moving and globalized electronics industry that has high R&amp;D rates and quick cycles of innovations is a merger or strategic alliance.</w:t>
      </w:r>
    </w:p>
    <w:p w14:paraId="1BF13BD4">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The joint venture will enable the company to decrease its overheads, increase market presence in India, South East Asia and Africa, and share technology, R&amp;D investment and geopolitical risk. It assists in revenue stream diversification as well </w:t>
      </w:r>
      <w:r>
        <w:rPr>
          <w:rFonts w:ascii="Times New Roman" w:hAnsi="Times New Roman" w:eastAsia="Times New Roman" w:cs="Times New Roman"/>
          <w:sz w:val="24"/>
          <w:szCs w:val="24"/>
          <w:lang w:eastAsia="en-GB"/>
        </w:rPr>
        <w:t>(Deloitte, 2023)</w:t>
      </w:r>
      <w:r>
        <w:rPr>
          <w:rFonts w:ascii="Times New Roman" w:hAnsi="Times New Roman" w:eastAsia="Times New Roman" w:cs="Times New Roman"/>
          <w:sz w:val="24"/>
          <w:szCs w:val="24"/>
          <w:lang w:val="en-GB" w:eastAsia="en-GB"/>
        </w:rPr>
        <w:t>.</w:t>
      </w:r>
    </w:p>
    <w:p w14:paraId="24A798BE">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Synergies may increase profitability, ROE and valuation, but the risks are cultural conflicts and decreased valuation where GENERAL ELECTRONICS introduces negotiations when in financial disadvantage and result in dilution.</w:t>
      </w:r>
    </w:p>
    <w:p w14:paraId="4AA2F91B">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The financial and other liabilities of the partner can be used to strengthen the balance sheet in a merger, as the partner brings in equity or absorbs some of the current liabilities, thus creating less leverage and enhancing the interest coverage. Any transaction should be in compliance with the global competition laws (EU, US DOJ, Asian regulators) and with the data-privacy laws, including GDPR and CCPA. Multi-currency exposure implies the need of hedging to address the inflation and FX risk. The merged entity must also have a single CSR/ESG framework </w:t>
      </w:r>
      <w:r>
        <w:rPr>
          <w:rFonts w:ascii="Times New Roman" w:hAnsi="Times New Roman" w:eastAsia="Times New Roman" w:cs="Times New Roman"/>
          <w:sz w:val="24"/>
          <w:szCs w:val="24"/>
          <w:lang w:eastAsia="en-GB"/>
        </w:rPr>
        <w:t>(CFA Institute, 2020)</w:t>
      </w:r>
      <w:r>
        <w:rPr>
          <w:rFonts w:ascii="Times New Roman" w:hAnsi="Times New Roman" w:eastAsia="Times New Roman" w:cs="Times New Roman"/>
          <w:sz w:val="24"/>
          <w:szCs w:val="24"/>
          <w:lang w:val="en-GB" w:eastAsia="en-GB"/>
        </w:rPr>
        <w:t>.</w:t>
      </w:r>
    </w:p>
    <w:p w14:paraId="667052E1">
      <w:pPr>
        <w:pStyle w:val="2"/>
        <w:rPr>
          <w:rStyle w:val="36"/>
          <w:rFonts w:ascii="Times New Roman" w:hAnsi="Times New Roman" w:cs="Times New Roman"/>
          <w:b/>
          <w:bCs/>
          <w:sz w:val="32"/>
          <w:szCs w:val="32"/>
        </w:rPr>
      </w:pPr>
      <w:bookmarkStart w:id="23" w:name="_Toc217080750"/>
      <w:r>
        <w:rPr>
          <w:rStyle w:val="36"/>
          <w:rFonts w:ascii="Times New Roman" w:hAnsi="Times New Roman" w:cs="Times New Roman"/>
          <w:b/>
          <w:bCs/>
          <w:sz w:val="32"/>
          <w:szCs w:val="32"/>
        </w:rPr>
        <w:t>3.3 Strategic Option 3: Equity Injection or Recapitalization</w:t>
      </w:r>
      <w:bookmarkEnd w:id="23"/>
    </w:p>
    <w:p w14:paraId="3C3E445A">
      <w:pPr>
        <w:rPr>
          <w:rFonts w:ascii="Times New Roman" w:hAnsi="Times New Roman" w:cs="Times New Roman"/>
        </w:rPr>
      </w:pPr>
    </w:p>
    <w:p w14:paraId="69C1A208">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Equity</w:t>
      </w:r>
      <w:r>
        <w:rPr>
          <w:rFonts w:hint="default" w:ascii="Times New Roman" w:hAnsi="Times New Roman" w:eastAsia="Times New Roman" w:cs="Times New Roman"/>
          <w:sz w:val="24"/>
          <w:szCs w:val="24"/>
          <w:lang w:val="en-US" w:eastAsia="en-GB"/>
        </w:rPr>
        <w:t xml:space="preserve"> </w:t>
      </w:r>
      <w:r>
        <w:rPr>
          <w:rFonts w:ascii="Times New Roman" w:hAnsi="Times New Roman" w:eastAsia="Times New Roman" w:cs="Times New Roman"/>
          <w:sz w:val="24"/>
          <w:szCs w:val="24"/>
          <w:lang w:val="en-GB" w:eastAsia="en-GB"/>
        </w:rPr>
        <w:t>recapitalisation</w:t>
      </w:r>
      <w:r>
        <w:rPr>
          <w:rFonts w:hint="default" w:ascii="Times New Roman" w:hAnsi="Times New Roman" w:eastAsia="Times New Roman" w:cs="Times New Roman"/>
          <w:sz w:val="24"/>
          <w:szCs w:val="24"/>
          <w:lang w:val="en-US" w:eastAsia="en-GB"/>
        </w:rPr>
        <w:t xml:space="preserve"> </w:t>
      </w:r>
      <w:r>
        <w:rPr>
          <w:rFonts w:ascii="Times New Roman" w:hAnsi="Times New Roman" w:eastAsia="Times New Roman" w:cs="Times New Roman"/>
          <w:sz w:val="24"/>
          <w:szCs w:val="24"/>
          <w:lang w:val="en-GB" w:eastAsia="en-GB"/>
        </w:rPr>
        <w:t>is a significant stabili</w:t>
      </w:r>
      <w:r>
        <w:rPr>
          <w:rFonts w:hint="default" w:ascii="Times New Roman" w:hAnsi="Times New Roman" w:eastAsia="Times New Roman" w:cs="Times New Roman"/>
          <w:sz w:val="24"/>
          <w:szCs w:val="24"/>
          <w:lang w:val="en-US" w:eastAsia="en-GB"/>
        </w:rPr>
        <w:t>z</w:t>
      </w:r>
      <w:r>
        <w:rPr>
          <w:rFonts w:ascii="Times New Roman" w:hAnsi="Times New Roman" w:eastAsia="Times New Roman" w:cs="Times New Roman"/>
          <w:sz w:val="24"/>
          <w:szCs w:val="24"/>
          <w:lang w:val="en-GB" w:eastAsia="en-GB"/>
        </w:rPr>
        <w:t>ation instrument of GENERAL ELECTRONICS, as it is not very solvent. The liquidity ratios are deteriorating, the net margins are in the negative, leverage is high and the Altman Z -score of 2.11 indicates financial distress. New equity would enhance the balance sheet, restructuring, and credit worthiness.</w:t>
      </w:r>
    </w:p>
    <w:p w14:paraId="036D74B6">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methods of equity are a rights issue (control retained, but negative EPS), private equity (capital and turnaround pressure), or a strategic investor, such as a technology conglomerate, which can also offer operational capabilities.</w:t>
      </w:r>
    </w:p>
    <w:p w14:paraId="1FBA2925">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Short-term dilution may be experienced by the shareholders, although an enhanced financial stability would usually augment sentiment and long-run ROE and cash flow. Increasing the equity also reduces leverage, creates buffer, and increases the debt capacity of future expansion.</w:t>
      </w:r>
    </w:p>
    <w:p w14:paraId="50C0AE05">
      <w:pPr>
        <w:pStyle w:val="2"/>
        <w:rPr>
          <w:rFonts w:ascii="Times New Roman" w:hAnsi="Times New Roman" w:cs="Times New Roman"/>
          <w:sz w:val="32"/>
          <w:szCs w:val="32"/>
          <w:lang w:val="en-GB" w:eastAsia="en-GB"/>
        </w:rPr>
      </w:pPr>
      <w:bookmarkStart w:id="24" w:name="_Toc217080751"/>
      <w:r>
        <w:rPr>
          <w:rFonts w:ascii="Times New Roman" w:hAnsi="Times New Roman" w:cs="Times New Roman"/>
          <w:sz w:val="32"/>
          <w:szCs w:val="32"/>
          <w:lang w:val="en-GB" w:eastAsia="en-GB"/>
        </w:rPr>
        <w:t>3.4 Integrated Restructuring Strategy (Combined Approach)</w:t>
      </w:r>
      <w:bookmarkEnd w:id="24"/>
    </w:p>
    <w:p w14:paraId="73D25355">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Since the financial performance of GENERAL ELECTRONICS is in a troubled state, the best restructuring model will be a gradual integration of the three strategic choices instead of using a single solution.</w:t>
      </w:r>
    </w:p>
    <w:p w14:paraId="2CB434F7">
      <w:pPr>
        <w:jc w:val="both"/>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Phase 1: Immediate Stabilisation (0-12 months)</w:t>
      </w:r>
    </w:p>
    <w:p w14:paraId="582EF0CD">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initial step is aimed at stabili</w:t>
      </w:r>
      <w:r>
        <w:rPr>
          <w:rFonts w:hint="default" w:ascii="Times New Roman" w:hAnsi="Times New Roman" w:eastAsia="Times New Roman" w:cs="Times New Roman"/>
          <w:sz w:val="24"/>
          <w:szCs w:val="24"/>
          <w:lang w:val="en-US" w:eastAsia="en-GB"/>
        </w:rPr>
        <w:t>z</w:t>
      </w:r>
      <w:r>
        <w:rPr>
          <w:rFonts w:ascii="Times New Roman" w:hAnsi="Times New Roman" w:eastAsia="Times New Roman" w:cs="Times New Roman"/>
          <w:sz w:val="24"/>
          <w:szCs w:val="24"/>
          <w:lang w:val="en-GB" w:eastAsia="en-GB"/>
        </w:rPr>
        <w:t>ing in the short run. The sale of non-core business will create proceeds which can be utilized to settle on high-cost debt, better liquidity and strengthen the working capital position, which will offer much-needed breathing space. At the same time, the introduction of an equity injection by a strategic investor or a private equity company will reinforce the capital base, inject managerial experience, and enhance innovativeness abilities (Arnold, 2019). Aggressive cost restructuring must also be administered and this includes consolidating the global operation, reducing the duplicative R&amp;D and simplifying procurement contracts to cut down the operating costs.</w:t>
      </w:r>
    </w:p>
    <w:p w14:paraId="1F1F1392">
      <w:pPr>
        <w:jc w:val="both"/>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Phase 2: Competitiveness (12-36 months) Strengthening.</w:t>
      </w:r>
    </w:p>
    <w:p w14:paraId="7A1E43B0">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second one is aimed at increasing competitiveness. The strategic alliances or joint ventures will help it to achieve integration in semiconductor supply chain, creation of software and digital ecosystems and penetration into new markets. Multi-currency hedging, the evaluation of country risk rating, and pricing models, based on inflation, should enhance global risk management (ICAEW, 2022). Meanwhile, corporate governance and CSR activities should be reinforced through making sure that there is transparent reporting, ethical procurement and low-carbon manufacturing commitments.</w:t>
      </w:r>
    </w:p>
    <w:p w14:paraId="4D8F3CFD">
      <w:pPr>
        <w:jc w:val="both"/>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Phase 3: Long-term positioning (36-60 months)</w:t>
      </w:r>
    </w:p>
    <w:p w14:paraId="669A0896">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third step is long-term positioning once the financial strength is regained. GENERAL ELECTRONICS must consider the prospect of full or partial merger, reinvest in high growth products, go global at the expense of technology driven distribution and have a target leverage of Debt/Equity dotted at 0.7 in order to ensure a sustained growth.</w:t>
      </w:r>
    </w:p>
    <w:p w14:paraId="2704FA60">
      <w:pPr>
        <w:pStyle w:val="2"/>
        <w:rPr>
          <w:rFonts w:ascii="Times New Roman" w:hAnsi="Times New Roman" w:eastAsia="Times New Roman" w:cs="Times New Roman"/>
          <w:sz w:val="24"/>
          <w:szCs w:val="24"/>
          <w:lang w:val="en-GB" w:eastAsia="en-GB"/>
        </w:rPr>
      </w:pPr>
      <w:bookmarkStart w:id="25" w:name="_Toc217080752"/>
      <w:r>
        <w:rPr>
          <w:rStyle w:val="36"/>
          <w:rFonts w:ascii="Times New Roman" w:hAnsi="Times New Roman" w:cs="Times New Roman"/>
          <w:b/>
          <w:bCs/>
          <w:sz w:val="32"/>
          <w:szCs w:val="32"/>
        </w:rPr>
        <w:t>3.5 Ethical, International, and ESG Considerations</w:t>
      </w:r>
      <w:bookmarkEnd w:id="25"/>
    </w:p>
    <w:p w14:paraId="453B8D33">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The restructuring should be in accordance with the international corporate ethics and sustainability. The ethics of labour practices play a key role during the process of divestiture or restructuring of workers; the GENERAL ELECTRONICS ought to guarantee equitable redundancies, invest in retraining and redeployment as well as adhering to international labour conventions like the ILO guidelines. There is also the need to manage currency risk since the company operates in a number of different currencies. This can be considered by forward contracts, swaps, and natural hedges without being subjected to too much exposure to volatile currencies </w:t>
      </w:r>
      <w:r>
        <w:rPr>
          <w:rFonts w:ascii="Times New Roman" w:hAnsi="Times New Roman" w:eastAsia="Times New Roman" w:cs="Times New Roman"/>
          <w:sz w:val="24"/>
          <w:szCs w:val="24"/>
          <w:lang w:eastAsia="en-GB"/>
        </w:rPr>
        <w:t>(Moody’s Analytics, 2023)</w:t>
      </w:r>
      <w:r>
        <w:rPr>
          <w:rFonts w:ascii="Times New Roman" w:hAnsi="Times New Roman" w:eastAsia="Times New Roman" w:cs="Times New Roman"/>
          <w:sz w:val="24"/>
          <w:szCs w:val="24"/>
          <w:lang w:val="en-GB" w:eastAsia="en-GB"/>
        </w:rPr>
        <w:t>.</w:t>
      </w:r>
    </w:p>
    <w:p w14:paraId="2DDEAA81">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It has to be taken into account the international tax compliance, such as the compliance with transfer pricing regulations, base erosion and profit shifting (BEPS) rules, and the withholding tax imposed on intercompany transactions. Adopting inflation and macroeconomic volatile emerging markets should be dealt with by the application of pricing and procurement in terms of inflation indexed strategies to cushion margins </w:t>
      </w:r>
      <w:r>
        <w:rPr>
          <w:rFonts w:ascii="Times New Roman" w:hAnsi="Times New Roman" w:eastAsia="Times New Roman" w:cs="Times New Roman"/>
          <w:sz w:val="24"/>
          <w:szCs w:val="24"/>
          <w:lang w:eastAsia="en-GB"/>
        </w:rPr>
        <w:t>(ICAEW, 2022)</w:t>
      </w:r>
      <w:r>
        <w:rPr>
          <w:rFonts w:ascii="Times New Roman" w:hAnsi="Times New Roman" w:eastAsia="Times New Roman" w:cs="Times New Roman"/>
          <w:sz w:val="24"/>
          <w:szCs w:val="24"/>
          <w:lang w:val="en-GB" w:eastAsia="en-GB"/>
        </w:rPr>
        <w:t>.</w:t>
      </w:r>
    </w:p>
    <w:p w14:paraId="4E770755">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Another major ingredient of a sustainable turnaround is the corporate social responsibility. General Electronics requires a strict, morally directed financial re-organisation strategy. The combination of divestitures, equity recapitalisation and strategic partnerships will be done in phases to alleviate liquidity pressure, lower leverage and increase global competitiveness. When these measures are carried out properly, they will help the company to become financially sound, promote its growth and meet the global and moral requirements </w:t>
      </w:r>
      <w:r>
        <w:rPr>
          <w:rFonts w:ascii="Times New Roman" w:hAnsi="Times New Roman" w:eastAsia="Times New Roman" w:cs="Times New Roman"/>
          <w:sz w:val="24"/>
          <w:szCs w:val="24"/>
          <w:lang w:eastAsia="en-GB"/>
        </w:rPr>
        <w:t>(Atrill and McLaney, 2022)</w:t>
      </w:r>
      <w:r>
        <w:rPr>
          <w:rFonts w:ascii="Times New Roman" w:hAnsi="Times New Roman" w:eastAsia="Times New Roman" w:cs="Times New Roman"/>
          <w:sz w:val="24"/>
          <w:szCs w:val="24"/>
          <w:lang w:val="en-GB" w:eastAsia="en-GB"/>
        </w:rPr>
        <w:t>.</w:t>
      </w:r>
    </w:p>
    <w:p w14:paraId="434EE8DD">
      <w:pPr>
        <w:rPr>
          <w:rFonts w:ascii="Times New Roman" w:hAnsi="Times New Roman" w:eastAsia="Times New Roman" w:cs="Times New Roman"/>
          <w:sz w:val="24"/>
          <w:szCs w:val="24"/>
          <w:lang w:val="en-GB" w:eastAsia="en-GB"/>
        </w:rPr>
      </w:pPr>
    </w:p>
    <w:p w14:paraId="57F3A8EF">
      <w:pP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br w:type="page"/>
      </w:r>
    </w:p>
    <w:p w14:paraId="40B70765">
      <w:pPr>
        <w:pStyle w:val="2"/>
        <w:rPr>
          <w:rFonts w:ascii="Times New Roman" w:hAnsi="Times New Roman" w:cs="Times New Roman"/>
          <w:sz w:val="32"/>
          <w:szCs w:val="32"/>
        </w:rPr>
      </w:pPr>
      <w:bookmarkStart w:id="26" w:name="_Toc217080753"/>
      <w:r>
        <w:rPr>
          <w:rStyle w:val="36"/>
          <w:rFonts w:ascii="Times New Roman" w:hAnsi="Times New Roman" w:cs="Times New Roman"/>
          <w:b/>
          <w:bCs/>
          <w:sz w:val="32"/>
          <w:szCs w:val="32"/>
        </w:rPr>
        <w:t>4. Investment Appraisal and Capital Budgeting</w:t>
      </w:r>
      <w:bookmarkEnd w:id="26"/>
      <w:r>
        <w:rPr>
          <w:rStyle w:val="36"/>
          <w:rFonts w:ascii="Times New Roman" w:hAnsi="Times New Roman" w:cs="Times New Roman"/>
          <w:b/>
          <w:bCs/>
          <w:sz w:val="32"/>
          <w:szCs w:val="32"/>
        </w:rPr>
        <w:t xml:space="preserve"> </w:t>
      </w:r>
    </w:p>
    <w:p w14:paraId="1ABEDFCD">
      <w:pPr>
        <w:pStyle w:val="34"/>
        <w:spacing w:line="360" w:lineRule="auto"/>
        <w:jc w:val="both"/>
      </w:pPr>
      <w:r>
        <w:t xml:space="preserve">This part analyses three of the proposed investment projects A, B and C based on a consolidated capital budgeting model. There are five appraisal methods which include Payback Period (PBP), Accounting rate of return (ARR), Net present Value (NPV), Profitability Index (PI) and Internal rate of return (IRR). Each and every project is a five-year undertaking and is depreciated to zero through the straight-line basis of depreciation. Each discount is done based on 10 percent as the existing cost of capital of General Electronics </w:t>
      </w:r>
      <w:r>
        <w:rPr>
          <w:lang w:val="en-US"/>
        </w:rPr>
        <w:t>(IFRS Foundation, 2023)</w:t>
      </w:r>
      <w:r>
        <w:t>.</w:t>
      </w:r>
    </w:p>
    <w:p w14:paraId="0F3D0111">
      <w:pPr>
        <w:pStyle w:val="34"/>
        <w:spacing w:line="360" w:lineRule="auto"/>
        <w:jc w:val="both"/>
      </w:pPr>
      <w:r>
        <w:t>After personal project appraisal, a final investment decision is arrived at on capital rationing since GENERAL ELECTRONICS has the capability to invest up to PS 60 million. The recommendation incorporates financial standards, project risk, and the poor financial situation of the firm (negative profitability, declining liquidity, excessive leverage and operating losses).</w:t>
      </w:r>
    </w:p>
    <w:p w14:paraId="700D7E27">
      <w:pPr>
        <w:pStyle w:val="34"/>
      </w:pPr>
      <w:r>
        <w:t>The cash flows for each project are:</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22"/>
        <w:gridCol w:w="1736"/>
        <w:gridCol w:w="1722"/>
        <w:gridCol w:w="1736"/>
      </w:tblGrid>
      <w:tr w14:paraId="394A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586931C">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482C9BD1">
            <w:pPr>
              <w:spacing w:line="240" w:lineRule="auto"/>
              <w:jc w:val="center"/>
              <w:rPr>
                <w:rFonts w:ascii="Times New Roman" w:hAnsi="Times New Roman" w:eastAsia="Times New Roman" w:cs="Times New Roman"/>
                <w:b/>
                <w:bCs/>
                <w:sz w:val="24"/>
                <w:szCs w:val="24"/>
                <w:lang w:val="en-GB" w:eastAsia="en-GB"/>
              </w:rPr>
            </w:pPr>
          </w:p>
        </w:tc>
        <w:tc>
          <w:tcPr>
            <w:tcW w:w="0" w:type="auto"/>
          </w:tcPr>
          <w:p w14:paraId="5015D0DF">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Project A (£m)</w:t>
            </w:r>
          </w:p>
        </w:tc>
        <w:tc>
          <w:tcPr>
            <w:tcW w:w="0" w:type="auto"/>
          </w:tcPr>
          <w:p w14:paraId="4ECAAA0C">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Project B (£m)</w:t>
            </w:r>
          </w:p>
        </w:tc>
        <w:tc>
          <w:tcPr>
            <w:tcW w:w="0" w:type="auto"/>
          </w:tcPr>
          <w:p w14:paraId="3093080D">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Project C (£m)</w:t>
            </w:r>
          </w:p>
        </w:tc>
      </w:tr>
      <w:tr w14:paraId="1B3D8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4F0BF4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3A0A4A65">
            <w:pPr>
              <w:spacing w:line="240" w:lineRule="auto"/>
              <w:jc w:val="center"/>
              <w:rPr>
                <w:rFonts w:ascii="Times New Roman" w:hAnsi="Times New Roman" w:eastAsia="Times New Roman" w:cs="Times New Roman"/>
                <w:b/>
                <w:bCs/>
                <w:sz w:val="24"/>
                <w:szCs w:val="24"/>
                <w:lang w:val="en-GB" w:eastAsia="en-GB"/>
              </w:rPr>
            </w:pPr>
          </w:p>
        </w:tc>
        <w:tc>
          <w:tcPr>
            <w:tcW w:w="0" w:type="auto"/>
          </w:tcPr>
          <w:p w14:paraId="2312C687">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−40</w:t>
            </w:r>
          </w:p>
        </w:tc>
        <w:tc>
          <w:tcPr>
            <w:tcW w:w="0" w:type="auto"/>
          </w:tcPr>
          <w:p w14:paraId="4DA4C0E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−30</w:t>
            </w:r>
          </w:p>
        </w:tc>
        <w:tc>
          <w:tcPr>
            <w:tcW w:w="0" w:type="auto"/>
          </w:tcPr>
          <w:p w14:paraId="22F6B5D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−50</w:t>
            </w:r>
          </w:p>
        </w:tc>
      </w:tr>
      <w:tr w14:paraId="729B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0FE3715">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62667E22">
            <w:pPr>
              <w:spacing w:line="240" w:lineRule="auto"/>
              <w:jc w:val="center"/>
              <w:rPr>
                <w:rFonts w:ascii="Times New Roman" w:hAnsi="Times New Roman" w:eastAsia="Times New Roman" w:cs="Times New Roman"/>
                <w:sz w:val="24"/>
                <w:szCs w:val="24"/>
                <w:lang w:val="en-GB" w:eastAsia="en-GB"/>
              </w:rPr>
            </w:pPr>
          </w:p>
        </w:tc>
        <w:tc>
          <w:tcPr>
            <w:tcW w:w="0" w:type="auto"/>
          </w:tcPr>
          <w:p w14:paraId="7E52D89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047BA83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1E54B567">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r>
      <w:tr w14:paraId="3EF9A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E55032D">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549301F0">
            <w:pPr>
              <w:spacing w:line="240" w:lineRule="auto"/>
              <w:jc w:val="center"/>
              <w:rPr>
                <w:rFonts w:ascii="Times New Roman" w:hAnsi="Times New Roman" w:eastAsia="Times New Roman" w:cs="Times New Roman"/>
                <w:sz w:val="24"/>
                <w:szCs w:val="24"/>
                <w:lang w:val="en-GB" w:eastAsia="en-GB"/>
              </w:rPr>
            </w:pPr>
          </w:p>
        </w:tc>
        <w:tc>
          <w:tcPr>
            <w:tcW w:w="0" w:type="auto"/>
          </w:tcPr>
          <w:p w14:paraId="32064CC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12</w:t>
            </w:r>
          </w:p>
        </w:tc>
        <w:tc>
          <w:tcPr>
            <w:tcW w:w="0" w:type="auto"/>
          </w:tcPr>
          <w:p w14:paraId="46576C02">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39A38393">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r>
      <w:tr w14:paraId="198C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FDDF56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6D8BEDA6">
            <w:pPr>
              <w:spacing w:line="240" w:lineRule="auto"/>
              <w:jc w:val="center"/>
              <w:rPr>
                <w:rFonts w:ascii="Times New Roman" w:hAnsi="Times New Roman" w:eastAsia="Times New Roman" w:cs="Times New Roman"/>
                <w:sz w:val="24"/>
                <w:szCs w:val="24"/>
                <w:lang w:val="en-GB" w:eastAsia="en-GB"/>
              </w:rPr>
            </w:pPr>
          </w:p>
        </w:tc>
        <w:tc>
          <w:tcPr>
            <w:tcW w:w="0" w:type="auto"/>
          </w:tcPr>
          <w:p w14:paraId="21B1A775">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w:t>
            </w:r>
          </w:p>
        </w:tc>
        <w:tc>
          <w:tcPr>
            <w:tcW w:w="0" w:type="auto"/>
          </w:tcPr>
          <w:p w14:paraId="179A8C7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01BA423F">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w:t>
            </w:r>
          </w:p>
        </w:tc>
      </w:tr>
      <w:tr w14:paraId="592A8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853F1B">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469DE3FD">
            <w:pPr>
              <w:spacing w:line="240" w:lineRule="auto"/>
              <w:jc w:val="center"/>
              <w:rPr>
                <w:rFonts w:ascii="Times New Roman" w:hAnsi="Times New Roman" w:eastAsia="Times New Roman" w:cs="Times New Roman"/>
                <w:sz w:val="24"/>
                <w:szCs w:val="24"/>
                <w:lang w:val="en-GB" w:eastAsia="en-GB"/>
              </w:rPr>
            </w:pPr>
          </w:p>
        </w:tc>
        <w:tc>
          <w:tcPr>
            <w:tcW w:w="0" w:type="auto"/>
          </w:tcPr>
          <w:p w14:paraId="3A535CA8">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074E2EA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6935BD75">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25</w:t>
            </w:r>
          </w:p>
        </w:tc>
      </w:tr>
      <w:tr w14:paraId="6371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15A7A2">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2E4CB0A2">
            <w:pPr>
              <w:spacing w:line="240" w:lineRule="auto"/>
              <w:jc w:val="center"/>
              <w:rPr>
                <w:rFonts w:ascii="Times New Roman" w:hAnsi="Times New Roman" w:eastAsia="Times New Roman" w:cs="Times New Roman"/>
                <w:sz w:val="24"/>
                <w:szCs w:val="24"/>
                <w:lang w:val="en-GB" w:eastAsia="en-GB"/>
              </w:rPr>
            </w:pPr>
          </w:p>
        </w:tc>
        <w:tc>
          <w:tcPr>
            <w:tcW w:w="0" w:type="auto"/>
          </w:tcPr>
          <w:p w14:paraId="7BB58097">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w:t>
            </w:r>
          </w:p>
        </w:tc>
        <w:tc>
          <w:tcPr>
            <w:tcW w:w="0" w:type="auto"/>
          </w:tcPr>
          <w:p w14:paraId="01B6557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1CE9CF2F">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w:t>
            </w:r>
          </w:p>
        </w:tc>
      </w:tr>
    </w:tbl>
    <w:p w14:paraId="6C73AED0">
      <w:pPr>
        <w:pStyle w:val="2"/>
        <w:rPr>
          <w:rFonts w:ascii="Times New Roman" w:hAnsi="Times New Roman" w:cs="Times New Roman"/>
          <w:sz w:val="32"/>
          <w:szCs w:val="32"/>
        </w:rPr>
      </w:pPr>
      <w:bookmarkStart w:id="27" w:name="_Toc217080754"/>
      <w:r>
        <w:rPr>
          <w:rStyle w:val="36"/>
          <w:rFonts w:ascii="Times New Roman" w:hAnsi="Times New Roman" w:cs="Times New Roman"/>
          <w:b/>
          <w:bCs/>
          <w:sz w:val="32"/>
          <w:szCs w:val="32"/>
        </w:rPr>
        <w:t>4.1 Payback Period (PBP)</w:t>
      </w:r>
      <w:bookmarkEnd w:id="27"/>
    </w:p>
    <w:p w14:paraId="61C2C8C8">
      <w:pPr>
        <w:pStyle w:val="34"/>
      </w:pPr>
      <w:r>
        <w:t>The payback period measures how long it takes for a project to recover its initial investment.</w:t>
      </w:r>
    </w:p>
    <w:p w14:paraId="2351B2DB">
      <w:pPr>
        <w:pStyle w:val="3"/>
        <w:rPr>
          <w:rFonts w:ascii="Times New Roman" w:hAnsi="Times New Roman" w:cs="Times New Roman"/>
          <w:b w:val="0"/>
          <w:bCs w:val="0"/>
          <w:sz w:val="28"/>
          <w:szCs w:val="28"/>
        </w:rPr>
      </w:pPr>
      <w:bookmarkStart w:id="28" w:name="_Toc217080755"/>
      <w:r>
        <w:rPr>
          <w:rStyle w:val="36"/>
          <w:rFonts w:ascii="Times New Roman" w:hAnsi="Times New Roman" w:cs="Times New Roman"/>
          <w:b/>
          <w:bCs/>
          <w:sz w:val="28"/>
          <w:szCs w:val="28"/>
        </w:rPr>
        <w:t>4.1.1 Project A</w:t>
      </w:r>
      <w:bookmarkEnd w:id="28"/>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003"/>
        <w:gridCol w:w="3103"/>
      </w:tblGrid>
      <w:tr w14:paraId="0EECF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9CAFC7">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2AB390BB">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Inflow (£m)</w:t>
            </w:r>
          </w:p>
        </w:tc>
        <w:tc>
          <w:tcPr>
            <w:tcW w:w="0" w:type="auto"/>
          </w:tcPr>
          <w:p w14:paraId="47267BD2">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Cumulative Cash Flow (£m)</w:t>
            </w:r>
          </w:p>
        </w:tc>
      </w:tr>
      <w:tr w14:paraId="6A689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ADB03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43957AD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w:t>
            </w:r>
          </w:p>
        </w:tc>
        <w:tc>
          <w:tcPr>
            <w:tcW w:w="0" w:type="auto"/>
          </w:tcPr>
          <w:p w14:paraId="09637A4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w:t>
            </w:r>
          </w:p>
        </w:tc>
      </w:tr>
      <w:tr w14:paraId="46BB6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3CF0C4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75AD87E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16F570D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r>
      <w:tr w14:paraId="7565A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C837D9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639F18C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12</w:t>
            </w:r>
          </w:p>
        </w:tc>
        <w:tc>
          <w:tcPr>
            <w:tcW w:w="0" w:type="auto"/>
          </w:tcPr>
          <w:p w14:paraId="67387A4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−18</w:t>
            </w:r>
          </w:p>
        </w:tc>
      </w:tr>
      <w:tr w14:paraId="7C3CF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5F56F1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62EB9F6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w:t>
            </w:r>
          </w:p>
        </w:tc>
        <w:tc>
          <w:tcPr>
            <w:tcW w:w="0" w:type="auto"/>
          </w:tcPr>
          <w:p w14:paraId="538C643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r>
      <w:tr w14:paraId="76A68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E5B666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6ABDF8D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557E4CB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+6</w:t>
            </w:r>
          </w:p>
        </w:tc>
      </w:tr>
      <w:tr w14:paraId="1249A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2794A1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5FC7308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w:t>
            </w:r>
          </w:p>
        </w:tc>
        <w:tc>
          <w:tcPr>
            <w:tcW w:w="0" w:type="auto"/>
          </w:tcPr>
          <w:p w14:paraId="79BEE2B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w:t>
            </w:r>
          </w:p>
        </w:tc>
      </w:tr>
    </w:tbl>
    <w:p w14:paraId="4C107EAB">
      <w:pPr>
        <w:pStyle w:val="34"/>
      </w:pPr>
    </w:p>
    <w:p w14:paraId="5F52A84B">
      <w:pPr>
        <w:pStyle w:val="34"/>
        <w:numPr>
          <w:ilvl w:val="0"/>
          <w:numId w:val="11"/>
        </w:numPr>
      </w:pPr>
      <w:r>
        <w:t xml:space="preserve">Investment still unrecovered after Year 3: </w:t>
      </w:r>
      <w:r>
        <w:rPr>
          <w:rStyle w:val="36"/>
        </w:rPr>
        <w:t>£4m</w:t>
      </w:r>
    </w:p>
    <w:p w14:paraId="3BA3DAC9">
      <w:pPr>
        <w:pStyle w:val="34"/>
        <w:numPr>
          <w:ilvl w:val="0"/>
          <w:numId w:val="11"/>
        </w:numPr>
      </w:pPr>
      <w:r>
        <w:t>Year 4 inflow = £10m (fraction = 4 ÷ 10 = 0.4)</w:t>
      </w:r>
    </w:p>
    <w:p w14:paraId="6172E9B3">
      <w:pPr>
        <w:pStyle w:val="34"/>
        <w:rPr>
          <w:b/>
          <w:bCs/>
        </w:rPr>
      </w:pPr>
      <w:r>
        <w:rPr>
          <w:rStyle w:val="36"/>
        </w:rPr>
        <w:t>PBP (A) = 3 + 0.4 = 3.4 years</w:t>
      </w:r>
    </w:p>
    <w:p w14:paraId="74FFB114">
      <w:pPr>
        <w:pStyle w:val="3"/>
        <w:rPr>
          <w:rFonts w:ascii="Times New Roman" w:hAnsi="Times New Roman" w:cs="Times New Roman"/>
          <w:b w:val="0"/>
          <w:bCs w:val="0"/>
          <w:sz w:val="28"/>
          <w:szCs w:val="28"/>
        </w:rPr>
      </w:pPr>
      <w:bookmarkStart w:id="29" w:name="_Toc217080756"/>
      <w:r>
        <w:rPr>
          <w:rStyle w:val="36"/>
          <w:rFonts w:ascii="Times New Roman" w:hAnsi="Times New Roman" w:cs="Times New Roman"/>
          <w:b/>
          <w:bCs/>
          <w:sz w:val="28"/>
          <w:szCs w:val="28"/>
        </w:rPr>
        <w:t>4.1.2 Project B</w:t>
      </w:r>
      <w:bookmarkEnd w:id="29"/>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003"/>
        <w:gridCol w:w="3103"/>
      </w:tblGrid>
      <w:tr w14:paraId="32E57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BB8E17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33A780F1">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Inflow (£m)</w:t>
            </w:r>
          </w:p>
        </w:tc>
        <w:tc>
          <w:tcPr>
            <w:tcW w:w="0" w:type="auto"/>
          </w:tcPr>
          <w:p w14:paraId="078DD487">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Cumulative Cash Flow (£m)</w:t>
            </w:r>
          </w:p>
        </w:tc>
      </w:tr>
      <w:tr w14:paraId="7B72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D9FFCE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005919E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c>
          <w:tcPr>
            <w:tcW w:w="0" w:type="auto"/>
          </w:tcPr>
          <w:p w14:paraId="3144C58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r>
      <w:tr w14:paraId="0B94B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89B04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6E25135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6691C5C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−24</w:t>
            </w:r>
          </w:p>
        </w:tc>
      </w:tr>
      <w:tr w14:paraId="2DDD5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85CF5E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11325C8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285A267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−18</w:t>
            </w:r>
          </w:p>
        </w:tc>
      </w:tr>
      <w:tr w14:paraId="27301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9DF43E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336E5B2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1C2C795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−12</w:t>
            </w:r>
          </w:p>
        </w:tc>
      </w:tr>
      <w:tr w14:paraId="5256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6CB469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5146DBA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6A66A38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r>
      <w:tr w14:paraId="5A8DE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58D7A5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77F9AB5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3FFA13F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0</w:t>
            </w:r>
          </w:p>
        </w:tc>
      </w:tr>
    </w:tbl>
    <w:p w14:paraId="1797135A">
      <w:pPr>
        <w:rPr>
          <w:rFonts w:ascii="Times New Roman" w:hAnsi="Times New Roman" w:cs="Times New Roman"/>
          <w:b/>
          <w:bCs/>
        </w:rPr>
      </w:pPr>
    </w:p>
    <w:p w14:paraId="0E2D035F">
      <w:pPr>
        <w:rPr>
          <w:rFonts w:ascii="Times New Roman" w:hAnsi="Times New Roman" w:cs="Times New Roman"/>
          <w:b/>
          <w:bCs/>
        </w:rPr>
      </w:pPr>
      <w:r>
        <w:rPr>
          <w:rFonts w:ascii="Times New Roman" w:hAnsi="Times New Roman" w:cs="Times New Roman"/>
          <w:b/>
          <w:bCs/>
        </w:rPr>
        <w:t>PBP (B) = 5.0 years</w:t>
      </w:r>
    </w:p>
    <w:p w14:paraId="29E93761">
      <w:pPr>
        <w:pStyle w:val="3"/>
        <w:rPr>
          <w:rFonts w:ascii="Times New Roman" w:hAnsi="Times New Roman" w:cs="Times New Roman"/>
          <w:b w:val="0"/>
          <w:bCs w:val="0"/>
          <w:sz w:val="28"/>
          <w:szCs w:val="28"/>
        </w:rPr>
      </w:pPr>
      <w:bookmarkStart w:id="30" w:name="_Toc217080757"/>
      <w:r>
        <w:rPr>
          <w:rStyle w:val="36"/>
          <w:rFonts w:ascii="Times New Roman" w:hAnsi="Times New Roman" w:cs="Times New Roman"/>
          <w:b/>
          <w:bCs/>
          <w:sz w:val="28"/>
          <w:szCs w:val="28"/>
        </w:rPr>
        <w:t>4.1.3 Project C</w:t>
      </w:r>
      <w:bookmarkEnd w:id="30"/>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003"/>
        <w:gridCol w:w="3103"/>
      </w:tblGrid>
      <w:tr w14:paraId="28876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3A38956">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21BAAE16">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Inflow (£m)</w:t>
            </w:r>
          </w:p>
        </w:tc>
        <w:tc>
          <w:tcPr>
            <w:tcW w:w="0" w:type="auto"/>
          </w:tcPr>
          <w:p w14:paraId="694C0C66">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Cumulative Cash Flow (£m)</w:t>
            </w:r>
          </w:p>
        </w:tc>
      </w:tr>
      <w:tr w14:paraId="6DB15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0F93F1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59EC7D9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w:t>
            </w:r>
          </w:p>
        </w:tc>
        <w:tc>
          <w:tcPr>
            <w:tcW w:w="0" w:type="auto"/>
          </w:tcPr>
          <w:p w14:paraId="5591D96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w:t>
            </w:r>
          </w:p>
        </w:tc>
      </w:tr>
      <w:tr w14:paraId="21E89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01709A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1008D15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6DEB255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−45</w:t>
            </w:r>
          </w:p>
        </w:tc>
      </w:tr>
      <w:tr w14:paraId="35D0A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3F18E7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75C72C5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4A2C7D3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−35</w:t>
            </w:r>
          </w:p>
        </w:tc>
      </w:tr>
      <w:tr w14:paraId="30FA4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6E48D2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78BD3F0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w:t>
            </w:r>
          </w:p>
        </w:tc>
        <w:tc>
          <w:tcPr>
            <w:tcW w:w="0" w:type="auto"/>
          </w:tcPr>
          <w:p w14:paraId="6DC6B63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w:t>
            </w:r>
          </w:p>
        </w:tc>
      </w:tr>
      <w:tr w14:paraId="54E8B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6D66D9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24F1D7E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25</w:t>
            </w:r>
          </w:p>
        </w:tc>
        <w:tc>
          <w:tcPr>
            <w:tcW w:w="0" w:type="auto"/>
          </w:tcPr>
          <w:p w14:paraId="6811768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+10</w:t>
            </w:r>
          </w:p>
        </w:tc>
      </w:tr>
      <w:tr w14:paraId="0CBA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7E2EA2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73876C2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w:t>
            </w:r>
          </w:p>
        </w:tc>
        <w:tc>
          <w:tcPr>
            <w:tcW w:w="0" w:type="auto"/>
          </w:tcPr>
          <w:p w14:paraId="0F9CD1D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25</w:t>
            </w:r>
          </w:p>
        </w:tc>
      </w:tr>
    </w:tbl>
    <w:p w14:paraId="0125E481">
      <w:pPr>
        <w:rPr>
          <w:rFonts w:ascii="Times New Roman" w:hAnsi="Times New Roman" w:cs="Times New Roman"/>
        </w:rPr>
      </w:pPr>
    </w:p>
    <w:p w14:paraId="71A49619">
      <w:pPr>
        <w:pStyle w:val="34"/>
        <w:numPr>
          <w:ilvl w:val="0"/>
          <w:numId w:val="12"/>
        </w:numPr>
      </w:pPr>
      <w:r>
        <w:t xml:space="preserve">Investment still unrecovered after Year 3: need </w:t>
      </w:r>
      <w:r>
        <w:rPr>
          <w:rStyle w:val="36"/>
        </w:rPr>
        <w:t>£15m</w:t>
      </w:r>
    </w:p>
    <w:p w14:paraId="52A82776">
      <w:pPr>
        <w:pStyle w:val="34"/>
        <w:numPr>
          <w:ilvl w:val="0"/>
          <w:numId w:val="12"/>
        </w:numPr>
      </w:pPr>
      <w:r>
        <w:t>Year 4 inflow = £25m → fraction = 15 ÷ 25 = 0.6</w:t>
      </w:r>
    </w:p>
    <w:p w14:paraId="536C1669">
      <w:pPr>
        <w:pStyle w:val="34"/>
        <w:rPr>
          <w:b/>
          <w:bCs/>
        </w:rPr>
      </w:pPr>
      <w:r>
        <w:rPr>
          <w:rStyle w:val="36"/>
        </w:rPr>
        <w:t>PBP (C) = 3 + 0.6 = 3.6 years</w:t>
      </w:r>
    </w:p>
    <w:p w14:paraId="544A9A97">
      <w:pPr>
        <w:pStyle w:val="4"/>
        <w:rPr>
          <w:rFonts w:ascii="Times New Roman" w:hAnsi="Times New Roman" w:cs="Times New Roman"/>
          <w:b w:val="0"/>
          <w:bCs w:val="0"/>
          <w:sz w:val="24"/>
          <w:szCs w:val="24"/>
        </w:rPr>
      </w:pPr>
      <w:bookmarkStart w:id="31" w:name="_Toc217080758"/>
      <w:r>
        <w:rPr>
          <w:rStyle w:val="36"/>
          <w:rFonts w:ascii="Times New Roman" w:hAnsi="Times New Roman" w:cs="Times New Roman"/>
          <w:b/>
          <w:bCs/>
          <w:sz w:val="24"/>
          <w:szCs w:val="24"/>
        </w:rPr>
        <w:t>PBP Summary</w:t>
      </w:r>
      <w:bookmarkEnd w:id="31"/>
    </w:p>
    <w:tbl>
      <w:tblPr>
        <w:tblStyle w:val="38"/>
        <w:tblW w:w="55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7"/>
        <w:gridCol w:w="2974"/>
      </w:tblGrid>
      <w:tr w14:paraId="40DB7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0" w:type="auto"/>
          </w:tcPr>
          <w:p w14:paraId="342E827E">
            <w:pPr>
              <w:spacing w:line="240" w:lineRule="auto"/>
              <w:jc w:val="center"/>
              <w:rPr>
                <w:rFonts w:ascii="Times New Roman" w:hAnsi="Times New Roman" w:cs="Times New Roman"/>
                <w:b/>
                <w:bCs/>
              </w:rPr>
            </w:pPr>
            <w:r>
              <w:rPr>
                <w:rFonts w:ascii="Times New Roman" w:hAnsi="Times New Roman" w:cs="Times New Roman"/>
                <w:b/>
                <w:bCs/>
              </w:rPr>
              <w:t>Project</w:t>
            </w:r>
          </w:p>
        </w:tc>
        <w:tc>
          <w:tcPr>
            <w:tcW w:w="0" w:type="auto"/>
          </w:tcPr>
          <w:p w14:paraId="14F259FC">
            <w:pPr>
              <w:spacing w:line="240" w:lineRule="auto"/>
              <w:jc w:val="center"/>
              <w:rPr>
                <w:rFonts w:ascii="Times New Roman" w:hAnsi="Times New Roman" w:cs="Times New Roman"/>
                <w:b/>
                <w:bCs/>
              </w:rPr>
            </w:pPr>
            <w:r>
              <w:rPr>
                <w:rFonts w:ascii="Times New Roman" w:hAnsi="Times New Roman" w:cs="Times New Roman"/>
                <w:b/>
                <w:bCs/>
              </w:rPr>
              <w:t>PBP</w:t>
            </w:r>
          </w:p>
        </w:tc>
      </w:tr>
      <w:tr w14:paraId="43940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0" w:type="auto"/>
          </w:tcPr>
          <w:p w14:paraId="4F388B25">
            <w:pPr>
              <w:spacing w:line="240" w:lineRule="auto"/>
              <w:jc w:val="center"/>
              <w:rPr>
                <w:rFonts w:ascii="Times New Roman" w:hAnsi="Times New Roman" w:cs="Times New Roman"/>
              </w:rPr>
            </w:pPr>
            <w:r>
              <w:rPr>
                <w:rFonts w:ascii="Times New Roman" w:hAnsi="Times New Roman" w:cs="Times New Roman"/>
              </w:rPr>
              <w:t>A</w:t>
            </w:r>
          </w:p>
        </w:tc>
        <w:tc>
          <w:tcPr>
            <w:tcW w:w="0" w:type="auto"/>
          </w:tcPr>
          <w:p w14:paraId="4AFEEB43">
            <w:pPr>
              <w:spacing w:line="240" w:lineRule="auto"/>
              <w:jc w:val="center"/>
              <w:rPr>
                <w:rFonts w:ascii="Times New Roman" w:hAnsi="Times New Roman" w:cs="Times New Roman"/>
              </w:rPr>
            </w:pPr>
            <w:r>
              <w:rPr>
                <w:rStyle w:val="36"/>
                <w:rFonts w:ascii="Times New Roman" w:hAnsi="Times New Roman" w:cs="Times New Roman"/>
              </w:rPr>
              <w:t>3.4 years</w:t>
            </w:r>
          </w:p>
        </w:tc>
      </w:tr>
      <w:tr w14:paraId="0925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0" w:type="auto"/>
          </w:tcPr>
          <w:p w14:paraId="4CDB1305">
            <w:pPr>
              <w:spacing w:line="240" w:lineRule="auto"/>
              <w:jc w:val="center"/>
              <w:rPr>
                <w:rFonts w:ascii="Times New Roman" w:hAnsi="Times New Roman" w:cs="Times New Roman"/>
              </w:rPr>
            </w:pPr>
            <w:r>
              <w:rPr>
                <w:rFonts w:ascii="Times New Roman" w:hAnsi="Times New Roman" w:cs="Times New Roman"/>
              </w:rPr>
              <w:t>B</w:t>
            </w:r>
          </w:p>
        </w:tc>
        <w:tc>
          <w:tcPr>
            <w:tcW w:w="0" w:type="auto"/>
          </w:tcPr>
          <w:p w14:paraId="2968BF22">
            <w:pPr>
              <w:spacing w:line="240" w:lineRule="auto"/>
              <w:jc w:val="center"/>
              <w:rPr>
                <w:rFonts w:ascii="Times New Roman" w:hAnsi="Times New Roman" w:cs="Times New Roman"/>
              </w:rPr>
            </w:pPr>
            <w:r>
              <w:rPr>
                <w:rStyle w:val="36"/>
                <w:rFonts w:ascii="Times New Roman" w:hAnsi="Times New Roman" w:cs="Times New Roman"/>
              </w:rPr>
              <w:t>5.0 years</w:t>
            </w:r>
          </w:p>
        </w:tc>
      </w:tr>
      <w:tr w14:paraId="09BF4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0" w:type="auto"/>
          </w:tcPr>
          <w:p w14:paraId="75EA3CD2">
            <w:pPr>
              <w:spacing w:line="240" w:lineRule="auto"/>
              <w:jc w:val="center"/>
              <w:rPr>
                <w:rFonts w:ascii="Times New Roman" w:hAnsi="Times New Roman" w:cs="Times New Roman"/>
              </w:rPr>
            </w:pPr>
            <w:r>
              <w:rPr>
                <w:rFonts w:ascii="Times New Roman" w:hAnsi="Times New Roman" w:cs="Times New Roman"/>
              </w:rPr>
              <w:t>C</w:t>
            </w:r>
          </w:p>
        </w:tc>
        <w:tc>
          <w:tcPr>
            <w:tcW w:w="0" w:type="auto"/>
          </w:tcPr>
          <w:p w14:paraId="3EF05F98">
            <w:pPr>
              <w:spacing w:line="240" w:lineRule="auto"/>
              <w:jc w:val="center"/>
              <w:rPr>
                <w:rFonts w:ascii="Times New Roman" w:hAnsi="Times New Roman" w:cs="Times New Roman"/>
              </w:rPr>
            </w:pPr>
            <w:r>
              <w:rPr>
                <w:rStyle w:val="36"/>
                <w:rFonts w:ascii="Times New Roman" w:hAnsi="Times New Roman" w:cs="Times New Roman"/>
              </w:rPr>
              <w:t>3.6 years</w:t>
            </w:r>
          </w:p>
        </w:tc>
      </w:tr>
    </w:tbl>
    <w:p w14:paraId="7DCD241B">
      <w:pPr>
        <w:pStyle w:val="34"/>
      </w:pPr>
      <w:r>
        <w:rPr>
          <w:rStyle w:val="36"/>
        </w:rPr>
        <w:t>Ranking:</w:t>
      </w:r>
      <w:r>
        <w:t xml:space="preserve"> A → C → B</w:t>
      </w:r>
    </w:p>
    <w:p w14:paraId="727A6681">
      <w:pPr>
        <w:pStyle w:val="34"/>
      </w:pPr>
      <w:r>
        <w:t>Projects A and C recover their investment much faster than B.</w:t>
      </w:r>
    </w:p>
    <w:p w14:paraId="323227CB">
      <w:pPr>
        <w:pStyle w:val="2"/>
        <w:rPr>
          <w:rFonts w:ascii="Times New Roman" w:hAnsi="Times New Roman" w:cs="Times New Roman"/>
          <w:sz w:val="32"/>
          <w:szCs w:val="32"/>
        </w:rPr>
      </w:pPr>
      <w:bookmarkStart w:id="32" w:name="_Toc217080759"/>
      <w:r>
        <w:rPr>
          <w:rStyle w:val="36"/>
          <w:rFonts w:ascii="Times New Roman" w:hAnsi="Times New Roman" w:cs="Times New Roman"/>
          <w:b/>
          <w:bCs/>
          <w:sz w:val="32"/>
          <w:szCs w:val="32"/>
        </w:rPr>
        <w:t>4.2 Accounting Rate of Return (ARR)</w:t>
      </w:r>
      <w:bookmarkEnd w:id="32"/>
    </w:p>
    <w:p w14:paraId="1544DFE1">
      <w:pPr>
        <w:pStyle w:val="34"/>
      </w:pPr>
      <w:r>
        <w:t>ARR = Average Annual Profit ÷ Initial Investment</w:t>
      </w:r>
    </w:p>
    <w:p w14:paraId="2F310557">
      <w:pPr>
        <w:pStyle w:val="34"/>
        <w:numPr>
          <w:ilvl w:val="0"/>
          <w:numId w:val="13"/>
        </w:numPr>
        <w:rPr>
          <w:b/>
          <w:bCs/>
        </w:rPr>
      </w:pPr>
      <w:r>
        <w:rPr>
          <w:b/>
          <w:bCs/>
        </w:rPr>
        <w:t xml:space="preserve">Depreciation </w:t>
      </w:r>
    </w:p>
    <w:p w14:paraId="1D37558D">
      <w:pPr>
        <w:pStyle w:val="34"/>
        <w:numPr>
          <w:ilvl w:val="1"/>
          <w:numId w:val="13"/>
        </w:numPr>
      </w:pPr>
      <w:r>
        <w:t xml:space="preserve">A: 40 ÷ 5 = </w:t>
      </w:r>
      <w:r>
        <w:rPr>
          <w:rStyle w:val="36"/>
        </w:rPr>
        <w:t>£8m</w:t>
      </w:r>
    </w:p>
    <w:p w14:paraId="556DFEF5">
      <w:pPr>
        <w:pStyle w:val="34"/>
        <w:numPr>
          <w:ilvl w:val="1"/>
          <w:numId w:val="13"/>
        </w:numPr>
      </w:pPr>
      <w:r>
        <w:t xml:space="preserve">B: 30 ÷ 5 = </w:t>
      </w:r>
      <w:r>
        <w:rPr>
          <w:rStyle w:val="36"/>
        </w:rPr>
        <w:t>£6m</w:t>
      </w:r>
    </w:p>
    <w:p w14:paraId="5192CEB9">
      <w:pPr>
        <w:pStyle w:val="34"/>
        <w:numPr>
          <w:ilvl w:val="1"/>
          <w:numId w:val="13"/>
        </w:numPr>
      </w:pPr>
      <w:r>
        <w:t xml:space="preserve">C: 50 ÷ 5 = </w:t>
      </w:r>
      <w:r>
        <w:rPr>
          <w:rStyle w:val="36"/>
        </w:rPr>
        <w:t>£10m</w:t>
      </w:r>
    </w:p>
    <w:tbl>
      <w:tblPr>
        <w:tblStyle w:val="38"/>
        <w:tblW w:w="92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
        <w:gridCol w:w="1476"/>
        <w:gridCol w:w="1156"/>
        <w:gridCol w:w="1240"/>
        <w:gridCol w:w="1586"/>
        <w:gridCol w:w="1185"/>
        <w:gridCol w:w="1621"/>
      </w:tblGrid>
      <w:tr w14:paraId="6EECC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8" w:hRule="atLeast"/>
        </w:trPr>
        <w:tc>
          <w:tcPr>
            <w:tcW w:w="0" w:type="auto"/>
          </w:tcPr>
          <w:p w14:paraId="22F779A2">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Project</w:t>
            </w:r>
          </w:p>
        </w:tc>
        <w:tc>
          <w:tcPr>
            <w:tcW w:w="0" w:type="auto"/>
          </w:tcPr>
          <w:p w14:paraId="3FA7A444">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Initial Investment (£m)</w:t>
            </w:r>
          </w:p>
        </w:tc>
        <w:tc>
          <w:tcPr>
            <w:tcW w:w="0" w:type="auto"/>
          </w:tcPr>
          <w:p w14:paraId="51B1D722">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Annual Cash Inflows (£m)</w:t>
            </w:r>
          </w:p>
        </w:tc>
        <w:tc>
          <w:tcPr>
            <w:tcW w:w="0" w:type="auto"/>
          </w:tcPr>
          <w:p w14:paraId="4C209B2E">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Average Cash Inflow (£m)</w:t>
            </w:r>
          </w:p>
        </w:tc>
        <w:tc>
          <w:tcPr>
            <w:tcW w:w="0" w:type="auto"/>
          </w:tcPr>
          <w:p w14:paraId="37751C0C">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Depreciation (£m)</w:t>
            </w:r>
          </w:p>
        </w:tc>
        <w:tc>
          <w:tcPr>
            <w:tcW w:w="0" w:type="auto"/>
          </w:tcPr>
          <w:p w14:paraId="29FBBF1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Average  Profit (£m)</w:t>
            </w:r>
          </w:p>
        </w:tc>
        <w:tc>
          <w:tcPr>
            <w:tcW w:w="0" w:type="auto"/>
          </w:tcPr>
          <w:p w14:paraId="6C89F561">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ARR = Avg Profit ÷ Initial Investment</w:t>
            </w:r>
          </w:p>
        </w:tc>
      </w:tr>
      <w:tr w14:paraId="2D09B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0" w:type="auto"/>
          </w:tcPr>
          <w:p w14:paraId="4505762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A</w:t>
            </w:r>
          </w:p>
        </w:tc>
        <w:tc>
          <w:tcPr>
            <w:tcW w:w="0" w:type="auto"/>
          </w:tcPr>
          <w:p w14:paraId="3C25A48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w:t>
            </w:r>
          </w:p>
        </w:tc>
        <w:tc>
          <w:tcPr>
            <w:tcW w:w="0" w:type="auto"/>
          </w:tcPr>
          <w:p w14:paraId="18FF53E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10, 12, 14, 10, 8</w:t>
            </w:r>
          </w:p>
        </w:tc>
        <w:tc>
          <w:tcPr>
            <w:tcW w:w="0" w:type="auto"/>
          </w:tcPr>
          <w:p w14:paraId="42CB407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10.8</w:t>
            </w:r>
          </w:p>
        </w:tc>
        <w:tc>
          <w:tcPr>
            <w:tcW w:w="0" w:type="auto"/>
          </w:tcPr>
          <w:p w14:paraId="28DBD41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w:t>
            </w:r>
          </w:p>
        </w:tc>
        <w:tc>
          <w:tcPr>
            <w:tcW w:w="0" w:type="auto"/>
          </w:tcPr>
          <w:p w14:paraId="6A38CE2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10.8 − 8 = </w:t>
            </w:r>
            <w:r>
              <w:rPr>
                <w:rFonts w:ascii="Times New Roman" w:hAnsi="Times New Roman" w:eastAsia="Times New Roman" w:cs="Times New Roman"/>
                <w:b/>
                <w:bCs/>
                <w:sz w:val="24"/>
                <w:szCs w:val="24"/>
                <w:lang w:val="en-GB" w:eastAsia="en-GB"/>
              </w:rPr>
              <w:t>2.8</w:t>
            </w:r>
          </w:p>
        </w:tc>
        <w:tc>
          <w:tcPr>
            <w:tcW w:w="0" w:type="auto"/>
          </w:tcPr>
          <w:p w14:paraId="49A3376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2.8 ÷ 40 = </w:t>
            </w:r>
            <w:r>
              <w:rPr>
                <w:rFonts w:ascii="Times New Roman" w:hAnsi="Times New Roman" w:eastAsia="Times New Roman" w:cs="Times New Roman"/>
                <w:b/>
                <w:bCs/>
                <w:sz w:val="24"/>
                <w:szCs w:val="24"/>
                <w:lang w:val="en-GB" w:eastAsia="en-GB"/>
              </w:rPr>
              <w:t>7.0%</w:t>
            </w:r>
          </w:p>
        </w:tc>
      </w:tr>
      <w:tr w14:paraId="20386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0" w:type="auto"/>
          </w:tcPr>
          <w:p w14:paraId="1B0DCE7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B</w:t>
            </w:r>
          </w:p>
        </w:tc>
        <w:tc>
          <w:tcPr>
            <w:tcW w:w="0" w:type="auto"/>
          </w:tcPr>
          <w:p w14:paraId="4514782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c>
          <w:tcPr>
            <w:tcW w:w="0" w:type="auto"/>
          </w:tcPr>
          <w:p w14:paraId="4F1D5F9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6, 6, 6, 6, 6</w:t>
            </w:r>
          </w:p>
        </w:tc>
        <w:tc>
          <w:tcPr>
            <w:tcW w:w="0" w:type="auto"/>
          </w:tcPr>
          <w:p w14:paraId="4037152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6.0</w:t>
            </w:r>
          </w:p>
        </w:tc>
        <w:tc>
          <w:tcPr>
            <w:tcW w:w="0" w:type="auto"/>
          </w:tcPr>
          <w:p w14:paraId="0076EF1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6238E5E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6 − 6 = </w:t>
            </w:r>
            <w:r>
              <w:rPr>
                <w:rFonts w:ascii="Times New Roman" w:hAnsi="Times New Roman" w:eastAsia="Times New Roman" w:cs="Times New Roman"/>
                <w:b/>
                <w:bCs/>
                <w:sz w:val="24"/>
                <w:szCs w:val="24"/>
                <w:lang w:val="en-GB" w:eastAsia="en-GB"/>
              </w:rPr>
              <w:t>0</w:t>
            </w:r>
          </w:p>
        </w:tc>
        <w:tc>
          <w:tcPr>
            <w:tcW w:w="0" w:type="auto"/>
          </w:tcPr>
          <w:p w14:paraId="3BD22C7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0 ÷ 30 = </w:t>
            </w:r>
            <w:r>
              <w:rPr>
                <w:rFonts w:ascii="Times New Roman" w:hAnsi="Times New Roman" w:eastAsia="Times New Roman" w:cs="Times New Roman"/>
                <w:b/>
                <w:bCs/>
                <w:sz w:val="24"/>
                <w:szCs w:val="24"/>
                <w:lang w:val="en-GB" w:eastAsia="en-GB"/>
              </w:rPr>
              <w:t>0.0%</w:t>
            </w:r>
          </w:p>
        </w:tc>
      </w:tr>
      <w:tr w14:paraId="034BB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0" w:type="auto"/>
          </w:tcPr>
          <w:p w14:paraId="3C9CB41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C</w:t>
            </w:r>
          </w:p>
        </w:tc>
        <w:tc>
          <w:tcPr>
            <w:tcW w:w="0" w:type="auto"/>
          </w:tcPr>
          <w:p w14:paraId="2B5A136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w:t>
            </w:r>
          </w:p>
        </w:tc>
        <w:tc>
          <w:tcPr>
            <w:tcW w:w="0" w:type="auto"/>
          </w:tcPr>
          <w:p w14:paraId="244553D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5, 10, 20, 25, 15</w:t>
            </w:r>
          </w:p>
        </w:tc>
        <w:tc>
          <w:tcPr>
            <w:tcW w:w="0" w:type="auto"/>
          </w:tcPr>
          <w:p w14:paraId="0D422EC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15.0</w:t>
            </w:r>
          </w:p>
        </w:tc>
        <w:tc>
          <w:tcPr>
            <w:tcW w:w="0" w:type="auto"/>
          </w:tcPr>
          <w:p w14:paraId="088F75D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2E96DC4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15 − 10 = </w:t>
            </w:r>
            <w:r>
              <w:rPr>
                <w:rFonts w:ascii="Times New Roman" w:hAnsi="Times New Roman" w:eastAsia="Times New Roman" w:cs="Times New Roman"/>
                <w:b/>
                <w:bCs/>
                <w:sz w:val="24"/>
                <w:szCs w:val="24"/>
                <w:lang w:val="en-GB" w:eastAsia="en-GB"/>
              </w:rPr>
              <w:t>5.0</w:t>
            </w:r>
          </w:p>
        </w:tc>
        <w:tc>
          <w:tcPr>
            <w:tcW w:w="0" w:type="auto"/>
          </w:tcPr>
          <w:p w14:paraId="648F60D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5 ÷ 50 = </w:t>
            </w:r>
            <w:r>
              <w:rPr>
                <w:rFonts w:ascii="Times New Roman" w:hAnsi="Times New Roman" w:eastAsia="Times New Roman" w:cs="Times New Roman"/>
                <w:b/>
                <w:bCs/>
                <w:sz w:val="24"/>
                <w:szCs w:val="24"/>
                <w:lang w:val="en-GB" w:eastAsia="en-GB"/>
              </w:rPr>
              <w:t>10.0%</w:t>
            </w:r>
          </w:p>
        </w:tc>
      </w:tr>
    </w:tbl>
    <w:p w14:paraId="32A13EB4">
      <w:pPr>
        <w:rPr>
          <w:rFonts w:ascii="Times New Roman" w:hAnsi="Times New Roman" w:cs="Times New Roman"/>
        </w:rPr>
      </w:pPr>
    </w:p>
    <w:p w14:paraId="5BAD7A76">
      <w:pPr>
        <w:pStyle w:val="4"/>
        <w:rPr>
          <w:rFonts w:ascii="Times New Roman" w:hAnsi="Times New Roman" w:cs="Times New Roman"/>
          <w:sz w:val="24"/>
          <w:szCs w:val="24"/>
        </w:rPr>
      </w:pPr>
      <w:bookmarkStart w:id="33" w:name="_Toc217080760"/>
      <w:r>
        <w:rPr>
          <w:rStyle w:val="36"/>
          <w:rFonts w:ascii="Times New Roman" w:hAnsi="Times New Roman" w:cs="Times New Roman"/>
          <w:b/>
          <w:bCs/>
          <w:sz w:val="24"/>
          <w:szCs w:val="24"/>
        </w:rPr>
        <w:t>ARR Summary</w:t>
      </w:r>
      <w:bookmarkEnd w:id="33"/>
    </w:p>
    <w:tbl>
      <w:tblPr>
        <w:tblStyle w:val="38"/>
        <w:tblW w:w="51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34"/>
        <w:gridCol w:w="2259"/>
      </w:tblGrid>
      <w:tr w14:paraId="6592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0" w:type="auto"/>
          </w:tcPr>
          <w:p w14:paraId="7576AC62">
            <w:pPr>
              <w:spacing w:line="240" w:lineRule="auto"/>
              <w:jc w:val="center"/>
              <w:rPr>
                <w:rFonts w:ascii="Times New Roman" w:hAnsi="Times New Roman" w:cs="Times New Roman"/>
                <w:b/>
                <w:bCs/>
              </w:rPr>
            </w:pPr>
            <w:r>
              <w:rPr>
                <w:rFonts w:ascii="Times New Roman" w:hAnsi="Times New Roman" w:cs="Times New Roman"/>
                <w:b/>
                <w:bCs/>
              </w:rPr>
              <w:t>Project</w:t>
            </w:r>
          </w:p>
        </w:tc>
        <w:tc>
          <w:tcPr>
            <w:tcW w:w="0" w:type="auto"/>
          </w:tcPr>
          <w:p w14:paraId="15480D99">
            <w:pPr>
              <w:spacing w:line="240" w:lineRule="auto"/>
              <w:jc w:val="center"/>
              <w:rPr>
                <w:rFonts w:ascii="Times New Roman" w:hAnsi="Times New Roman" w:cs="Times New Roman"/>
                <w:b/>
                <w:bCs/>
              </w:rPr>
            </w:pPr>
            <w:r>
              <w:rPr>
                <w:rFonts w:ascii="Times New Roman" w:hAnsi="Times New Roman" w:cs="Times New Roman"/>
                <w:b/>
                <w:bCs/>
              </w:rPr>
              <w:t>ARR</w:t>
            </w:r>
          </w:p>
        </w:tc>
      </w:tr>
      <w:tr w14:paraId="06EF0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0" w:type="auto"/>
          </w:tcPr>
          <w:p w14:paraId="1FB33DB2">
            <w:pPr>
              <w:spacing w:line="240" w:lineRule="auto"/>
              <w:jc w:val="center"/>
              <w:rPr>
                <w:rFonts w:ascii="Times New Roman" w:hAnsi="Times New Roman" w:cs="Times New Roman"/>
              </w:rPr>
            </w:pPr>
            <w:r>
              <w:rPr>
                <w:rFonts w:ascii="Times New Roman" w:hAnsi="Times New Roman" w:cs="Times New Roman"/>
              </w:rPr>
              <w:t>A</w:t>
            </w:r>
          </w:p>
        </w:tc>
        <w:tc>
          <w:tcPr>
            <w:tcW w:w="0" w:type="auto"/>
          </w:tcPr>
          <w:p w14:paraId="0FDBDDC6">
            <w:pPr>
              <w:spacing w:line="240" w:lineRule="auto"/>
              <w:jc w:val="center"/>
              <w:rPr>
                <w:rFonts w:ascii="Times New Roman" w:hAnsi="Times New Roman" w:cs="Times New Roman"/>
              </w:rPr>
            </w:pPr>
            <w:r>
              <w:rPr>
                <w:rFonts w:ascii="Times New Roman" w:hAnsi="Times New Roman" w:cs="Times New Roman"/>
              </w:rPr>
              <w:t>7%</w:t>
            </w:r>
          </w:p>
        </w:tc>
      </w:tr>
      <w:tr w14:paraId="5251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0" w:type="auto"/>
          </w:tcPr>
          <w:p w14:paraId="3772BAC1">
            <w:pPr>
              <w:spacing w:line="240" w:lineRule="auto"/>
              <w:jc w:val="center"/>
              <w:rPr>
                <w:rFonts w:ascii="Times New Roman" w:hAnsi="Times New Roman" w:cs="Times New Roman"/>
              </w:rPr>
            </w:pPr>
            <w:r>
              <w:rPr>
                <w:rFonts w:ascii="Times New Roman" w:hAnsi="Times New Roman" w:cs="Times New Roman"/>
              </w:rPr>
              <w:t>B</w:t>
            </w:r>
          </w:p>
        </w:tc>
        <w:tc>
          <w:tcPr>
            <w:tcW w:w="0" w:type="auto"/>
          </w:tcPr>
          <w:p w14:paraId="38F5425A">
            <w:pPr>
              <w:spacing w:line="240" w:lineRule="auto"/>
              <w:jc w:val="center"/>
              <w:rPr>
                <w:rFonts w:ascii="Times New Roman" w:hAnsi="Times New Roman" w:cs="Times New Roman"/>
              </w:rPr>
            </w:pPr>
            <w:r>
              <w:rPr>
                <w:rFonts w:ascii="Times New Roman" w:hAnsi="Times New Roman" w:cs="Times New Roman"/>
              </w:rPr>
              <w:t>0%</w:t>
            </w:r>
          </w:p>
        </w:tc>
      </w:tr>
      <w:tr w14:paraId="50115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0" w:type="auto"/>
          </w:tcPr>
          <w:p w14:paraId="239C9181">
            <w:pPr>
              <w:spacing w:line="240" w:lineRule="auto"/>
              <w:jc w:val="center"/>
              <w:rPr>
                <w:rFonts w:ascii="Times New Roman" w:hAnsi="Times New Roman" w:cs="Times New Roman"/>
              </w:rPr>
            </w:pPr>
            <w:r>
              <w:rPr>
                <w:rFonts w:ascii="Times New Roman" w:hAnsi="Times New Roman" w:cs="Times New Roman"/>
              </w:rPr>
              <w:t>C</w:t>
            </w:r>
          </w:p>
        </w:tc>
        <w:tc>
          <w:tcPr>
            <w:tcW w:w="0" w:type="auto"/>
          </w:tcPr>
          <w:p w14:paraId="48228A96">
            <w:pPr>
              <w:spacing w:line="240" w:lineRule="auto"/>
              <w:jc w:val="center"/>
              <w:rPr>
                <w:rFonts w:ascii="Times New Roman" w:hAnsi="Times New Roman" w:cs="Times New Roman"/>
              </w:rPr>
            </w:pPr>
            <w:r>
              <w:rPr>
                <w:rStyle w:val="36"/>
                <w:rFonts w:ascii="Times New Roman" w:hAnsi="Times New Roman" w:cs="Times New Roman"/>
              </w:rPr>
              <w:t>10%</w:t>
            </w:r>
          </w:p>
        </w:tc>
      </w:tr>
    </w:tbl>
    <w:p w14:paraId="37EB055B">
      <w:pPr>
        <w:pStyle w:val="34"/>
      </w:pPr>
      <w:r>
        <w:rPr>
          <w:rStyle w:val="36"/>
        </w:rPr>
        <w:t>Ranking:</w:t>
      </w:r>
      <w:r>
        <w:t xml:space="preserve"> C → A → B</w:t>
      </w:r>
    </w:p>
    <w:p w14:paraId="0AF7810A">
      <w:pPr>
        <w:pStyle w:val="2"/>
        <w:rPr>
          <w:rFonts w:ascii="Times New Roman" w:hAnsi="Times New Roman" w:cs="Times New Roman"/>
          <w:sz w:val="32"/>
          <w:szCs w:val="32"/>
        </w:rPr>
      </w:pPr>
      <w:bookmarkStart w:id="34" w:name="_Toc217080761"/>
      <w:r>
        <w:rPr>
          <w:rStyle w:val="36"/>
          <w:rFonts w:ascii="Times New Roman" w:hAnsi="Times New Roman" w:cs="Times New Roman"/>
          <w:b/>
          <w:bCs/>
          <w:sz w:val="32"/>
          <w:szCs w:val="32"/>
        </w:rPr>
        <w:t>4.3 Net Present Value (NPV)</w:t>
      </w:r>
      <w:bookmarkEnd w:id="34"/>
    </w:p>
    <w:p w14:paraId="4CF029CE">
      <w:pPr>
        <w:pStyle w:val="34"/>
      </w:pPr>
      <w:r>
        <w:t>Discount rate = 10%</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436"/>
      </w:tblGrid>
      <w:tr w14:paraId="74FD0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14:paraId="6DCD51AE">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4D98851A">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Factor 10%</w:t>
            </w:r>
          </w:p>
        </w:tc>
      </w:tr>
      <w:tr w14:paraId="066FE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1EC0BB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67A548A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0.909</w:t>
            </w:r>
          </w:p>
        </w:tc>
      </w:tr>
      <w:tr w14:paraId="4864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FC1536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3826C14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0.826</w:t>
            </w:r>
          </w:p>
        </w:tc>
      </w:tr>
      <w:tr w14:paraId="2868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4FC33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1E0162E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0.751</w:t>
            </w:r>
          </w:p>
        </w:tc>
      </w:tr>
      <w:tr w14:paraId="27DC0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3B6D59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608D938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0.683</w:t>
            </w:r>
          </w:p>
        </w:tc>
      </w:tr>
      <w:tr w14:paraId="2C2CB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1A1D6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4A53205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0.621</w:t>
            </w:r>
          </w:p>
        </w:tc>
      </w:tr>
    </w:tbl>
    <w:p w14:paraId="446F7C97">
      <w:pPr>
        <w:rPr>
          <w:rFonts w:ascii="Times New Roman" w:hAnsi="Times New Roman" w:cs="Times New Roman"/>
        </w:rPr>
      </w:pPr>
    </w:p>
    <w:p w14:paraId="231AE150">
      <w:pPr>
        <w:pStyle w:val="3"/>
        <w:rPr>
          <w:rFonts w:ascii="Times New Roman" w:hAnsi="Times New Roman" w:cs="Times New Roman"/>
          <w:b w:val="0"/>
          <w:bCs w:val="0"/>
          <w:sz w:val="28"/>
          <w:szCs w:val="28"/>
        </w:rPr>
      </w:pPr>
      <w:bookmarkStart w:id="35" w:name="_Toc217080762"/>
      <w:r>
        <w:rPr>
          <w:rStyle w:val="36"/>
          <w:rFonts w:ascii="Times New Roman" w:hAnsi="Times New Roman" w:cs="Times New Roman"/>
          <w:b/>
          <w:bCs/>
          <w:sz w:val="28"/>
          <w:szCs w:val="28"/>
        </w:rPr>
        <w:t>4.3.1 Project A</w:t>
      </w:r>
      <w:bookmarkEnd w:id="35"/>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843"/>
        <w:gridCol w:w="1300"/>
        <w:gridCol w:w="1940"/>
      </w:tblGrid>
      <w:tr w14:paraId="1706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462D611">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70769F3C">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Flow (£m)</w:t>
            </w:r>
          </w:p>
        </w:tc>
        <w:tc>
          <w:tcPr>
            <w:tcW w:w="0" w:type="auto"/>
          </w:tcPr>
          <w:p w14:paraId="6BB05D0B">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DF @10%</w:t>
            </w:r>
          </w:p>
        </w:tc>
        <w:tc>
          <w:tcPr>
            <w:tcW w:w="0" w:type="auto"/>
          </w:tcPr>
          <w:p w14:paraId="49596D1C">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 (£m)</w:t>
            </w:r>
          </w:p>
        </w:tc>
      </w:tr>
      <w:tr w14:paraId="3F68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F6367C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0115E40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w:t>
            </w:r>
          </w:p>
        </w:tc>
        <w:tc>
          <w:tcPr>
            <w:tcW w:w="0" w:type="auto"/>
          </w:tcPr>
          <w:p w14:paraId="6BF9B40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1.000</w:t>
            </w:r>
          </w:p>
        </w:tc>
        <w:tc>
          <w:tcPr>
            <w:tcW w:w="0" w:type="auto"/>
          </w:tcPr>
          <w:p w14:paraId="147F774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−40.00</w:t>
            </w:r>
          </w:p>
        </w:tc>
      </w:tr>
      <w:tr w14:paraId="1881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155C8D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1986A38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16ECC65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0.909</w:t>
            </w:r>
          </w:p>
        </w:tc>
        <w:tc>
          <w:tcPr>
            <w:tcW w:w="0" w:type="auto"/>
          </w:tcPr>
          <w:p w14:paraId="04C556B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9.09</w:t>
            </w:r>
          </w:p>
        </w:tc>
      </w:tr>
      <w:tr w14:paraId="730E3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C9EAEC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57D372A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12</w:t>
            </w:r>
          </w:p>
        </w:tc>
        <w:tc>
          <w:tcPr>
            <w:tcW w:w="0" w:type="auto"/>
          </w:tcPr>
          <w:p w14:paraId="1D955A4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0.826</w:t>
            </w:r>
          </w:p>
        </w:tc>
        <w:tc>
          <w:tcPr>
            <w:tcW w:w="0" w:type="auto"/>
          </w:tcPr>
          <w:p w14:paraId="1CD09AA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9.92</w:t>
            </w:r>
          </w:p>
        </w:tc>
      </w:tr>
      <w:tr w14:paraId="20E75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ED1E9B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021B6E5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w:t>
            </w:r>
          </w:p>
        </w:tc>
        <w:tc>
          <w:tcPr>
            <w:tcW w:w="0" w:type="auto"/>
          </w:tcPr>
          <w:p w14:paraId="5652EA8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0.751</w:t>
            </w:r>
          </w:p>
        </w:tc>
        <w:tc>
          <w:tcPr>
            <w:tcW w:w="0" w:type="auto"/>
          </w:tcPr>
          <w:p w14:paraId="55D5DD8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10.52</w:t>
            </w:r>
          </w:p>
        </w:tc>
      </w:tr>
      <w:tr w14:paraId="58115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F80EB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1635260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629BE3E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0.683</w:t>
            </w:r>
          </w:p>
        </w:tc>
        <w:tc>
          <w:tcPr>
            <w:tcW w:w="0" w:type="auto"/>
          </w:tcPr>
          <w:p w14:paraId="76B4DA2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6.83</w:t>
            </w:r>
          </w:p>
        </w:tc>
      </w:tr>
      <w:tr w14:paraId="286E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64090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7144E37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w:t>
            </w:r>
          </w:p>
        </w:tc>
        <w:tc>
          <w:tcPr>
            <w:tcW w:w="0" w:type="auto"/>
          </w:tcPr>
          <w:p w14:paraId="48DB45F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0.621</w:t>
            </w:r>
          </w:p>
        </w:tc>
        <w:tc>
          <w:tcPr>
            <w:tcW w:w="0" w:type="auto"/>
          </w:tcPr>
          <w:p w14:paraId="5E21E08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4.97</w:t>
            </w:r>
          </w:p>
        </w:tc>
      </w:tr>
      <w:tr w14:paraId="5711E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9FA4E61">
            <w:pPr>
              <w:spacing w:line="240" w:lineRule="auto"/>
              <w:rPr>
                <w:rFonts w:ascii="Times New Roman" w:hAnsi="Times New Roman" w:eastAsia="Times New Roman" w:cs="Times New Roman"/>
                <w:sz w:val="24"/>
                <w:szCs w:val="24"/>
                <w:lang w:val="en-GB" w:eastAsia="en-GB"/>
              </w:rPr>
            </w:pPr>
          </w:p>
        </w:tc>
        <w:tc>
          <w:tcPr>
            <w:tcW w:w="0" w:type="auto"/>
          </w:tcPr>
          <w:p w14:paraId="66454B95">
            <w:pPr>
              <w:spacing w:line="240" w:lineRule="auto"/>
              <w:rPr>
                <w:rFonts w:ascii="Times New Roman" w:hAnsi="Times New Roman" w:eastAsia="Times New Roman" w:cs="Times New Roman"/>
                <w:sz w:val="20"/>
                <w:szCs w:val="20"/>
                <w:lang w:val="en-GB" w:eastAsia="en-GB"/>
              </w:rPr>
            </w:pPr>
          </w:p>
        </w:tc>
        <w:tc>
          <w:tcPr>
            <w:tcW w:w="0" w:type="auto"/>
          </w:tcPr>
          <w:p w14:paraId="534E76AF">
            <w:pPr>
              <w:spacing w:line="240" w:lineRule="auto"/>
              <w:rPr>
                <w:rFonts w:ascii="Times New Roman" w:hAnsi="Times New Roman" w:eastAsia="Times New Roman" w:cs="Times New Roman"/>
                <w:sz w:val="20"/>
                <w:szCs w:val="20"/>
                <w:lang w:val="en-GB" w:eastAsia="en-GB"/>
              </w:rPr>
            </w:pPr>
          </w:p>
        </w:tc>
        <w:tc>
          <w:tcPr>
            <w:tcW w:w="0" w:type="auto"/>
          </w:tcPr>
          <w:p w14:paraId="430786D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Total PV = 41.32</w:t>
            </w:r>
          </w:p>
        </w:tc>
      </w:tr>
    </w:tbl>
    <w:p w14:paraId="70C31D49">
      <w:pPr>
        <w:pStyle w:val="34"/>
      </w:pPr>
      <w:r>
        <w:t xml:space="preserve">NPV = 41.32 − 40 = </w:t>
      </w:r>
      <w:r>
        <w:rPr>
          <w:rStyle w:val="36"/>
        </w:rPr>
        <w:t>£1.32m</w:t>
      </w:r>
    </w:p>
    <w:p w14:paraId="57D9CEA4">
      <w:pPr>
        <w:pStyle w:val="3"/>
        <w:rPr>
          <w:rFonts w:ascii="Times New Roman" w:hAnsi="Times New Roman" w:cs="Times New Roman"/>
          <w:b w:val="0"/>
          <w:bCs w:val="0"/>
          <w:sz w:val="28"/>
          <w:szCs w:val="28"/>
        </w:rPr>
      </w:pPr>
      <w:bookmarkStart w:id="36" w:name="_Toc217080763"/>
      <w:r>
        <w:rPr>
          <w:rStyle w:val="36"/>
          <w:rFonts w:ascii="Times New Roman" w:hAnsi="Times New Roman" w:cs="Times New Roman"/>
          <w:b/>
          <w:bCs/>
          <w:sz w:val="28"/>
          <w:szCs w:val="28"/>
        </w:rPr>
        <w:t>4.3.2 Project B</w:t>
      </w:r>
      <w:bookmarkEnd w:id="36"/>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843"/>
        <w:gridCol w:w="1300"/>
        <w:gridCol w:w="1940"/>
      </w:tblGrid>
      <w:tr w14:paraId="66FE2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14:paraId="6B9319F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13A95758">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Flow (£m)</w:t>
            </w:r>
          </w:p>
        </w:tc>
        <w:tc>
          <w:tcPr>
            <w:tcW w:w="0" w:type="auto"/>
          </w:tcPr>
          <w:p w14:paraId="6BBF2280">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DF @10%</w:t>
            </w:r>
          </w:p>
        </w:tc>
        <w:tc>
          <w:tcPr>
            <w:tcW w:w="0" w:type="auto"/>
          </w:tcPr>
          <w:p w14:paraId="7EC267A5">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 (£m)</w:t>
            </w:r>
          </w:p>
        </w:tc>
      </w:tr>
      <w:tr w14:paraId="42CE7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746284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6B830A8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c>
          <w:tcPr>
            <w:tcW w:w="0" w:type="auto"/>
          </w:tcPr>
          <w:p w14:paraId="3AAB325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1.000</w:t>
            </w:r>
          </w:p>
        </w:tc>
        <w:tc>
          <w:tcPr>
            <w:tcW w:w="0" w:type="auto"/>
          </w:tcPr>
          <w:p w14:paraId="189A482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−30.00</w:t>
            </w:r>
          </w:p>
        </w:tc>
      </w:tr>
      <w:tr w14:paraId="15E81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396B02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0AC55EB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189784E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0.909</w:t>
            </w:r>
          </w:p>
        </w:tc>
        <w:tc>
          <w:tcPr>
            <w:tcW w:w="0" w:type="auto"/>
          </w:tcPr>
          <w:p w14:paraId="11B5D23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5.45</w:t>
            </w:r>
          </w:p>
        </w:tc>
      </w:tr>
      <w:tr w14:paraId="11AD9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A125BD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19E922A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34C6F03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0.826</w:t>
            </w:r>
          </w:p>
        </w:tc>
        <w:tc>
          <w:tcPr>
            <w:tcW w:w="0" w:type="auto"/>
          </w:tcPr>
          <w:p w14:paraId="4A16A19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4.96</w:t>
            </w:r>
          </w:p>
        </w:tc>
      </w:tr>
      <w:tr w14:paraId="6F1A5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319F96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37AD87C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699A4A5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0.751</w:t>
            </w:r>
          </w:p>
        </w:tc>
        <w:tc>
          <w:tcPr>
            <w:tcW w:w="0" w:type="auto"/>
          </w:tcPr>
          <w:p w14:paraId="314805B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4.51</w:t>
            </w:r>
          </w:p>
        </w:tc>
      </w:tr>
      <w:tr w14:paraId="0318C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B8ED3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7A010F2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144D2AC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0.683</w:t>
            </w:r>
          </w:p>
        </w:tc>
        <w:tc>
          <w:tcPr>
            <w:tcW w:w="0" w:type="auto"/>
          </w:tcPr>
          <w:p w14:paraId="5BB8B51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4.10</w:t>
            </w:r>
          </w:p>
        </w:tc>
      </w:tr>
      <w:tr w14:paraId="409D3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9A142F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6F367E8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4D4A698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0.621</w:t>
            </w:r>
          </w:p>
        </w:tc>
        <w:tc>
          <w:tcPr>
            <w:tcW w:w="0" w:type="auto"/>
          </w:tcPr>
          <w:p w14:paraId="774A8F8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3.73</w:t>
            </w:r>
          </w:p>
        </w:tc>
      </w:tr>
      <w:tr w14:paraId="3DCA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54F3E22">
            <w:pPr>
              <w:spacing w:line="240" w:lineRule="auto"/>
              <w:rPr>
                <w:rFonts w:ascii="Times New Roman" w:hAnsi="Times New Roman" w:eastAsia="Times New Roman" w:cs="Times New Roman"/>
                <w:sz w:val="24"/>
                <w:szCs w:val="24"/>
                <w:lang w:val="en-GB" w:eastAsia="en-GB"/>
              </w:rPr>
            </w:pPr>
          </w:p>
        </w:tc>
        <w:tc>
          <w:tcPr>
            <w:tcW w:w="0" w:type="auto"/>
          </w:tcPr>
          <w:p w14:paraId="0759F3E1">
            <w:pPr>
              <w:spacing w:line="240" w:lineRule="auto"/>
              <w:rPr>
                <w:rFonts w:ascii="Times New Roman" w:hAnsi="Times New Roman" w:eastAsia="Times New Roman" w:cs="Times New Roman"/>
                <w:sz w:val="20"/>
                <w:szCs w:val="20"/>
                <w:lang w:val="en-GB" w:eastAsia="en-GB"/>
              </w:rPr>
            </w:pPr>
          </w:p>
        </w:tc>
        <w:tc>
          <w:tcPr>
            <w:tcW w:w="0" w:type="auto"/>
          </w:tcPr>
          <w:p w14:paraId="3BB4D14E">
            <w:pPr>
              <w:spacing w:line="240" w:lineRule="auto"/>
              <w:rPr>
                <w:rFonts w:ascii="Times New Roman" w:hAnsi="Times New Roman" w:eastAsia="Times New Roman" w:cs="Times New Roman"/>
                <w:sz w:val="20"/>
                <w:szCs w:val="20"/>
                <w:lang w:val="en-GB" w:eastAsia="en-GB"/>
              </w:rPr>
            </w:pPr>
          </w:p>
        </w:tc>
        <w:tc>
          <w:tcPr>
            <w:tcW w:w="0" w:type="auto"/>
          </w:tcPr>
          <w:p w14:paraId="4254357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Total PV = 22.74</w:t>
            </w:r>
          </w:p>
        </w:tc>
      </w:tr>
    </w:tbl>
    <w:p w14:paraId="292D3C20">
      <w:pPr>
        <w:pStyle w:val="34"/>
      </w:pPr>
      <w:r>
        <w:t xml:space="preserve">NPV = 22.76 − 30 = </w:t>
      </w:r>
      <w:r>
        <w:rPr>
          <w:rStyle w:val="36"/>
        </w:rPr>
        <w:t>−£7.26m</w:t>
      </w:r>
    </w:p>
    <w:p w14:paraId="639B6719">
      <w:pPr>
        <w:pStyle w:val="3"/>
        <w:rPr>
          <w:rFonts w:ascii="Times New Roman" w:hAnsi="Times New Roman" w:cs="Times New Roman"/>
          <w:b w:val="0"/>
          <w:bCs w:val="0"/>
          <w:sz w:val="28"/>
          <w:szCs w:val="28"/>
        </w:rPr>
      </w:pPr>
      <w:bookmarkStart w:id="37" w:name="_Toc217080764"/>
      <w:r>
        <w:rPr>
          <w:rStyle w:val="36"/>
          <w:rFonts w:ascii="Times New Roman" w:hAnsi="Times New Roman" w:cs="Times New Roman"/>
          <w:b/>
          <w:bCs/>
          <w:sz w:val="28"/>
          <w:szCs w:val="28"/>
        </w:rPr>
        <w:t>4.3.3 Project C</w:t>
      </w:r>
      <w:bookmarkEnd w:id="37"/>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843"/>
        <w:gridCol w:w="1300"/>
        <w:gridCol w:w="1940"/>
      </w:tblGrid>
      <w:tr w14:paraId="2E1EE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160AEEA">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4C71E65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Flow (£m)</w:t>
            </w:r>
          </w:p>
        </w:tc>
        <w:tc>
          <w:tcPr>
            <w:tcW w:w="0" w:type="auto"/>
          </w:tcPr>
          <w:p w14:paraId="1C3E7B27">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DF @10%</w:t>
            </w:r>
          </w:p>
        </w:tc>
        <w:tc>
          <w:tcPr>
            <w:tcW w:w="0" w:type="auto"/>
          </w:tcPr>
          <w:p w14:paraId="0CEA16D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 (£m)</w:t>
            </w:r>
          </w:p>
        </w:tc>
      </w:tr>
      <w:tr w14:paraId="7E8B8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AF23E1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668E608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w:t>
            </w:r>
          </w:p>
        </w:tc>
        <w:tc>
          <w:tcPr>
            <w:tcW w:w="0" w:type="auto"/>
          </w:tcPr>
          <w:p w14:paraId="4438A15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1.000</w:t>
            </w:r>
          </w:p>
        </w:tc>
        <w:tc>
          <w:tcPr>
            <w:tcW w:w="0" w:type="auto"/>
          </w:tcPr>
          <w:p w14:paraId="517B1BF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−50.00</w:t>
            </w:r>
          </w:p>
        </w:tc>
      </w:tr>
      <w:tr w14:paraId="6818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F87B49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2166D27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06DB10D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0.909</w:t>
            </w:r>
          </w:p>
        </w:tc>
        <w:tc>
          <w:tcPr>
            <w:tcW w:w="0" w:type="auto"/>
          </w:tcPr>
          <w:p w14:paraId="1BCDA46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4.55</w:t>
            </w:r>
          </w:p>
        </w:tc>
      </w:tr>
      <w:tr w14:paraId="6832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D390D5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67817AB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43FECD7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0.826</w:t>
            </w:r>
          </w:p>
        </w:tc>
        <w:tc>
          <w:tcPr>
            <w:tcW w:w="0" w:type="auto"/>
          </w:tcPr>
          <w:p w14:paraId="0E07ADF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8.26</w:t>
            </w:r>
          </w:p>
        </w:tc>
      </w:tr>
      <w:tr w14:paraId="70C99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860451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28A86D9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w:t>
            </w:r>
          </w:p>
        </w:tc>
        <w:tc>
          <w:tcPr>
            <w:tcW w:w="0" w:type="auto"/>
          </w:tcPr>
          <w:p w14:paraId="122B7CE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0.751</w:t>
            </w:r>
          </w:p>
        </w:tc>
        <w:tc>
          <w:tcPr>
            <w:tcW w:w="0" w:type="auto"/>
          </w:tcPr>
          <w:p w14:paraId="3F84206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15.03</w:t>
            </w:r>
          </w:p>
        </w:tc>
      </w:tr>
      <w:tr w14:paraId="62B03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05BC61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1E2D182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25</w:t>
            </w:r>
          </w:p>
        </w:tc>
        <w:tc>
          <w:tcPr>
            <w:tcW w:w="0" w:type="auto"/>
          </w:tcPr>
          <w:p w14:paraId="4405008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0.683</w:t>
            </w:r>
          </w:p>
        </w:tc>
        <w:tc>
          <w:tcPr>
            <w:tcW w:w="0" w:type="auto"/>
          </w:tcPr>
          <w:p w14:paraId="7890CB8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17.08</w:t>
            </w:r>
          </w:p>
        </w:tc>
      </w:tr>
      <w:tr w14:paraId="49D90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5B2EB1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5625588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w:t>
            </w:r>
          </w:p>
        </w:tc>
        <w:tc>
          <w:tcPr>
            <w:tcW w:w="0" w:type="auto"/>
          </w:tcPr>
          <w:p w14:paraId="756E2DF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0.621</w:t>
            </w:r>
          </w:p>
        </w:tc>
        <w:tc>
          <w:tcPr>
            <w:tcW w:w="0" w:type="auto"/>
          </w:tcPr>
          <w:p w14:paraId="1C6D900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9.31</w:t>
            </w:r>
          </w:p>
        </w:tc>
      </w:tr>
      <w:tr w14:paraId="4C422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CBC882">
            <w:pPr>
              <w:spacing w:line="240" w:lineRule="auto"/>
              <w:rPr>
                <w:rFonts w:ascii="Times New Roman" w:hAnsi="Times New Roman" w:eastAsia="Times New Roman" w:cs="Times New Roman"/>
                <w:sz w:val="24"/>
                <w:szCs w:val="24"/>
                <w:lang w:val="en-GB" w:eastAsia="en-GB"/>
              </w:rPr>
            </w:pPr>
          </w:p>
        </w:tc>
        <w:tc>
          <w:tcPr>
            <w:tcW w:w="0" w:type="auto"/>
          </w:tcPr>
          <w:p w14:paraId="78832416">
            <w:pPr>
              <w:spacing w:line="240" w:lineRule="auto"/>
              <w:rPr>
                <w:rFonts w:ascii="Times New Roman" w:hAnsi="Times New Roman" w:eastAsia="Times New Roman" w:cs="Times New Roman"/>
                <w:sz w:val="20"/>
                <w:szCs w:val="20"/>
                <w:lang w:val="en-GB" w:eastAsia="en-GB"/>
              </w:rPr>
            </w:pPr>
          </w:p>
        </w:tc>
        <w:tc>
          <w:tcPr>
            <w:tcW w:w="0" w:type="auto"/>
          </w:tcPr>
          <w:p w14:paraId="34F4C9C9">
            <w:pPr>
              <w:spacing w:line="240" w:lineRule="auto"/>
              <w:rPr>
                <w:rFonts w:ascii="Times New Roman" w:hAnsi="Times New Roman" w:eastAsia="Times New Roman" w:cs="Times New Roman"/>
                <w:sz w:val="20"/>
                <w:szCs w:val="20"/>
                <w:lang w:val="en-GB" w:eastAsia="en-GB"/>
              </w:rPr>
            </w:pPr>
          </w:p>
        </w:tc>
        <w:tc>
          <w:tcPr>
            <w:tcW w:w="0" w:type="auto"/>
          </w:tcPr>
          <w:p w14:paraId="720F4DA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Total PV = 54.23</w:t>
            </w:r>
          </w:p>
        </w:tc>
      </w:tr>
    </w:tbl>
    <w:p w14:paraId="13C4CA11">
      <w:pPr>
        <w:pStyle w:val="34"/>
      </w:pPr>
      <w:r>
        <w:t xml:space="preserve">NPV = 54.23 − 50 = </w:t>
      </w:r>
      <w:r>
        <w:rPr>
          <w:rStyle w:val="36"/>
        </w:rPr>
        <w:t>£4.23m</w:t>
      </w:r>
    </w:p>
    <w:p w14:paraId="08E1BE35">
      <w:pPr>
        <w:pStyle w:val="4"/>
        <w:rPr>
          <w:rFonts w:ascii="Times New Roman" w:hAnsi="Times New Roman" w:cs="Times New Roman"/>
          <w:b w:val="0"/>
          <w:bCs w:val="0"/>
          <w:sz w:val="24"/>
          <w:szCs w:val="24"/>
        </w:rPr>
      </w:pPr>
      <w:bookmarkStart w:id="38" w:name="_Toc217080765"/>
      <w:r>
        <w:rPr>
          <w:rStyle w:val="36"/>
          <w:rFonts w:ascii="Times New Roman" w:hAnsi="Times New Roman" w:cs="Times New Roman"/>
          <w:b/>
          <w:bCs/>
          <w:sz w:val="24"/>
          <w:szCs w:val="24"/>
        </w:rPr>
        <w:t>NPV Summary</w:t>
      </w:r>
      <w:bookmarkEnd w:id="38"/>
    </w:p>
    <w:tbl>
      <w:tblPr>
        <w:tblStyle w:val="38"/>
        <w:tblW w:w="56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4"/>
        <w:gridCol w:w="3198"/>
      </w:tblGrid>
      <w:tr w14:paraId="36F4A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0" w:type="auto"/>
          </w:tcPr>
          <w:p w14:paraId="79D39EE1">
            <w:pPr>
              <w:spacing w:line="240" w:lineRule="auto"/>
              <w:jc w:val="center"/>
              <w:rPr>
                <w:rFonts w:ascii="Times New Roman" w:hAnsi="Times New Roman" w:cs="Times New Roman"/>
                <w:b/>
                <w:bCs/>
              </w:rPr>
            </w:pPr>
            <w:r>
              <w:rPr>
                <w:rFonts w:ascii="Times New Roman" w:hAnsi="Times New Roman" w:cs="Times New Roman"/>
                <w:b/>
                <w:bCs/>
              </w:rPr>
              <w:t>Project</w:t>
            </w:r>
          </w:p>
        </w:tc>
        <w:tc>
          <w:tcPr>
            <w:tcW w:w="0" w:type="auto"/>
          </w:tcPr>
          <w:p w14:paraId="45D640EB">
            <w:pPr>
              <w:spacing w:line="240" w:lineRule="auto"/>
              <w:jc w:val="center"/>
              <w:rPr>
                <w:rFonts w:ascii="Times New Roman" w:hAnsi="Times New Roman" w:cs="Times New Roman"/>
                <w:b/>
                <w:bCs/>
              </w:rPr>
            </w:pPr>
            <w:r>
              <w:rPr>
                <w:rFonts w:ascii="Times New Roman" w:hAnsi="Times New Roman" w:cs="Times New Roman"/>
                <w:b/>
                <w:bCs/>
              </w:rPr>
              <w:t>NPV (£m)</w:t>
            </w:r>
          </w:p>
        </w:tc>
      </w:tr>
      <w:tr w14:paraId="6DEB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0" w:type="auto"/>
          </w:tcPr>
          <w:p w14:paraId="34A951B2">
            <w:pPr>
              <w:spacing w:line="240" w:lineRule="auto"/>
              <w:jc w:val="center"/>
              <w:rPr>
                <w:rFonts w:ascii="Times New Roman" w:hAnsi="Times New Roman" w:cs="Times New Roman"/>
              </w:rPr>
            </w:pPr>
            <w:r>
              <w:rPr>
                <w:rFonts w:ascii="Times New Roman" w:hAnsi="Times New Roman" w:cs="Times New Roman"/>
              </w:rPr>
              <w:t>A</w:t>
            </w:r>
          </w:p>
        </w:tc>
        <w:tc>
          <w:tcPr>
            <w:tcW w:w="0" w:type="auto"/>
          </w:tcPr>
          <w:p w14:paraId="0846DD00">
            <w:pPr>
              <w:spacing w:line="240" w:lineRule="auto"/>
              <w:jc w:val="center"/>
              <w:rPr>
                <w:rFonts w:ascii="Times New Roman" w:hAnsi="Times New Roman" w:cs="Times New Roman"/>
              </w:rPr>
            </w:pPr>
            <w:r>
              <w:rPr>
                <w:rStyle w:val="36"/>
                <w:rFonts w:ascii="Times New Roman" w:hAnsi="Times New Roman" w:cs="Times New Roman"/>
              </w:rPr>
              <w:t>1.31</w:t>
            </w:r>
          </w:p>
        </w:tc>
      </w:tr>
      <w:tr w14:paraId="41EE9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0" w:type="auto"/>
          </w:tcPr>
          <w:p w14:paraId="04B15B51">
            <w:pPr>
              <w:spacing w:line="240" w:lineRule="auto"/>
              <w:jc w:val="center"/>
              <w:rPr>
                <w:rFonts w:ascii="Times New Roman" w:hAnsi="Times New Roman" w:cs="Times New Roman"/>
              </w:rPr>
            </w:pPr>
            <w:r>
              <w:rPr>
                <w:rFonts w:ascii="Times New Roman" w:hAnsi="Times New Roman" w:cs="Times New Roman"/>
              </w:rPr>
              <w:t>B</w:t>
            </w:r>
          </w:p>
        </w:tc>
        <w:tc>
          <w:tcPr>
            <w:tcW w:w="0" w:type="auto"/>
          </w:tcPr>
          <w:p w14:paraId="4402201D">
            <w:pPr>
              <w:spacing w:line="240" w:lineRule="auto"/>
              <w:jc w:val="center"/>
              <w:rPr>
                <w:rFonts w:ascii="Times New Roman" w:hAnsi="Times New Roman" w:cs="Times New Roman"/>
              </w:rPr>
            </w:pPr>
            <w:r>
              <w:rPr>
                <w:rStyle w:val="36"/>
                <w:rFonts w:ascii="Times New Roman" w:hAnsi="Times New Roman" w:cs="Times New Roman"/>
              </w:rPr>
              <w:t>–7.25</w:t>
            </w:r>
          </w:p>
        </w:tc>
      </w:tr>
      <w:tr w14:paraId="168E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0" w:type="auto"/>
          </w:tcPr>
          <w:p w14:paraId="3CAD0019">
            <w:pPr>
              <w:spacing w:line="240" w:lineRule="auto"/>
              <w:jc w:val="center"/>
              <w:rPr>
                <w:rFonts w:ascii="Times New Roman" w:hAnsi="Times New Roman" w:cs="Times New Roman"/>
              </w:rPr>
            </w:pPr>
            <w:r>
              <w:rPr>
                <w:rFonts w:ascii="Times New Roman" w:hAnsi="Times New Roman" w:cs="Times New Roman"/>
              </w:rPr>
              <w:t>C</w:t>
            </w:r>
          </w:p>
        </w:tc>
        <w:tc>
          <w:tcPr>
            <w:tcW w:w="0" w:type="auto"/>
          </w:tcPr>
          <w:p w14:paraId="232B4FF3">
            <w:pPr>
              <w:spacing w:line="240" w:lineRule="auto"/>
              <w:jc w:val="center"/>
              <w:rPr>
                <w:rFonts w:ascii="Times New Roman" w:hAnsi="Times New Roman" w:cs="Times New Roman"/>
              </w:rPr>
            </w:pPr>
            <w:r>
              <w:rPr>
                <w:rStyle w:val="36"/>
                <w:rFonts w:ascii="Times New Roman" w:hAnsi="Times New Roman" w:cs="Times New Roman"/>
              </w:rPr>
              <w:t>4.23</w:t>
            </w:r>
          </w:p>
        </w:tc>
      </w:tr>
    </w:tbl>
    <w:p w14:paraId="59A16B5D">
      <w:pPr>
        <w:pStyle w:val="34"/>
      </w:pPr>
      <w:r>
        <w:rPr>
          <w:rStyle w:val="36"/>
        </w:rPr>
        <w:t>Ranking:</w:t>
      </w:r>
      <w:r>
        <w:t xml:space="preserve"> C → A → B</w:t>
      </w:r>
    </w:p>
    <w:p w14:paraId="71498359">
      <w:pPr>
        <w:pStyle w:val="2"/>
        <w:rPr>
          <w:rFonts w:ascii="Times New Roman" w:hAnsi="Times New Roman" w:cs="Times New Roman"/>
          <w:sz w:val="32"/>
          <w:szCs w:val="32"/>
        </w:rPr>
      </w:pPr>
      <w:bookmarkStart w:id="39" w:name="_Toc217080766"/>
      <w:r>
        <w:rPr>
          <w:rStyle w:val="36"/>
          <w:rFonts w:ascii="Times New Roman" w:hAnsi="Times New Roman" w:cs="Times New Roman"/>
          <w:b/>
          <w:bCs/>
          <w:sz w:val="32"/>
          <w:szCs w:val="32"/>
        </w:rPr>
        <w:t>4.4 Profitability Index (PI)</w:t>
      </w:r>
      <w:bookmarkEnd w:id="39"/>
    </w:p>
    <w:p w14:paraId="4EC51061">
      <w:pPr>
        <w:pStyle w:val="34"/>
      </w:pPr>
      <w:r>
        <w:t>PI = PV of Inflows ÷ Initial Investment</w:t>
      </w:r>
    </w:p>
    <w:tbl>
      <w:tblPr>
        <w:tblStyle w:val="38"/>
        <w:tblW w:w="93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2269"/>
        <w:gridCol w:w="2726"/>
        <w:gridCol w:w="1316"/>
        <w:gridCol w:w="2025"/>
      </w:tblGrid>
      <w:tr w14:paraId="3FB4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0" w:type="auto"/>
          </w:tcPr>
          <w:p w14:paraId="36D18EC4">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Project</w:t>
            </w:r>
          </w:p>
        </w:tc>
        <w:tc>
          <w:tcPr>
            <w:tcW w:w="0" w:type="auto"/>
          </w:tcPr>
          <w:p w14:paraId="1082E190">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 of Inflows (£m)</w:t>
            </w:r>
          </w:p>
        </w:tc>
        <w:tc>
          <w:tcPr>
            <w:tcW w:w="0" w:type="auto"/>
          </w:tcPr>
          <w:p w14:paraId="73DBD59C">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Initial Investment (£m)</w:t>
            </w:r>
          </w:p>
        </w:tc>
        <w:tc>
          <w:tcPr>
            <w:tcW w:w="0" w:type="auto"/>
          </w:tcPr>
          <w:p w14:paraId="43A1A34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NPV (£m)</w:t>
            </w:r>
          </w:p>
        </w:tc>
        <w:tc>
          <w:tcPr>
            <w:tcW w:w="0" w:type="auto"/>
          </w:tcPr>
          <w:p w14:paraId="2075B77A">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PI = PV ÷ Initial</w:t>
            </w:r>
          </w:p>
        </w:tc>
      </w:tr>
      <w:tr w14:paraId="4953B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0" w:type="auto"/>
          </w:tcPr>
          <w:p w14:paraId="3FB88E2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A</w:t>
            </w:r>
          </w:p>
        </w:tc>
        <w:tc>
          <w:tcPr>
            <w:tcW w:w="0" w:type="auto"/>
          </w:tcPr>
          <w:p w14:paraId="37C7D27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41.32</w:t>
            </w:r>
          </w:p>
        </w:tc>
        <w:tc>
          <w:tcPr>
            <w:tcW w:w="0" w:type="auto"/>
          </w:tcPr>
          <w:p w14:paraId="4822BC0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w:t>
            </w:r>
          </w:p>
        </w:tc>
        <w:tc>
          <w:tcPr>
            <w:tcW w:w="0" w:type="auto"/>
          </w:tcPr>
          <w:p w14:paraId="7ADE0A3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1.32</w:t>
            </w:r>
          </w:p>
        </w:tc>
        <w:tc>
          <w:tcPr>
            <w:tcW w:w="0" w:type="auto"/>
          </w:tcPr>
          <w:p w14:paraId="02A715E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41.32 ÷ 40 = </w:t>
            </w:r>
            <w:r>
              <w:rPr>
                <w:rFonts w:ascii="Times New Roman" w:hAnsi="Times New Roman" w:eastAsia="Times New Roman" w:cs="Times New Roman"/>
                <w:b/>
                <w:bCs/>
                <w:sz w:val="24"/>
                <w:szCs w:val="24"/>
                <w:lang w:val="en-GB" w:eastAsia="en-GB"/>
              </w:rPr>
              <w:t>1.03</w:t>
            </w:r>
          </w:p>
        </w:tc>
      </w:tr>
      <w:tr w14:paraId="1AE5E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0" w:type="auto"/>
          </w:tcPr>
          <w:p w14:paraId="7A3FC7D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B</w:t>
            </w:r>
          </w:p>
        </w:tc>
        <w:tc>
          <w:tcPr>
            <w:tcW w:w="0" w:type="auto"/>
          </w:tcPr>
          <w:p w14:paraId="0D31D80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22.74</w:t>
            </w:r>
          </w:p>
        </w:tc>
        <w:tc>
          <w:tcPr>
            <w:tcW w:w="0" w:type="auto"/>
          </w:tcPr>
          <w:p w14:paraId="2073945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c>
          <w:tcPr>
            <w:tcW w:w="0" w:type="auto"/>
          </w:tcPr>
          <w:p w14:paraId="211FAE6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−7.26</w:t>
            </w:r>
          </w:p>
        </w:tc>
        <w:tc>
          <w:tcPr>
            <w:tcW w:w="0" w:type="auto"/>
          </w:tcPr>
          <w:p w14:paraId="4C59AB3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22.74 ÷ 30 = </w:t>
            </w:r>
            <w:r>
              <w:rPr>
                <w:rFonts w:ascii="Times New Roman" w:hAnsi="Times New Roman" w:eastAsia="Times New Roman" w:cs="Times New Roman"/>
                <w:b/>
                <w:bCs/>
                <w:sz w:val="24"/>
                <w:szCs w:val="24"/>
                <w:lang w:val="en-GB" w:eastAsia="en-GB"/>
              </w:rPr>
              <w:t>0.76</w:t>
            </w:r>
          </w:p>
        </w:tc>
      </w:tr>
      <w:tr w14:paraId="2643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0" w:type="auto"/>
          </w:tcPr>
          <w:p w14:paraId="74570E5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C</w:t>
            </w:r>
          </w:p>
        </w:tc>
        <w:tc>
          <w:tcPr>
            <w:tcW w:w="0" w:type="auto"/>
          </w:tcPr>
          <w:p w14:paraId="4591430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54.23</w:t>
            </w:r>
          </w:p>
        </w:tc>
        <w:tc>
          <w:tcPr>
            <w:tcW w:w="0" w:type="auto"/>
          </w:tcPr>
          <w:p w14:paraId="1A028A9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w:t>
            </w:r>
          </w:p>
        </w:tc>
        <w:tc>
          <w:tcPr>
            <w:tcW w:w="0" w:type="auto"/>
          </w:tcPr>
          <w:p w14:paraId="6DEC996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4.23</w:t>
            </w:r>
          </w:p>
        </w:tc>
        <w:tc>
          <w:tcPr>
            <w:tcW w:w="0" w:type="auto"/>
          </w:tcPr>
          <w:p w14:paraId="3E6CECB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54.23 ÷ 50 = </w:t>
            </w:r>
            <w:r>
              <w:rPr>
                <w:rFonts w:ascii="Times New Roman" w:hAnsi="Times New Roman" w:eastAsia="Times New Roman" w:cs="Times New Roman"/>
                <w:b/>
                <w:bCs/>
                <w:sz w:val="24"/>
                <w:szCs w:val="24"/>
                <w:lang w:val="en-GB" w:eastAsia="en-GB"/>
              </w:rPr>
              <w:t>1.08</w:t>
            </w:r>
          </w:p>
        </w:tc>
      </w:tr>
    </w:tbl>
    <w:p w14:paraId="46332E89">
      <w:pPr>
        <w:rPr>
          <w:rFonts w:ascii="Times New Roman" w:hAnsi="Times New Roman" w:cs="Times New Roman"/>
        </w:rPr>
      </w:pPr>
    </w:p>
    <w:p w14:paraId="17F8F711">
      <w:pPr>
        <w:pStyle w:val="4"/>
        <w:rPr>
          <w:rFonts w:ascii="Times New Roman" w:hAnsi="Times New Roman" w:cs="Times New Roman"/>
          <w:b w:val="0"/>
          <w:bCs w:val="0"/>
          <w:sz w:val="24"/>
          <w:szCs w:val="24"/>
        </w:rPr>
      </w:pPr>
      <w:bookmarkStart w:id="40" w:name="_Toc217080767"/>
      <w:r>
        <w:rPr>
          <w:rStyle w:val="36"/>
          <w:rFonts w:ascii="Times New Roman" w:hAnsi="Times New Roman" w:cs="Times New Roman"/>
          <w:b/>
          <w:bCs/>
          <w:sz w:val="24"/>
          <w:szCs w:val="24"/>
        </w:rPr>
        <w:t>PI Summary</w:t>
      </w:r>
      <w:bookmarkEnd w:id="40"/>
    </w:p>
    <w:tbl>
      <w:tblPr>
        <w:tblStyle w:val="38"/>
        <w:tblW w:w="47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28"/>
        <w:gridCol w:w="1888"/>
      </w:tblGrid>
      <w:tr w14:paraId="0E97D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tcPr>
          <w:p w14:paraId="093C6584">
            <w:pPr>
              <w:spacing w:line="240" w:lineRule="auto"/>
              <w:jc w:val="center"/>
              <w:rPr>
                <w:rFonts w:ascii="Times New Roman" w:hAnsi="Times New Roman" w:cs="Times New Roman"/>
                <w:b/>
                <w:bCs/>
              </w:rPr>
            </w:pPr>
            <w:r>
              <w:rPr>
                <w:rFonts w:ascii="Times New Roman" w:hAnsi="Times New Roman" w:cs="Times New Roman"/>
                <w:b/>
                <w:bCs/>
              </w:rPr>
              <w:t>Project</w:t>
            </w:r>
          </w:p>
        </w:tc>
        <w:tc>
          <w:tcPr>
            <w:tcW w:w="0" w:type="auto"/>
          </w:tcPr>
          <w:p w14:paraId="2539CE5E">
            <w:pPr>
              <w:spacing w:line="240" w:lineRule="auto"/>
              <w:jc w:val="center"/>
              <w:rPr>
                <w:rFonts w:ascii="Times New Roman" w:hAnsi="Times New Roman" w:cs="Times New Roman"/>
                <w:b/>
                <w:bCs/>
              </w:rPr>
            </w:pPr>
            <w:r>
              <w:rPr>
                <w:rFonts w:ascii="Times New Roman" w:hAnsi="Times New Roman" w:cs="Times New Roman"/>
                <w:b/>
                <w:bCs/>
              </w:rPr>
              <w:t>PI</w:t>
            </w:r>
          </w:p>
        </w:tc>
      </w:tr>
      <w:tr w14:paraId="2321D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tcPr>
          <w:p w14:paraId="5D48B3AB">
            <w:pPr>
              <w:spacing w:line="240" w:lineRule="auto"/>
              <w:jc w:val="center"/>
              <w:rPr>
                <w:rFonts w:ascii="Times New Roman" w:hAnsi="Times New Roman" w:cs="Times New Roman"/>
              </w:rPr>
            </w:pPr>
            <w:r>
              <w:rPr>
                <w:rFonts w:ascii="Times New Roman" w:hAnsi="Times New Roman" w:cs="Times New Roman"/>
              </w:rPr>
              <w:t>A</w:t>
            </w:r>
          </w:p>
        </w:tc>
        <w:tc>
          <w:tcPr>
            <w:tcW w:w="0" w:type="auto"/>
          </w:tcPr>
          <w:p w14:paraId="00E84CB6">
            <w:pPr>
              <w:spacing w:line="240" w:lineRule="auto"/>
              <w:jc w:val="center"/>
              <w:rPr>
                <w:rFonts w:ascii="Times New Roman" w:hAnsi="Times New Roman" w:cs="Times New Roman"/>
              </w:rPr>
            </w:pPr>
            <w:r>
              <w:rPr>
                <w:rFonts w:ascii="Times New Roman" w:hAnsi="Times New Roman" w:cs="Times New Roman"/>
              </w:rPr>
              <w:t>1.03</w:t>
            </w:r>
          </w:p>
        </w:tc>
      </w:tr>
      <w:tr w14:paraId="4E62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tcPr>
          <w:p w14:paraId="6157BB0A">
            <w:pPr>
              <w:spacing w:line="240" w:lineRule="auto"/>
              <w:jc w:val="center"/>
              <w:rPr>
                <w:rFonts w:ascii="Times New Roman" w:hAnsi="Times New Roman" w:cs="Times New Roman"/>
              </w:rPr>
            </w:pPr>
            <w:r>
              <w:rPr>
                <w:rFonts w:ascii="Times New Roman" w:hAnsi="Times New Roman" w:cs="Times New Roman"/>
              </w:rPr>
              <w:t>B</w:t>
            </w:r>
          </w:p>
        </w:tc>
        <w:tc>
          <w:tcPr>
            <w:tcW w:w="0" w:type="auto"/>
          </w:tcPr>
          <w:p w14:paraId="631B0101">
            <w:pPr>
              <w:spacing w:line="240" w:lineRule="auto"/>
              <w:jc w:val="center"/>
              <w:rPr>
                <w:rFonts w:ascii="Times New Roman" w:hAnsi="Times New Roman" w:cs="Times New Roman"/>
              </w:rPr>
            </w:pPr>
            <w:r>
              <w:rPr>
                <w:rFonts w:ascii="Times New Roman" w:hAnsi="Times New Roman" w:cs="Times New Roman"/>
              </w:rPr>
              <w:t>0.76</w:t>
            </w:r>
          </w:p>
        </w:tc>
      </w:tr>
      <w:tr w14:paraId="544BD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0" w:type="auto"/>
          </w:tcPr>
          <w:p w14:paraId="1B5D3B3B">
            <w:pPr>
              <w:spacing w:line="240" w:lineRule="auto"/>
              <w:jc w:val="center"/>
              <w:rPr>
                <w:rFonts w:ascii="Times New Roman" w:hAnsi="Times New Roman" w:cs="Times New Roman"/>
              </w:rPr>
            </w:pPr>
            <w:r>
              <w:rPr>
                <w:rFonts w:ascii="Times New Roman" w:hAnsi="Times New Roman" w:cs="Times New Roman"/>
              </w:rPr>
              <w:t>C</w:t>
            </w:r>
          </w:p>
        </w:tc>
        <w:tc>
          <w:tcPr>
            <w:tcW w:w="0" w:type="auto"/>
          </w:tcPr>
          <w:p w14:paraId="128E2204">
            <w:pPr>
              <w:spacing w:line="240" w:lineRule="auto"/>
              <w:jc w:val="center"/>
              <w:rPr>
                <w:rFonts w:ascii="Times New Roman" w:hAnsi="Times New Roman" w:cs="Times New Roman"/>
              </w:rPr>
            </w:pPr>
            <w:r>
              <w:rPr>
                <w:rStyle w:val="36"/>
                <w:rFonts w:ascii="Times New Roman" w:hAnsi="Times New Roman" w:cs="Times New Roman"/>
              </w:rPr>
              <w:t>1.08</w:t>
            </w:r>
          </w:p>
        </w:tc>
      </w:tr>
    </w:tbl>
    <w:p w14:paraId="252B37AF">
      <w:pPr>
        <w:pStyle w:val="34"/>
      </w:pPr>
      <w:r>
        <w:t>PI favours Project C.</w:t>
      </w:r>
    </w:p>
    <w:p w14:paraId="478B139B">
      <w:pPr>
        <w:pStyle w:val="2"/>
        <w:rPr>
          <w:rFonts w:ascii="Times New Roman" w:hAnsi="Times New Roman" w:cs="Times New Roman"/>
          <w:sz w:val="32"/>
          <w:szCs w:val="32"/>
        </w:rPr>
      </w:pPr>
      <w:bookmarkStart w:id="41" w:name="_Toc217080768"/>
      <w:r>
        <w:rPr>
          <w:rStyle w:val="36"/>
          <w:rFonts w:ascii="Times New Roman" w:hAnsi="Times New Roman" w:cs="Times New Roman"/>
          <w:b/>
          <w:bCs/>
          <w:sz w:val="32"/>
          <w:szCs w:val="32"/>
        </w:rPr>
        <w:t>4.5 Internal Rate of Return (IRR)</w:t>
      </w:r>
      <w:bookmarkEnd w:id="41"/>
    </w:p>
    <w:p w14:paraId="0CB4C637">
      <w:pPr>
        <w:pStyle w:val="34"/>
      </w:pPr>
      <w:r>
        <w:t>IRR is estimated via interpolation.</w:t>
      </w:r>
    </w:p>
    <w:p w14:paraId="0907C708">
      <w:pPr>
        <w:pStyle w:val="34"/>
      </w:pPr>
      <w:r>
        <w:t xml:space="preserve">To show IRR, we use </w:t>
      </w:r>
      <w:r>
        <w:rPr>
          <w:rStyle w:val="36"/>
        </w:rPr>
        <w:t>NPVs at two discount rates</w:t>
      </w:r>
      <w:r>
        <w:t xml:space="preserve"> and interpolate.</w:t>
      </w:r>
    </w:p>
    <w:p w14:paraId="6053E2D0">
      <w:pPr>
        <w:pStyle w:val="4"/>
        <w:rPr>
          <w:rStyle w:val="36"/>
          <w:rFonts w:ascii="Times New Roman" w:hAnsi="Times New Roman" w:cs="Times New Roman"/>
          <w:b/>
          <w:bCs/>
          <w:sz w:val="24"/>
          <w:szCs w:val="24"/>
        </w:rPr>
      </w:pPr>
      <w:r>
        <w:rPr>
          <w:rStyle w:val="36"/>
          <w:rFonts w:ascii="Times New Roman" w:hAnsi="Times New Roman" w:cs="Times New Roman"/>
          <w:b/>
          <w:bCs/>
          <w:sz w:val="24"/>
          <w:szCs w:val="24"/>
        </w:rPr>
        <w:t xml:space="preserve"> </w:t>
      </w:r>
      <w:bookmarkStart w:id="42" w:name="_Toc217080769"/>
      <w:r>
        <w:rPr>
          <w:rStyle w:val="36"/>
          <w:rFonts w:ascii="Times New Roman" w:hAnsi="Times New Roman" w:cs="Times New Roman"/>
          <w:b/>
          <w:bCs/>
          <w:sz w:val="24"/>
          <w:szCs w:val="24"/>
        </w:rPr>
        <w:t>NPVs at 15%</w:t>
      </w:r>
      <w:bookmarkEnd w:id="42"/>
    </w:p>
    <w:p w14:paraId="547AB98E">
      <w:pPr>
        <w:rPr>
          <w:rFonts w:ascii="Times New Roman" w:hAnsi="Times New Roman" w:cs="Times New Roman"/>
        </w:rPr>
      </w:pPr>
    </w:p>
    <w:p w14:paraId="5CEFEA2E">
      <w:pPr>
        <w:rPr>
          <w:rFonts w:ascii="Times New Roman" w:hAnsi="Times New Roman" w:cs="Times New Roman"/>
          <w:b/>
          <w:bCs/>
          <w:sz w:val="28"/>
          <w:szCs w:val="28"/>
        </w:rPr>
      </w:pPr>
      <w:r>
        <w:rPr>
          <w:rFonts w:ascii="Times New Roman" w:hAnsi="Times New Roman" w:cs="Times New Roman"/>
          <w:b/>
          <w:bCs/>
          <w:sz w:val="28"/>
          <w:szCs w:val="28"/>
        </w:rPr>
        <w:t>Project A</w:t>
      </w:r>
    </w:p>
    <w:tbl>
      <w:tblPr>
        <w:tblStyle w:val="38"/>
        <w:tblW w:w="70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3"/>
        <w:gridCol w:w="1941"/>
        <w:gridCol w:w="1424"/>
        <w:gridCol w:w="1949"/>
      </w:tblGrid>
      <w:tr w14:paraId="5FDD4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4C083707">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6B8D54D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Flow</w:t>
            </w:r>
          </w:p>
        </w:tc>
        <w:tc>
          <w:tcPr>
            <w:tcW w:w="0" w:type="auto"/>
          </w:tcPr>
          <w:p w14:paraId="35252584">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DF 5%</w:t>
            </w:r>
          </w:p>
        </w:tc>
        <w:tc>
          <w:tcPr>
            <w:tcW w:w="0" w:type="auto"/>
          </w:tcPr>
          <w:p w14:paraId="7214E080">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w:t>
            </w:r>
          </w:p>
        </w:tc>
      </w:tr>
      <w:tr w14:paraId="46B80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5D28935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3A8E9B65">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w:t>
            </w:r>
          </w:p>
        </w:tc>
        <w:tc>
          <w:tcPr>
            <w:tcW w:w="0" w:type="auto"/>
          </w:tcPr>
          <w:p w14:paraId="28A6194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1.000</w:t>
            </w:r>
          </w:p>
        </w:tc>
        <w:tc>
          <w:tcPr>
            <w:tcW w:w="0" w:type="auto"/>
          </w:tcPr>
          <w:p w14:paraId="2D922FE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−40.00</w:t>
            </w:r>
          </w:p>
        </w:tc>
      </w:tr>
      <w:tr w14:paraId="43FC0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4ECC8FC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114D9C3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72BDE5B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0.952</w:t>
            </w:r>
          </w:p>
        </w:tc>
        <w:tc>
          <w:tcPr>
            <w:tcW w:w="0" w:type="auto"/>
          </w:tcPr>
          <w:p w14:paraId="148720A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9.52</w:t>
            </w:r>
          </w:p>
        </w:tc>
      </w:tr>
      <w:tr w14:paraId="1E7A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45D9FDD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516FF6A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12</w:t>
            </w:r>
          </w:p>
        </w:tc>
        <w:tc>
          <w:tcPr>
            <w:tcW w:w="0" w:type="auto"/>
          </w:tcPr>
          <w:p w14:paraId="0599484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0.907</w:t>
            </w:r>
          </w:p>
        </w:tc>
        <w:tc>
          <w:tcPr>
            <w:tcW w:w="0" w:type="auto"/>
          </w:tcPr>
          <w:p w14:paraId="450C1F4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10.88</w:t>
            </w:r>
          </w:p>
        </w:tc>
      </w:tr>
      <w:tr w14:paraId="08BD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573A450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431F2E1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w:t>
            </w:r>
          </w:p>
        </w:tc>
        <w:tc>
          <w:tcPr>
            <w:tcW w:w="0" w:type="auto"/>
          </w:tcPr>
          <w:p w14:paraId="21D14EDD">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0.864</w:t>
            </w:r>
          </w:p>
        </w:tc>
        <w:tc>
          <w:tcPr>
            <w:tcW w:w="0" w:type="auto"/>
          </w:tcPr>
          <w:p w14:paraId="0AF2D3D7">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12.10</w:t>
            </w:r>
          </w:p>
        </w:tc>
      </w:tr>
      <w:tr w14:paraId="4282E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1ABC237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641AAC0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296D38B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0.823</w:t>
            </w:r>
          </w:p>
        </w:tc>
        <w:tc>
          <w:tcPr>
            <w:tcW w:w="0" w:type="auto"/>
          </w:tcPr>
          <w:p w14:paraId="5CDCEE0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8.23</w:t>
            </w:r>
          </w:p>
        </w:tc>
      </w:tr>
      <w:tr w14:paraId="05942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57E6BCC3">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4926BE3D">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w:t>
            </w:r>
          </w:p>
        </w:tc>
        <w:tc>
          <w:tcPr>
            <w:tcW w:w="0" w:type="auto"/>
          </w:tcPr>
          <w:p w14:paraId="6E4AE26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0.784</w:t>
            </w:r>
          </w:p>
        </w:tc>
        <w:tc>
          <w:tcPr>
            <w:tcW w:w="0" w:type="auto"/>
          </w:tcPr>
          <w:p w14:paraId="60868F5D">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6.27</w:t>
            </w:r>
          </w:p>
        </w:tc>
      </w:tr>
      <w:tr w14:paraId="45F3E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34F1E26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Total PV</w:t>
            </w:r>
          </w:p>
        </w:tc>
        <w:tc>
          <w:tcPr>
            <w:tcW w:w="0" w:type="auto"/>
          </w:tcPr>
          <w:p w14:paraId="00DC7D0D">
            <w:pPr>
              <w:spacing w:line="240" w:lineRule="auto"/>
              <w:jc w:val="center"/>
              <w:rPr>
                <w:rFonts w:ascii="Times New Roman" w:hAnsi="Times New Roman" w:eastAsia="Times New Roman" w:cs="Times New Roman"/>
                <w:sz w:val="24"/>
                <w:szCs w:val="24"/>
                <w:lang w:val="en-GB" w:eastAsia="en-GB"/>
              </w:rPr>
            </w:pPr>
          </w:p>
        </w:tc>
        <w:tc>
          <w:tcPr>
            <w:tcW w:w="0" w:type="auto"/>
          </w:tcPr>
          <w:p w14:paraId="7F30B8D4">
            <w:pPr>
              <w:spacing w:line="240" w:lineRule="auto"/>
              <w:jc w:val="center"/>
              <w:rPr>
                <w:rFonts w:ascii="Times New Roman" w:hAnsi="Times New Roman" w:eastAsia="Times New Roman" w:cs="Times New Roman"/>
                <w:sz w:val="20"/>
                <w:szCs w:val="20"/>
                <w:lang w:val="en-GB" w:eastAsia="en-GB"/>
              </w:rPr>
            </w:pPr>
          </w:p>
        </w:tc>
        <w:tc>
          <w:tcPr>
            <w:tcW w:w="0" w:type="auto"/>
          </w:tcPr>
          <w:p w14:paraId="62D3C04F">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6.99 ≈ 7.00</w:t>
            </w:r>
          </w:p>
        </w:tc>
      </w:tr>
    </w:tbl>
    <w:p w14:paraId="009EBE0E">
      <w:pPr>
        <w:rPr>
          <w:rFonts w:ascii="Times New Roman" w:hAnsi="Times New Roman" w:cs="Times New Roman"/>
          <w:b/>
          <w:bCs/>
          <w:sz w:val="28"/>
          <w:szCs w:val="28"/>
        </w:rPr>
      </w:pPr>
    </w:p>
    <w:p w14:paraId="70B4E566">
      <w:pPr>
        <w:rPr>
          <w:rFonts w:ascii="Times New Roman" w:hAnsi="Times New Roman" w:cs="Times New Roman"/>
          <w:b/>
          <w:bCs/>
          <w:sz w:val="28"/>
          <w:szCs w:val="28"/>
        </w:rPr>
      </w:pPr>
      <w:r>
        <w:rPr>
          <w:rFonts w:ascii="Times New Roman" w:hAnsi="Times New Roman" w:cs="Times New Roman"/>
          <w:b/>
          <w:bCs/>
          <w:sz w:val="28"/>
          <w:szCs w:val="28"/>
        </w:rPr>
        <w:t>Project B</w:t>
      </w:r>
    </w:p>
    <w:tbl>
      <w:tblPr>
        <w:tblStyle w:val="38"/>
        <w:tblW w:w="6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6"/>
        <w:gridCol w:w="1682"/>
        <w:gridCol w:w="1756"/>
        <w:gridCol w:w="2043"/>
      </w:tblGrid>
      <w:tr w14:paraId="5F2F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1712D127">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1972618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Flow</w:t>
            </w:r>
          </w:p>
        </w:tc>
        <w:tc>
          <w:tcPr>
            <w:tcW w:w="0" w:type="auto"/>
          </w:tcPr>
          <w:p w14:paraId="324E1FDE">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DF @ 15%</w:t>
            </w:r>
          </w:p>
        </w:tc>
        <w:tc>
          <w:tcPr>
            <w:tcW w:w="0" w:type="auto"/>
          </w:tcPr>
          <w:p w14:paraId="5F19566D">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 (£m)</w:t>
            </w:r>
          </w:p>
        </w:tc>
      </w:tr>
      <w:tr w14:paraId="05B78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0F446B8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43CFFA8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c>
          <w:tcPr>
            <w:tcW w:w="0" w:type="auto"/>
          </w:tcPr>
          <w:p w14:paraId="1C59DB51">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1.000</w:t>
            </w:r>
          </w:p>
        </w:tc>
        <w:tc>
          <w:tcPr>
            <w:tcW w:w="0" w:type="auto"/>
          </w:tcPr>
          <w:p w14:paraId="1B0341A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−30.00</w:t>
            </w:r>
          </w:p>
        </w:tc>
      </w:tr>
      <w:tr w14:paraId="06A50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2E86AC91">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203A3E3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122D21D8">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0.870</w:t>
            </w:r>
          </w:p>
        </w:tc>
        <w:tc>
          <w:tcPr>
            <w:tcW w:w="0" w:type="auto"/>
          </w:tcPr>
          <w:p w14:paraId="290A1F57">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5.22</w:t>
            </w:r>
          </w:p>
        </w:tc>
      </w:tr>
      <w:tr w14:paraId="79E65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58C49EE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1CE67802">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46043FC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0.756</w:t>
            </w:r>
          </w:p>
        </w:tc>
        <w:tc>
          <w:tcPr>
            <w:tcW w:w="0" w:type="auto"/>
          </w:tcPr>
          <w:p w14:paraId="2F6F6853">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4.54</w:t>
            </w:r>
          </w:p>
        </w:tc>
      </w:tr>
      <w:tr w14:paraId="6103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062739C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085BC8B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4428095B">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0.658</w:t>
            </w:r>
          </w:p>
        </w:tc>
        <w:tc>
          <w:tcPr>
            <w:tcW w:w="0" w:type="auto"/>
          </w:tcPr>
          <w:p w14:paraId="5EF1077F">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3.95</w:t>
            </w:r>
          </w:p>
        </w:tc>
      </w:tr>
      <w:tr w14:paraId="11874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5B0F811A">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0E83930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5790144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0.572</w:t>
            </w:r>
          </w:p>
        </w:tc>
        <w:tc>
          <w:tcPr>
            <w:tcW w:w="0" w:type="auto"/>
          </w:tcPr>
          <w:p w14:paraId="05448A8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3.43</w:t>
            </w:r>
          </w:p>
        </w:tc>
      </w:tr>
      <w:tr w14:paraId="16AD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09329AD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66F65FDB">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22D8021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0.497</w:t>
            </w:r>
          </w:p>
        </w:tc>
        <w:tc>
          <w:tcPr>
            <w:tcW w:w="0" w:type="auto"/>
          </w:tcPr>
          <w:p w14:paraId="07EA3BA2">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2.98</w:t>
            </w:r>
          </w:p>
        </w:tc>
      </w:tr>
      <w:tr w14:paraId="1220D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1643CF4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Total PV</w:t>
            </w:r>
          </w:p>
        </w:tc>
        <w:tc>
          <w:tcPr>
            <w:tcW w:w="0" w:type="auto"/>
          </w:tcPr>
          <w:p w14:paraId="6B16E94F">
            <w:pPr>
              <w:spacing w:line="240" w:lineRule="auto"/>
              <w:jc w:val="center"/>
              <w:rPr>
                <w:rFonts w:ascii="Times New Roman" w:hAnsi="Times New Roman" w:eastAsia="Times New Roman" w:cs="Times New Roman"/>
                <w:sz w:val="24"/>
                <w:szCs w:val="24"/>
                <w:lang w:val="en-GB" w:eastAsia="en-GB"/>
              </w:rPr>
            </w:pPr>
          </w:p>
        </w:tc>
        <w:tc>
          <w:tcPr>
            <w:tcW w:w="0" w:type="auto"/>
          </w:tcPr>
          <w:p w14:paraId="583691A7">
            <w:pPr>
              <w:spacing w:line="240" w:lineRule="auto"/>
              <w:jc w:val="center"/>
              <w:rPr>
                <w:rFonts w:ascii="Times New Roman" w:hAnsi="Times New Roman" w:eastAsia="Times New Roman" w:cs="Times New Roman"/>
                <w:sz w:val="20"/>
                <w:szCs w:val="20"/>
                <w:lang w:val="en-GB" w:eastAsia="en-GB"/>
              </w:rPr>
            </w:pPr>
          </w:p>
        </w:tc>
        <w:tc>
          <w:tcPr>
            <w:tcW w:w="0" w:type="auto"/>
          </w:tcPr>
          <w:p w14:paraId="266D57D0">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−9.88 ≈ −9.89</w:t>
            </w:r>
          </w:p>
        </w:tc>
      </w:tr>
    </w:tbl>
    <w:p w14:paraId="04313FCD">
      <w:pPr>
        <w:rPr>
          <w:rFonts w:ascii="Times New Roman" w:hAnsi="Times New Roman" w:cs="Times New Roman"/>
        </w:rPr>
      </w:pPr>
    </w:p>
    <w:p w14:paraId="1E7BDBA3">
      <w:pPr>
        <w:rPr>
          <w:rFonts w:ascii="Times New Roman" w:hAnsi="Times New Roman" w:cs="Times New Roman"/>
          <w:b/>
          <w:bCs/>
          <w:sz w:val="28"/>
          <w:szCs w:val="28"/>
        </w:rPr>
      </w:pPr>
      <w:r>
        <w:rPr>
          <w:rFonts w:ascii="Times New Roman" w:hAnsi="Times New Roman" w:cs="Times New Roman"/>
          <w:b/>
          <w:bCs/>
          <w:sz w:val="28"/>
          <w:szCs w:val="28"/>
        </w:rPr>
        <w:t>Project C</w:t>
      </w:r>
    </w:p>
    <w:tbl>
      <w:tblPr>
        <w:tblStyle w:val="38"/>
        <w:tblW w:w="69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5"/>
        <w:gridCol w:w="1784"/>
        <w:gridCol w:w="1473"/>
        <w:gridCol w:w="2166"/>
      </w:tblGrid>
      <w:tr w14:paraId="5E394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6B3A7908">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21659293">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Flow</w:t>
            </w:r>
          </w:p>
        </w:tc>
        <w:tc>
          <w:tcPr>
            <w:tcW w:w="0" w:type="auto"/>
          </w:tcPr>
          <w:p w14:paraId="356FFFE8">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DF 15%</w:t>
            </w:r>
          </w:p>
        </w:tc>
        <w:tc>
          <w:tcPr>
            <w:tcW w:w="0" w:type="auto"/>
          </w:tcPr>
          <w:p w14:paraId="444D9A3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w:t>
            </w:r>
          </w:p>
        </w:tc>
      </w:tr>
      <w:tr w14:paraId="3F12D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228F5C6A">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7D1E9293">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w:t>
            </w:r>
          </w:p>
        </w:tc>
        <w:tc>
          <w:tcPr>
            <w:tcW w:w="0" w:type="auto"/>
          </w:tcPr>
          <w:p w14:paraId="38180F7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1.000</w:t>
            </w:r>
          </w:p>
        </w:tc>
        <w:tc>
          <w:tcPr>
            <w:tcW w:w="0" w:type="auto"/>
          </w:tcPr>
          <w:p w14:paraId="792D596B">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−50.00</w:t>
            </w:r>
          </w:p>
        </w:tc>
      </w:tr>
      <w:tr w14:paraId="497C9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6F880EB5">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766ACBF2">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7B672760">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0.870</w:t>
            </w:r>
          </w:p>
        </w:tc>
        <w:tc>
          <w:tcPr>
            <w:tcW w:w="0" w:type="auto"/>
          </w:tcPr>
          <w:p w14:paraId="7899936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4.35</w:t>
            </w:r>
          </w:p>
        </w:tc>
      </w:tr>
      <w:tr w14:paraId="275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5A301FEA">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6A698AE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5BB9408A">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0.756</w:t>
            </w:r>
          </w:p>
        </w:tc>
        <w:tc>
          <w:tcPr>
            <w:tcW w:w="0" w:type="auto"/>
          </w:tcPr>
          <w:p w14:paraId="373C626B">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7.56</w:t>
            </w:r>
          </w:p>
        </w:tc>
      </w:tr>
      <w:tr w14:paraId="3ED86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49D63A9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383B6B8A">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w:t>
            </w:r>
          </w:p>
        </w:tc>
        <w:tc>
          <w:tcPr>
            <w:tcW w:w="0" w:type="auto"/>
          </w:tcPr>
          <w:p w14:paraId="48C5427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0.658</w:t>
            </w:r>
          </w:p>
        </w:tc>
        <w:tc>
          <w:tcPr>
            <w:tcW w:w="0" w:type="auto"/>
          </w:tcPr>
          <w:p w14:paraId="219FAFD5">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13.16</w:t>
            </w:r>
          </w:p>
        </w:tc>
      </w:tr>
      <w:tr w14:paraId="50482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0D0676D0">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0049289B">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25</w:t>
            </w:r>
          </w:p>
        </w:tc>
        <w:tc>
          <w:tcPr>
            <w:tcW w:w="0" w:type="auto"/>
          </w:tcPr>
          <w:p w14:paraId="333C3388">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0.572</w:t>
            </w:r>
          </w:p>
        </w:tc>
        <w:tc>
          <w:tcPr>
            <w:tcW w:w="0" w:type="auto"/>
          </w:tcPr>
          <w:p w14:paraId="3EF88511">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14.30</w:t>
            </w:r>
          </w:p>
        </w:tc>
      </w:tr>
      <w:tr w14:paraId="23A2D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0D3D99BD">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5E417AD0">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w:t>
            </w:r>
          </w:p>
        </w:tc>
        <w:tc>
          <w:tcPr>
            <w:tcW w:w="0" w:type="auto"/>
          </w:tcPr>
          <w:p w14:paraId="71C17663">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0.497</w:t>
            </w:r>
          </w:p>
        </w:tc>
        <w:tc>
          <w:tcPr>
            <w:tcW w:w="0" w:type="auto"/>
          </w:tcPr>
          <w:p w14:paraId="2C46BE8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7.46</w:t>
            </w:r>
          </w:p>
        </w:tc>
      </w:tr>
      <w:tr w14:paraId="5D464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74F10E92">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Total PV</w:t>
            </w:r>
          </w:p>
        </w:tc>
        <w:tc>
          <w:tcPr>
            <w:tcW w:w="0" w:type="auto"/>
          </w:tcPr>
          <w:p w14:paraId="72A40CBE">
            <w:pPr>
              <w:spacing w:line="240" w:lineRule="auto"/>
              <w:jc w:val="center"/>
              <w:rPr>
                <w:rFonts w:ascii="Times New Roman" w:hAnsi="Times New Roman" w:eastAsia="Times New Roman" w:cs="Times New Roman"/>
                <w:sz w:val="24"/>
                <w:szCs w:val="24"/>
                <w:lang w:val="en-GB" w:eastAsia="en-GB"/>
              </w:rPr>
            </w:pPr>
          </w:p>
        </w:tc>
        <w:tc>
          <w:tcPr>
            <w:tcW w:w="0" w:type="auto"/>
          </w:tcPr>
          <w:p w14:paraId="74EA4035">
            <w:pPr>
              <w:spacing w:line="240" w:lineRule="auto"/>
              <w:jc w:val="center"/>
              <w:rPr>
                <w:rFonts w:ascii="Times New Roman" w:hAnsi="Times New Roman" w:eastAsia="Times New Roman" w:cs="Times New Roman"/>
                <w:sz w:val="20"/>
                <w:szCs w:val="20"/>
                <w:lang w:val="en-GB" w:eastAsia="en-GB"/>
              </w:rPr>
            </w:pPr>
          </w:p>
        </w:tc>
        <w:tc>
          <w:tcPr>
            <w:tcW w:w="0" w:type="auto"/>
          </w:tcPr>
          <w:p w14:paraId="2FA49791">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−3.17 ≈ −3.19</w:t>
            </w:r>
          </w:p>
        </w:tc>
      </w:tr>
    </w:tbl>
    <w:p w14:paraId="58B50C3D">
      <w:pPr>
        <w:rPr>
          <w:rFonts w:ascii="Times New Roman" w:hAnsi="Times New Roman" w:cs="Times New Roman"/>
        </w:rPr>
      </w:pPr>
    </w:p>
    <w:p w14:paraId="16659695">
      <w:pPr>
        <w:rPr>
          <w:rFonts w:ascii="Times New Roman" w:hAnsi="Times New Roman" w:cs="Times New Roman"/>
          <w:sz w:val="24"/>
          <w:szCs w:val="24"/>
        </w:rPr>
      </w:pPr>
      <w:r>
        <w:rPr>
          <w:rStyle w:val="36"/>
          <w:rFonts w:ascii="Times New Roman" w:hAnsi="Times New Roman" w:cs="Times New Roman"/>
          <w:sz w:val="28"/>
          <w:szCs w:val="28"/>
        </w:rPr>
        <w:t>IRR Summary</w:t>
      </w:r>
    </w:p>
    <w:p w14:paraId="722E5972">
      <w:pPr>
        <w:rPr>
          <w:rFonts w:ascii="Times New Roman" w:hAnsi="Times New Roman" w:cs="Times New Roman"/>
        </w:rPr>
      </w:pPr>
      <w:r>
        <w:rPr>
          <w:rFonts w:ascii="Times New Roman" w:hAnsi="Times New Roman" w:cs="Times New Roman"/>
        </w:rPr>
        <w:t>Using interpolation, IRR for the projects are-</w:t>
      </w:r>
    </w:p>
    <w:p w14:paraId="1F90456D">
      <w:pPr>
        <w:rPr>
          <w:rFonts w:ascii="Times New Roman" w:hAnsi="Times New Roman" w:cs="Times New Roman"/>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
        <w:gridCol w:w="2073"/>
        <w:gridCol w:w="2073"/>
        <w:gridCol w:w="2230"/>
      </w:tblGrid>
      <w:tr w14:paraId="58D50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9ECF0D4">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Project</w:t>
            </w:r>
          </w:p>
        </w:tc>
        <w:tc>
          <w:tcPr>
            <w:tcW w:w="0" w:type="auto"/>
          </w:tcPr>
          <w:p w14:paraId="22F0C1B4">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NPV @ 10% (£m)</w:t>
            </w:r>
          </w:p>
        </w:tc>
        <w:tc>
          <w:tcPr>
            <w:tcW w:w="0" w:type="auto"/>
          </w:tcPr>
          <w:p w14:paraId="0422DB47">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NPV @ 15% (£m)</w:t>
            </w:r>
          </w:p>
        </w:tc>
        <w:tc>
          <w:tcPr>
            <w:tcW w:w="0" w:type="auto"/>
          </w:tcPr>
          <w:p w14:paraId="615ADA0A">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IRR</w:t>
            </w:r>
          </w:p>
        </w:tc>
      </w:tr>
      <w:tr w14:paraId="18E25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A5CEBE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A</w:t>
            </w:r>
          </w:p>
        </w:tc>
        <w:tc>
          <w:tcPr>
            <w:tcW w:w="0" w:type="auto"/>
          </w:tcPr>
          <w:p w14:paraId="1A5A012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+1.32</w:t>
            </w:r>
          </w:p>
        </w:tc>
        <w:tc>
          <w:tcPr>
            <w:tcW w:w="0" w:type="auto"/>
          </w:tcPr>
          <w:p w14:paraId="45ABBC1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−3.33</w:t>
            </w:r>
          </w:p>
        </w:tc>
        <w:tc>
          <w:tcPr>
            <w:tcW w:w="0" w:type="auto"/>
          </w:tcPr>
          <w:p w14:paraId="2E6AE91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 11.4%</w:t>
            </w:r>
          </w:p>
        </w:tc>
      </w:tr>
      <w:tr w14:paraId="2E6F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85A2A8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B</w:t>
            </w:r>
          </w:p>
        </w:tc>
        <w:tc>
          <w:tcPr>
            <w:tcW w:w="0" w:type="auto"/>
          </w:tcPr>
          <w:p w14:paraId="7AFB127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−7.26</w:t>
            </w:r>
          </w:p>
        </w:tc>
        <w:tc>
          <w:tcPr>
            <w:tcW w:w="0" w:type="auto"/>
          </w:tcPr>
          <w:p w14:paraId="19C1DA2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−9.89</w:t>
            </w:r>
          </w:p>
        </w:tc>
        <w:tc>
          <w:tcPr>
            <w:tcW w:w="0" w:type="auto"/>
          </w:tcPr>
          <w:p w14:paraId="03A8918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0% / No viable IRR</w:t>
            </w:r>
          </w:p>
        </w:tc>
      </w:tr>
      <w:tr w14:paraId="6D822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4A180C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C</w:t>
            </w:r>
          </w:p>
        </w:tc>
        <w:tc>
          <w:tcPr>
            <w:tcW w:w="0" w:type="auto"/>
          </w:tcPr>
          <w:p w14:paraId="72AF890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+4.23</w:t>
            </w:r>
          </w:p>
        </w:tc>
        <w:tc>
          <w:tcPr>
            <w:tcW w:w="0" w:type="auto"/>
          </w:tcPr>
          <w:p w14:paraId="27039D4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−3.19</w:t>
            </w:r>
          </w:p>
        </w:tc>
        <w:tc>
          <w:tcPr>
            <w:tcW w:w="0" w:type="auto"/>
          </w:tcPr>
          <w:p w14:paraId="1C27E9B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 12.9%</w:t>
            </w:r>
          </w:p>
        </w:tc>
      </w:tr>
    </w:tbl>
    <w:p w14:paraId="7B7F4115">
      <w:pPr>
        <w:pStyle w:val="34"/>
      </w:pPr>
      <w:r>
        <w:t>So, project C is better in terms of IRR.</w:t>
      </w:r>
    </w:p>
    <w:p w14:paraId="5046766B">
      <w:pPr>
        <w:pStyle w:val="2"/>
        <w:rPr>
          <w:rFonts w:ascii="Times New Roman" w:hAnsi="Times New Roman" w:cs="Times New Roman"/>
          <w:sz w:val="32"/>
          <w:szCs w:val="32"/>
        </w:rPr>
      </w:pPr>
      <w:bookmarkStart w:id="43" w:name="_Toc217080770"/>
      <w:r>
        <w:rPr>
          <w:rStyle w:val="36"/>
          <w:rFonts w:ascii="Times New Roman" w:hAnsi="Times New Roman" w:cs="Times New Roman"/>
          <w:b/>
          <w:bCs/>
          <w:sz w:val="32"/>
          <w:szCs w:val="32"/>
        </w:rPr>
        <w:t>4.6 Comparative Summary of All Techniques</w:t>
      </w:r>
      <w:bookmarkEnd w:id="43"/>
    </w:p>
    <w:tbl>
      <w:tblPr>
        <w:tblStyle w:val="38"/>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6"/>
        <w:gridCol w:w="1509"/>
        <w:gridCol w:w="1283"/>
        <w:gridCol w:w="1839"/>
        <w:gridCol w:w="1316"/>
        <w:gridCol w:w="1454"/>
      </w:tblGrid>
      <w:tr w14:paraId="2DB0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0" w:type="auto"/>
          </w:tcPr>
          <w:p w14:paraId="1EB8C4AF">
            <w:pPr>
              <w:spacing w:line="240" w:lineRule="auto"/>
              <w:jc w:val="center"/>
              <w:rPr>
                <w:rFonts w:ascii="Times New Roman" w:hAnsi="Times New Roman" w:cs="Times New Roman"/>
                <w:b/>
                <w:bCs/>
              </w:rPr>
            </w:pPr>
            <w:r>
              <w:rPr>
                <w:rFonts w:ascii="Times New Roman" w:hAnsi="Times New Roman" w:cs="Times New Roman"/>
                <w:b/>
                <w:bCs/>
              </w:rPr>
              <w:t>Project</w:t>
            </w:r>
          </w:p>
        </w:tc>
        <w:tc>
          <w:tcPr>
            <w:tcW w:w="0" w:type="auto"/>
          </w:tcPr>
          <w:p w14:paraId="3E258BC0">
            <w:pPr>
              <w:spacing w:line="240" w:lineRule="auto"/>
              <w:jc w:val="center"/>
              <w:rPr>
                <w:rFonts w:ascii="Times New Roman" w:hAnsi="Times New Roman" w:cs="Times New Roman"/>
                <w:b/>
                <w:bCs/>
              </w:rPr>
            </w:pPr>
            <w:r>
              <w:rPr>
                <w:rFonts w:ascii="Times New Roman" w:hAnsi="Times New Roman" w:cs="Times New Roman"/>
                <w:b/>
                <w:bCs/>
              </w:rPr>
              <w:t>PBP</w:t>
            </w:r>
          </w:p>
        </w:tc>
        <w:tc>
          <w:tcPr>
            <w:tcW w:w="0" w:type="auto"/>
          </w:tcPr>
          <w:p w14:paraId="480EBDEE">
            <w:pPr>
              <w:spacing w:line="240" w:lineRule="auto"/>
              <w:jc w:val="center"/>
              <w:rPr>
                <w:rFonts w:ascii="Times New Roman" w:hAnsi="Times New Roman" w:cs="Times New Roman"/>
                <w:b/>
                <w:bCs/>
              </w:rPr>
            </w:pPr>
            <w:r>
              <w:rPr>
                <w:rFonts w:ascii="Times New Roman" w:hAnsi="Times New Roman" w:cs="Times New Roman"/>
                <w:b/>
                <w:bCs/>
              </w:rPr>
              <w:t>ARR</w:t>
            </w:r>
          </w:p>
        </w:tc>
        <w:tc>
          <w:tcPr>
            <w:tcW w:w="0" w:type="auto"/>
          </w:tcPr>
          <w:p w14:paraId="604EE4C9">
            <w:pPr>
              <w:spacing w:line="240" w:lineRule="auto"/>
              <w:jc w:val="center"/>
              <w:rPr>
                <w:rFonts w:ascii="Times New Roman" w:hAnsi="Times New Roman" w:cs="Times New Roman"/>
                <w:b/>
                <w:bCs/>
              </w:rPr>
            </w:pPr>
            <w:r>
              <w:rPr>
                <w:rFonts w:ascii="Times New Roman" w:hAnsi="Times New Roman" w:cs="Times New Roman"/>
                <w:b/>
                <w:bCs/>
              </w:rPr>
              <w:t>NPV</w:t>
            </w:r>
          </w:p>
        </w:tc>
        <w:tc>
          <w:tcPr>
            <w:tcW w:w="0" w:type="auto"/>
          </w:tcPr>
          <w:p w14:paraId="1EDCF6C1">
            <w:pPr>
              <w:spacing w:line="240" w:lineRule="auto"/>
              <w:jc w:val="center"/>
              <w:rPr>
                <w:rFonts w:ascii="Times New Roman" w:hAnsi="Times New Roman" w:cs="Times New Roman"/>
                <w:b/>
                <w:bCs/>
              </w:rPr>
            </w:pPr>
            <w:r>
              <w:rPr>
                <w:rFonts w:ascii="Times New Roman" w:hAnsi="Times New Roman" w:cs="Times New Roman"/>
                <w:b/>
                <w:bCs/>
              </w:rPr>
              <w:t>PI</w:t>
            </w:r>
          </w:p>
        </w:tc>
        <w:tc>
          <w:tcPr>
            <w:tcW w:w="0" w:type="auto"/>
          </w:tcPr>
          <w:p w14:paraId="6A9660EE">
            <w:pPr>
              <w:spacing w:line="240" w:lineRule="auto"/>
              <w:jc w:val="center"/>
              <w:rPr>
                <w:rFonts w:ascii="Times New Roman" w:hAnsi="Times New Roman" w:cs="Times New Roman"/>
                <w:b/>
                <w:bCs/>
              </w:rPr>
            </w:pPr>
            <w:r>
              <w:rPr>
                <w:rFonts w:ascii="Times New Roman" w:hAnsi="Times New Roman" w:cs="Times New Roman"/>
                <w:b/>
                <w:bCs/>
              </w:rPr>
              <w:t>IRR</w:t>
            </w:r>
          </w:p>
        </w:tc>
      </w:tr>
      <w:tr w14:paraId="0456C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0" w:type="auto"/>
          </w:tcPr>
          <w:p w14:paraId="3F354577">
            <w:pPr>
              <w:spacing w:line="240" w:lineRule="auto"/>
              <w:rPr>
                <w:rFonts w:ascii="Times New Roman" w:hAnsi="Times New Roman" w:cs="Times New Roman"/>
              </w:rPr>
            </w:pPr>
            <w:r>
              <w:rPr>
                <w:rFonts w:ascii="Times New Roman" w:hAnsi="Times New Roman" w:cs="Times New Roman"/>
              </w:rPr>
              <w:t>A</w:t>
            </w:r>
          </w:p>
        </w:tc>
        <w:tc>
          <w:tcPr>
            <w:tcW w:w="0" w:type="auto"/>
          </w:tcPr>
          <w:p w14:paraId="7DA900D2">
            <w:pPr>
              <w:spacing w:line="240" w:lineRule="auto"/>
              <w:rPr>
                <w:rFonts w:ascii="Times New Roman" w:hAnsi="Times New Roman" w:cs="Times New Roman"/>
              </w:rPr>
            </w:pPr>
            <w:r>
              <w:rPr>
                <w:rFonts w:ascii="Times New Roman" w:hAnsi="Times New Roman" w:cs="Times New Roman"/>
              </w:rPr>
              <w:t>3.4 yrs</w:t>
            </w:r>
          </w:p>
        </w:tc>
        <w:tc>
          <w:tcPr>
            <w:tcW w:w="0" w:type="auto"/>
          </w:tcPr>
          <w:p w14:paraId="7CDC0141">
            <w:pPr>
              <w:spacing w:line="240" w:lineRule="auto"/>
              <w:rPr>
                <w:rFonts w:ascii="Times New Roman" w:hAnsi="Times New Roman" w:cs="Times New Roman"/>
              </w:rPr>
            </w:pPr>
            <w:r>
              <w:rPr>
                <w:rFonts w:ascii="Times New Roman" w:hAnsi="Times New Roman" w:cs="Times New Roman"/>
              </w:rPr>
              <w:t>7%</w:t>
            </w:r>
          </w:p>
        </w:tc>
        <w:tc>
          <w:tcPr>
            <w:tcW w:w="0" w:type="auto"/>
          </w:tcPr>
          <w:p w14:paraId="4161E75D">
            <w:pPr>
              <w:spacing w:line="240" w:lineRule="auto"/>
              <w:rPr>
                <w:rFonts w:ascii="Times New Roman" w:hAnsi="Times New Roman" w:cs="Times New Roman"/>
              </w:rPr>
            </w:pPr>
            <w:r>
              <w:rPr>
                <w:rFonts w:ascii="Times New Roman" w:hAnsi="Times New Roman" w:cs="Times New Roman"/>
              </w:rPr>
              <w:t>£1.31m</w:t>
            </w:r>
          </w:p>
        </w:tc>
        <w:tc>
          <w:tcPr>
            <w:tcW w:w="0" w:type="auto"/>
          </w:tcPr>
          <w:p w14:paraId="1A046AE5">
            <w:pPr>
              <w:spacing w:line="240" w:lineRule="auto"/>
              <w:rPr>
                <w:rFonts w:ascii="Times New Roman" w:hAnsi="Times New Roman" w:cs="Times New Roman"/>
              </w:rPr>
            </w:pPr>
            <w:r>
              <w:rPr>
                <w:rFonts w:ascii="Times New Roman" w:hAnsi="Times New Roman" w:cs="Times New Roman"/>
              </w:rPr>
              <w:t>1.033</w:t>
            </w:r>
          </w:p>
        </w:tc>
        <w:tc>
          <w:tcPr>
            <w:tcW w:w="0" w:type="auto"/>
          </w:tcPr>
          <w:p w14:paraId="56DD6E5F">
            <w:pPr>
              <w:spacing w:line="240" w:lineRule="auto"/>
              <w:rPr>
                <w:rFonts w:ascii="Times New Roman" w:hAnsi="Times New Roman" w:cs="Times New Roman"/>
              </w:rPr>
            </w:pPr>
            <w:r>
              <w:rPr>
                <w:rFonts w:ascii="Times New Roman" w:hAnsi="Times New Roman" w:cs="Times New Roman"/>
              </w:rPr>
              <w:t>11.7%</w:t>
            </w:r>
          </w:p>
        </w:tc>
      </w:tr>
      <w:tr w14:paraId="3186C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0" w:type="auto"/>
          </w:tcPr>
          <w:p w14:paraId="531F9B07">
            <w:pPr>
              <w:spacing w:line="240" w:lineRule="auto"/>
              <w:rPr>
                <w:rFonts w:ascii="Times New Roman" w:hAnsi="Times New Roman" w:cs="Times New Roman"/>
              </w:rPr>
            </w:pPr>
            <w:r>
              <w:rPr>
                <w:rFonts w:ascii="Times New Roman" w:hAnsi="Times New Roman" w:cs="Times New Roman"/>
              </w:rPr>
              <w:t>B</w:t>
            </w:r>
          </w:p>
        </w:tc>
        <w:tc>
          <w:tcPr>
            <w:tcW w:w="0" w:type="auto"/>
          </w:tcPr>
          <w:p w14:paraId="5E86F368">
            <w:pPr>
              <w:spacing w:line="240" w:lineRule="auto"/>
              <w:rPr>
                <w:rFonts w:ascii="Times New Roman" w:hAnsi="Times New Roman" w:cs="Times New Roman"/>
              </w:rPr>
            </w:pPr>
            <w:r>
              <w:rPr>
                <w:rFonts w:ascii="Times New Roman" w:hAnsi="Times New Roman" w:cs="Times New Roman"/>
              </w:rPr>
              <w:t>5.0 yrs</w:t>
            </w:r>
          </w:p>
        </w:tc>
        <w:tc>
          <w:tcPr>
            <w:tcW w:w="0" w:type="auto"/>
          </w:tcPr>
          <w:p w14:paraId="222A89A6">
            <w:pPr>
              <w:spacing w:line="240" w:lineRule="auto"/>
              <w:rPr>
                <w:rFonts w:ascii="Times New Roman" w:hAnsi="Times New Roman" w:cs="Times New Roman"/>
              </w:rPr>
            </w:pPr>
            <w:r>
              <w:rPr>
                <w:rFonts w:ascii="Times New Roman" w:hAnsi="Times New Roman" w:cs="Times New Roman"/>
              </w:rPr>
              <w:t>0%</w:t>
            </w:r>
          </w:p>
        </w:tc>
        <w:tc>
          <w:tcPr>
            <w:tcW w:w="0" w:type="auto"/>
          </w:tcPr>
          <w:p w14:paraId="0336C3BC">
            <w:pPr>
              <w:spacing w:line="240" w:lineRule="auto"/>
              <w:rPr>
                <w:rFonts w:ascii="Times New Roman" w:hAnsi="Times New Roman" w:cs="Times New Roman"/>
              </w:rPr>
            </w:pPr>
            <w:r>
              <w:rPr>
                <w:rFonts w:ascii="Times New Roman" w:hAnsi="Times New Roman" w:cs="Times New Roman"/>
              </w:rPr>
              <w:t>–£7.25m</w:t>
            </w:r>
          </w:p>
        </w:tc>
        <w:tc>
          <w:tcPr>
            <w:tcW w:w="0" w:type="auto"/>
          </w:tcPr>
          <w:p w14:paraId="468ED15B">
            <w:pPr>
              <w:spacing w:line="240" w:lineRule="auto"/>
              <w:rPr>
                <w:rFonts w:ascii="Times New Roman" w:hAnsi="Times New Roman" w:cs="Times New Roman"/>
              </w:rPr>
            </w:pPr>
            <w:r>
              <w:rPr>
                <w:rFonts w:ascii="Times New Roman" w:hAnsi="Times New Roman" w:cs="Times New Roman"/>
              </w:rPr>
              <w:t>0.758</w:t>
            </w:r>
          </w:p>
        </w:tc>
        <w:tc>
          <w:tcPr>
            <w:tcW w:w="0" w:type="auto"/>
          </w:tcPr>
          <w:p w14:paraId="1B32DEC5">
            <w:pPr>
              <w:spacing w:line="240" w:lineRule="auto"/>
              <w:rPr>
                <w:rFonts w:ascii="Times New Roman" w:hAnsi="Times New Roman" w:cs="Times New Roman"/>
              </w:rPr>
            </w:pPr>
            <w:r>
              <w:rPr>
                <w:rFonts w:ascii="Times New Roman" w:hAnsi="Times New Roman" w:cs="Times New Roman"/>
              </w:rPr>
              <w:t>≈0%</w:t>
            </w:r>
          </w:p>
        </w:tc>
      </w:tr>
      <w:tr w14:paraId="79D65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0" w:type="auto"/>
          </w:tcPr>
          <w:p w14:paraId="19780E94">
            <w:pPr>
              <w:spacing w:line="240" w:lineRule="auto"/>
              <w:rPr>
                <w:rFonts w:ascii="Times New Roman" w:hAnsi="Times New Roman" w:cs="Times New Roman"/>
              </w:rPr>
            </w:pPr>
            <w:r>
              <w:rPr>
                <w:rFonts w:ascii="Times New Roman" w:hAnsi="Times New Roman" w:cs="Times New Roman"/>
              </w:rPr>
              <w:t>C</w:t>
            </w:r>
          </w:p>
        </w:tc>
        <w:tc>
          <w:tcPr>
            <w:tcW w:w="0" w:type="auto"/>
          </w:tcPr>
          <w:p w14:paraId="3DF9D0C8">
            <w:pPr>
              <w:spacing w:line="240" w:lineRule="auto"/>
              <w:rPr>
                <w:rFonts w:ascii="Times New Roman" w:hAnsi="Times New Roman" w:cs="Times New Roman"/>
              </w:rPr>
            </w:pPr>
            <w:r>
              <w:rPr>
                <w:rFonts w:ascii="Times New Roman" w:hAnsi="Times New Roman" w:cs="Times New Roman"/>
              </w:rPr>
              <w:t>3.6 yrs</w:t>
            </w:r>
          </w:p>
        </w:tc>
        <w:tc>
          <w:tcPr>
            <w:tcW w:w="0" w:type="auto"/>
          </w:tcPr>
          <w:p w14:paraId="270DD1AA">
            <w:pPr>
              <w:spacing w:line="240" w:lineRule="auto"/>
              <w:rPr>
                <w:rFonts w:ascii="Times New Roman" w:hAnsi="Times New Roman" w:cs="Times New Roman"/>
              </w:rPr>
            </w:pPr>
            <w:r>
              <w:rPr>
                <w:rFonts w:ascii="Times New Roman" w:hAnsi="Times New Roman" w:cs="Times New Roman"/>
              </w:rPr>
              <w:t>10%</w:t>
            </w:r>
          </w:p>
        </w:tc>
        <w:tc>
          <w:tcPr>
            <w:tcW w:w="0" w:type="auto"/>
          </w:tcPr>
          <w:p w14:paraId="074AC30E">
            <w:pPr>
              <w:spacing w:line="240" w:lineRule="auto"/>
              <w:rPr>
                <w:rFonts w:ascii="Times New Roman" w:hAnsi="Times New Roman" w:cs="Times New Roman"/>
              </w:rPr>
            </w:pPr>
            <w:r>
              <w:rPr>
                <w:rFonts w:ascii="Times New Roman" w:hAnsi="Times New Roman" w:cs="Times New Roman"/>
              </w:rPr>
              <w:t>£4.23m</w:t>
            </w:r>
          </w:p>
        </w:tc>
        <w:tc>
          <w:tcPr>
            <w:tcW w:w="0" w:type="auto"/>
          </w:tcPr>
          <w:p w14:paraId="2E4292D3">
            <w:pPr>
              <w:spacing w:line="240" w:lineRule="auto"/>
              <w:rPr>
                <w:rFonts w:ascii="Times New Roman" w:hAnsi="Times New Roman" w:cs="Times New Roman"/>
              </w:rPr>
            </w:pPr>
            <w:r>
              <w:rPr>
                <w:rFonts w:ascii="Times New Roman" w:hAnsi="Times New Roman" w:cs="Times New Roman"/>
              </w:rPr>
              <w:t>1.085</w:t>
            </w:r>
          </w:p>
        </w:tc>
        <w:tc>
          <w:tcPr>
            <w:tcW w:w="0" w:type="auto"/>
          </w:tcPr>
          <w:p w14:paraId="3D7CE401">
            <w:pPr>
              <w:spacing w:line="240" w:lineRule="auto"/>
              <w:rPr>
                <w:rFonts w:ascii="Times New Roman" w:hAnsi="Times New Roman" w:cs="Times New Roman"/>
              </w:rPr>
            </w:pPr>
            <w:r>
              <w:rPr>
                <w:rFonts w:ascii="Times New Roman" w:hAnsi="Times New Roman" w:cs="Times New Roman"/>
              </w:rPr>
              <w:t>13.6%</w:t>
            </w:r>
          </w:p>
        </w:tc>
      </w:tr>
    </w:tbl>
    <w:p w14:paraId="40391C5F">
      <w:pPr>
        <w:pStyle w:val="4"/>
        <w:rPr>
          <w:rFonts w:ascii="Times New Roman" w:hAnsi="Times New Roman" w:cs="Times New Roman"/>
          <w:b w:val="0"/>
          <w:bCs w:val="0"/>
          <w:sz w:val="24"/>
          <w:szCs w:val="24"/>
        </w:rPr>
      </w:pPr>
      <w:bookmarkStart w:id="44" w:name="_Toc217080771"/>
      <w:r>
        <w:rPr>
          <w:rStyle w:val="36"/>
          <w:rFonts w:ascii="Times New Roman" w:hAnsi="Times New Roman" w:cs="Times New Roman"/>
          <w:b/>
          <w:bCs/>
          <w:sz w:val="24"/>
          <w:szCs w:val="24"/>
        </w:rPr>
        <w:t>Overall Ranking:</w:t>
      </w:r>
      <w:bookmarkEnd w:id="44"/>
    </w:p>
    <w:p w14:paraId="6F07B7B6">
      <w:pPr>
        <w:pStyle w:val="34"/>
        <w:numPr>
          <w:ilvl w:val="0"/>
          <w:numId w:val="14"/>
        </w:numPr>
      </w:pPr>
      <w:r>
        <w:rPr>
          <w:rStyle w:val="36"/>
        </w:rPr>
        <w:t>Project C</w:t>
      </w:r>
      <w:r>
        <w:t xml:space="preserve"> – Strongest investment metrics</w:t>
      </w:r>
    </w:p>
    <w:p w14:paraId="3043C2DD">
      <w:pPr>
        <w:pStyle w:val="34"/>
        <w:numPr>
          <w:ilvl w:val="0"/>
          <w:numId w:val="14"/>
        </w:numPr>
      </w:pPr>
      <w:r>
        <w:rPr>
          <w:rStyle w:val="36"/>
        </w:rPr>
        <w:t>Project A</w:t>
      </w:r>
      <w:r>
        <w:t xml:space="preserve"> – Acceptable, but weaker than C</w:t>
      </w:r>
    </w:p>
    <w:p w14:paraId="03236CAF">
      <w:pPr>
        <w:pStyle w:val="34"/>
        <w:numPr>
          <w:ilvl w:val="0"/>
          <w:numId w:val="14"/>
        </w:numPr>
      </w:pPr>
      <w:r>
        <w:rPr>
          <w:rStyle w:val="36"/>
        </w:rPr>
        <w:t>Project B</w:t>
      </w:r>
      <w:r>
        <w:t xml:space="preserve"> – Should be rejected (negative NPV, long PBP, low returns)</w:t>
      </w:r>
    </w:p>
    <w:p w14:paraId="43C047E5">
      <w:pPr>
        <w:pStyle w:val="2"/>
        <w:rPr>
          <w:rFonts w:ascii="Times New Roman" w:hAnsi="Times New Roman" w:cs="Times New Roman"/>
          <w:sz w:val="32"/>
          <w:szCs w:val="32"/>
        </w:rPr>
      </w:pPr>
      <w:bookmarkStart w:id="45" w:name="_Toc217080772"/>
      <w:r>
        <w:rPr>
          <w:rStyle w:val="36"/>
          <w:rFonts w:ascii="Times New Roman" w:hAnsi="Times New Roman" w:cs="Times New Roman"/>
          <w:b/>
          <w:bCs/>
          <w:sz w:val="32"/>
          <w:szCs w:val="32"/>
        </w:rPr>
        <w:t>4.7 Capital Rationing Decision (Maximum £60m available)</w:t>
      </w:r>
      <w:bookmarkEnd w:id="45"/>
    </w:p>
    <w:tbl>
      <w:tblPr>
        <w:tblStyle w:val="38"/>
        <w:tblW w:w="3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4"/>
        <w:gridCol w:w="1431"/>
      </w:tblGrid>
      <w:tr w14:paraId="72651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0" w:type="auto"/>
          </w:tcPr>
          <w:p w14:paraId="0068EC9F">
            <w:pPr>
              <w:spacing w:line="240" w:lineRule="auto"/>
              <w:jc w:val="center"/>
              <w:rPr>
                <w:rFonts w:ascii="Times New Roman" w:hAnsi="Times New Roman" w:cs="Times New Roman"/>
                <w:b/>
                <w:bCs/>
              </w:rPr>
            </w:pPr>
            <w:r>
              <w:rPr>
                <w:rFonts w:ascii="Times New Roman" w:hAnsi="Times New Roman" w:cs="Times New Roman"/>
                <w:b/>
                <w:bCs/>
              </w:rPr>
              <w:t>Project</w:t>
            </w:r>
          </w:p>
        </w:tc>
        <w:tc>
          <w:tcPr>
            <w:tcW w:w="0" w:type="auto"/>
          </w:tcPr>
          <w:p w14:paraId="30E91FED">
            <w:pPr>
              <w:spacing w:line="240" w:lineRule="auto"/>
              <w:jc w:val="center"/>
              <w:rPr>
                <w:rFonts w:ascii="Times New Roman" w:hAnsi="Times New Roman" w:cs="Times New Roman"/>
                <w:b/>
                <w:bCs/>
              </w:rPr>
            </w:pPr>
            <w:r>
              <w:rPr>
                <w:rFonts w:ascii="Times New Roman" w:hAnsi="Times New Roman" w:cs="Times New Roman"/>
                <w:b/>
                <w:bCs/>
              </w:rPr>
              <w:t>Cost</w:t>
            </w:r>
          </w:p>
        </w:tc>
      </w:tr>
      <w:tr w14:paraId="7418D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0" w:type="auto"/>
          </w:tcPr>
          <w:p w14:paraId="7346A73C">
            <w:pPr>
              <w:spacing w:line="240" w:lineRule="auto"/>
              <w:jc w:val="center"/>
              <w:rPr>
                <w:rFonts w:ascii="Times New Roman" w:hAnsi="Times New Roman" w:cs="Times New Roman"/>
              </w:rPr>
            </w:pPr>
            <w:r>
              <w:rPr>
                <w:rFonts w:ascii="Times New Roman" w:hAnsi="Times New Roman" w:cs="Times New Roman"/>
              </w:rPr>
              <w:t>A</w:t>
            </w:r>
          </w:p>
        </w:tc>
        <w:tc>
          <w:tcPr>
            <w:tcW w:w="0" w:type="auto"/>
          </w:tcPr>
          <w:p w14:paraId="727FA349">
            <w:pPr>
              <w:spacing w:line="240" w:lineRule="auto"/>
              <w:jc w:val="center"/>
              <w:rPr>
                <w:rFonts w:ascii="Times New Roman" w:hAnsi="Times New Roman" w:cs="Times New Roman"/>
              </w:rPr>
            </w:pPr>
            <w:r>
              <w:rPr>
                <w:rFonts w:ascii="Times New Roman" w:hAnsi="Times New Roman" w:cs="Times New Roman"/>
              </w:rPr>
              <w:t>£40m</w:t>
            </w:r>
          </w:p>
        </w:tc>
      </w:tr>
      <w:tr w14:paraId="6A1E7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0" w:type="auto"/>
          </w:tcPr>
          <w:p w14:paraId="1000571F">
            <w:pPr>
              <w:spacing w:line="240" w:lineRule="auto"/>
              <w:jc w:val="center"/>
              <w:rPr>
                <w:rFonts w:ascii="Times New Roman" w:hAnsi="Times New Roman" w:cs="Times New Roman"/>
              </w:rPr>
            </w:pPr>
            <w:r>
              <w:rPr>
                <w:rFonts w:ascii="Times New Roman" w:hAnsi="Times New Roman" w:cs="Times New Roman"/>
              </w:rPr>
              <w:t>B</w:t>
            </w:r>
          </w:p>
        </w:tc>
        <w:tc>
          <w:tcPr>
            <w:tcW w:w="0" w:type="auto"/>
          </w:tcPr>
          <w:p w14:paraId="4085689E">
            <w:pPr>
              <w:spacing w:line="240" w:lineRule="auto"/>
              <w:jc w:val="center"/>
              <w:rPr>
                <w:rFonts w:ascii="Times New Roman" w:hAnsi="Times New Roman" w:cs="Times New Roman"/>
              </w:rPr>
            </w:pPr>
            <w:r>
              <w:rPr>
                <w:rFonts w:ascii="Times New Roman" w:hAnsi="Times New Roman" w:cs="Times New Roman"/>
              </w:rPr>
              <w:t>£30m</w:t>
            </w:r>
          </w:p>
        </w:tc>
      </w:tr>
      <w:tr w14:paraId="19618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0" w:type="auto"/>
          </w:tcPr>
          <w:p w14:paraId="26416EBA">
            <w:pPr>
              <w:spacing w:line="240" w:lineRule="auto"/>
              <w:jc w:val="center"/>
              <w:rPr>
                <w:rFonts w:ascii="Times New Roman" w:hAnsi="Times New Roman" w:cs="Times New Roman"/>
              </w:rPr>
            </w:pPr>
            <w:r>
              <w:rPr>
                <w:rFonts w:ascii="Times New Roman" w:hAnsi="Times New Roman" w:cs="Times New Roman"/>
              </w:rPr>
              <w:t>C</w:t>
            </w:r>
          </w:p>
        </w:tc>
        <w:tc>
          <w:tcPr>
            <w:tcW w:w="0" w:type="auto"/>
          </w:tcPr>
          <w:p w14:paraId="28DE8E62">
            <w:pPr>
              <w:spacing w:line="240" w:lineRule="auto"/>
              <w:jc w:val="center"/>
              <w:rPr>
                <w:rFonts w:ascii="Times New Roman" w:hAnsi="Times New Roman" w:cs="Times New Roman"/>
              </w:rPr>
            </w:pPr>
            <w:r>
              <w:rPr>
                <w:rFonts w:ascii="Times New Roman" w:hAnsi="Times New Roman" w:cs="Times New Roman"/>
              </w:rPr>
              <w:t>£50m</w:t>
            </w:r>
          </w:p>
        </w:tc>
      </w:tr>
    </w:tbl>
    <w:p w14:paraId="4526F2B3">
      <w:pPr>
        <w:pStyle w:val="34"/>
      </w:pPr>
      <w:r>
        <w:t>We can choose:</w:t>
      </w:r>
    </w:p>
    <w:p w14:paraId="4DB033B2">
      <w:pPr>
        <w:pStyle w:val="34"/>
        <w:numPr>
          <w:ilvl w:val="0"/>
          <w:numId w:val="15"/>
        </w:numPr>
      </w:pPr>
      <w:r>
        <w:rPr>
          <w:rStyle w:val="36"/>
        </w:rPr>
        <w:t>A + B = £70m (Not allowed)</w:t>
      </w:r>
    </w:p>
    <w:p w14:paraId="5225894D">
      <w:pPr>
        <w:pStyle w:val="34"/>
        <w:numPr>
          <w:ilvl w:val="0"/>
          <w:numId w:val="15"/>
        </w:numPr>
      </w:pPr>
      <w:r>
        <w:rPr>
          <w:rStyle w:val="36"/>
        </w:rPr>
        <w:t>A + C = £90m (Not allowed)</w:t>
      </w:r>
    </w:p>
    <w:p w14:paraId="2F11CBF7">
      <w:pPr>
        <w:pStyle w:val="34"/>
        <w:numPr>
          <w:ilvl w:val="0"/>
          <w:numId w:val="15"/>
        </w:numPr>
      </w:pPr>
      <w:r>
        <w:rPr>
          <w:rStyle w:val="36"/>
        </w:rPr>
        <w:t>B + C = £80m (Not allowed)</w:t>
      </w:r>
    </w:p>
    <w:p w14:paraId="1B907DDB">
      <w:pPr>
        <w:pStyle w:val="34"/>
        <w:numPr>
          <w:ilvl w:val="0"/>
          <w:numId w:val="15"/>
        </w:numPr>
      </w:pPr>
      <w:r>
        <w:rPr>
          <w:rStyle w:val="36"/>
        </w:rPr>
        <w:t>Only one project can be chosen</w:t>
      </w:r>
    </w:p>
    <w:p w14:paraId="55331334">
      <w:pPr>
        <w:pStyle w:val="34"/>
      </w:pPr>
      <w:r>
        <w:t>Thus, GENERAL ELECTRONICS must choose only one investment.</w:t>
      </w:r>
    </w:p>
    <w:p w14:paraId="6DB89F03">
      <w:pPr>
        <w:pStyle w:val="34"/>
      </w:pPr>
      <w:r>
        <w:rPr>
          <w:rStyle w:val="36"/>
        </w:rPr>
        <w:t>The best stand-alone project is Project C</w:t>
      </w:r>
      <w:r>
        <w:t>, because:</w:t>
      </w:r>
    </w:p>
    <w:p w14:paraId="1C999059">
      <w:pPr>
        <w:pStyle w:val="34"/>
        <w:numPr>
          <w:ilvl w:val="0"/>
          <w:numId w:val="16"/>
        </w:numPr>
      </w:pPr>
      <w:r>
        <w:t>Highest NPV</w:t>
      </w:r>
    </w:p>
    <w:p w14:paraId="388BC3D3">
      <w:pPr>
        <w:pStyle w:val="34"/>
        <w:numPr>
          <w:ilvl w:val="0"/>
          <w:numId w:val="16"/>
        </w:numPr>
      </w:pPr>
      <w:r>
        <w:t>Highest PI</w:t>
      </w:r>
    </w:p>
    <w:p w14:paraId="3BFCC06A">
      <w:pPr>
        <w:pStyle w:val="34"/>
        <w:numPr>
          <w:ilvl w:val="0"/>
          <w:numId w:val="16"/>
        </w:numPr>
      </w:pPr>
      <w:r>
        <w:t>Highest ARR</w:t>
      </w:r>
    </w:p>
    <w:p w14:paraId="0BFA7230">
      <w:pPr>
        <w:pStyle w:val="34"/>
        <w:numPr>
          <w:ilvl w:val="0"/>
          <w:numId w:val="16"/>
        </w:numPr>
      </w:pPr>
      <w:r>
        <w:t>Highest IRR</w:t>
      </w:r>
    </w:p>
    <w:p w14:paraId="2B7E76AA">
      <w:pPr>
        <w:pStyle w:val="34"/>
      </w:pPr>
      <w:r>
        <w:t>Even though it has a slightly longer payback than A, its value creation is significantly superior.</w:t>
      </w:r>
    </w:p>
    <w:p w14:paraId="1B1A503B">
      <w:pPr>
        <w:pStyle w:val="34"/>
      </w:pPr>
      <w:r>
        <w:rPr>
          <w:rStyle w:val="36"/>
        </w:rPr>
        <w:t>Therefore, under capital rationing, the rational choice is Invest in Project exclusively.</w:t>
      </w:r>
    </w:p>
    <w:p w14:paraId="108150F7">
      <w:pPr>
        <w:pStyle w:val="2"/>
        <w:rPr>
          <w:rFonts w:ascii="Times New Roman" w:hAnsi="Times New Roman" w:cs="Times New Roman"/>
          <w:sz w:val="32"/>
          <w:szCs w:val="32"/>
        </w:rPr>
      </w:pPr>
      <w:bookmarkStart w:id="46" w:name="_Toc217080773"/>
      <w:r>
        <w:rPr>
          <w:rStyle w:val="36"/>
          <w:rFonts w:ascii="Times New Roman" w:hAnsi="Times New Roman" w:cs="Times New Roman"/>
          <w:b/>
          <w:bCs/>
          <w:sz w:val="32"/>
          <w:szCs w:val="32"/>
        </w:rPr>
        <w:t>4.8 Strategic Justification Linked to GENERAL ELECTRONICS ’s Financial Health</w:t>
      </w:r>
      <w:bookmarkEnd w:id="46"/>
    </w:p>
    <w:p w14:paraId="1F6160BD">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financial position of GENERAL ELECTRONICS is quite weak, with negative profitability in 2023-2024, high leverage, poor interest coverage, and extremely poor liquidity - indicated by a quick ratio less than 1.0 and a cash ratio of 0.17. The high level of financial risk is also indicated by slow-working capital cycles (DSO is 105 days), as well as a gr</w:t>
      </w:r>
      <w:r>
        <w:rPr>
          <w:rFonts w:hint="default" w:ascii="Times New Roman" w:hAnsi="Times New Roman" w:eastAsia="Times New Roman" w:cs="Times New Roman"/>
          <w:sz w:val="24"/>
          <w:szCs w:val="24"/>
          <w:lang w:val="en-US" w:eastAsia="en-GB"/>
        </w:rPr>
        <w:t>a</w:t>
      </w:r>
      <w:r>
        <w:rPr>
          <w:rFonts w:ascii="Times New Roman" w:hAnsi="Times New Roman" w:eastAsia="Times New Roman" w:cs="Times New Roman"/>
          <w:sz w:val="24"/>
          <w:szCs w:val="24"/>
          <w:lang w:val="en-GB" w:eastAsia="en-GB"/>
        </w:rPr>
        <w:t xml:space="preserve">y-zone Altman Z-score of 2.11. Under this desperate stance, investment choices should be based on a high value creation and low risk </w:t>
      </w:r>
      <w:r>
        <w:rPr>
          <w:rFonts w:ascii="Times New Roman" w:hAnsi="Times New Roman" w:eastAsia="Times New Roman" w:cs="Times New Roman"/>
          <w:sz w:val="24"/>
          <w:szCs w:val="24"/>
          <w:lang w:eastAsia="en-GB"/>
        </w:rPr>
        <w:t>(Drury, 2021)</w:t>
      </w:r>
      <w:r>
        <w:rPr>
          <w:rFonts w:ascii="Times New Roman" w:hAnsi="Times New Roman" w:eastAsia="Times New Roman" w:cs="Times New Roman"/>
          <w:sz w:val="24"/>
          <w:szCs w:val="24"/>
          <w:lang w:val="en-GB" w:eastAsia="en-GB"/>
        </w:rPr>
        <w:t>.</w:t>
      </w:r>
    </w:p>
    <w:p w14:paraId="2803ECA0">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Project C is the most adequate in this regard. It provides the best NPV (PS 4.23m), PI (1.085) and an IRR of 13.6 which is far much higher than the 10% cost of capital and therefore most effective utilization of scarce capital. Its cash flows increase drastically in Years 3 and 4, which will help in the recovery of cash in the medium term when restructuring has been made. These lower early inflows and stronger later inflows pattern also alleviates urgent liquidity pressure as well as is consistent with anticipated better working capital </w:t>
      </w:r>
      <w:r>
        <w:rPr>
          <w:rFonts w:ascii="Times New Roman" w:hAnsi="Times New Roman" w:eastAsia="Times New Roman" w:cs="Times New Roman"/>
          <w:sz w:val="24"/>
          <w:szCs w:val="24"/>
          <w:lang w:eastAsia="en-GB"/>
        </w:rPr>
        <w:t>(PwC, 2023)</w:t>
      </w:r>
      <w:r>
        <w:rPr>
          <w:rFonts w:ascii="Times New Roman" w:hAnsi="Times New Roman" w:eastAsia="Times New Roman" w:cs="Times New Roman"/>
          <w:sz w:val="24"/>
          <w:szCs w:val="24"/>
          <w:lang w:val="en-GB" w:eastAsia="en-GB"/>
        </w:rPr>
        <w:t>.</w:t>
      </w:r>
    </w:p>
    <w:p w14:paraId="10947ECE">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Project A is a good one but less appealing with much lower value creation and poor ARR. With a lot of capital, would be the best choice but this is not so because of limitations. Project B that had negative NPV, low PI, zero ARR and long payback could not fit in the poor financial position of the firm.</w:t>
      </w:r>
    </w:p>
    <w:p w14:paraId="362DC754">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Consequently, Project C is the best investment to consider in case of GENERAL ELECTRONICS due to its financial weaknesses at the moment.</w:t>
      </w:r>
    </w:p>
    <w:p w14:paraId="45D3C7DD">
      <w:pPr>
        <w:rPr>
          <w:rFonts w:ascii="Times New Roman" w:hAnsi="Times New Roman" w:eastAsia="Times New Roman" w:cs="Times New Roman"/>
          <w:sz w:val="24"/>
          <w:szCs w:val="24"/>
          <w:lang w:val="en-GB" w:eastAsia="en-GB"/>
        </w:rPr>
      </w:pPr>
    </w:p>
    <w:p w14:paraId="473B0A11">
      <w:pP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br w:type="page"/>
      </w:r>
    </w:p>
    <w:p w14:paraId="1B5DD080">
      <w:pPr>
        <w:pStyle w:val="2"/>
        <w:rPr>
          <w:rFonts w:ascii="Times New Roman" w:hAnsi="Times New Roman" w:cs="Times New Roman"/>
          <w:sz w:val="32"/>
          <w:szCs w:val="32"/>
          <w:lang w:val="en-GB" w:eastAsia="en-GB"/>
        </w:rPr>
      </w:pPr>
      <w:bookmarkStart w:id="47" w:name="_Toc217080774"/>
      <w:r>
        <w:rPr>
          <w:rFonts w:ascii="Times New Roman" w:hAnsi="Times New Roman" w:cs="Times New Roman"/>
          <w:sz w:val="32"/>
          <w:szCs w:val="32"/>
          <w:lang w:val="en-GB" w:eastAsia="en-GB"/>
        </w:rPr>
        <w:t>Conclusion</w:t>
      </w:r>
      <w:bookmarkEnd w:id="47"/>
    </w:p>
    <w:p w14:paraId="33591166">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GENERAL ELECTRONICS is experiencing severe financial problems, which are fuelled by the consistent losses, a deteriorating liquidity position, and ineffective working-capital management and increasing leverage. Its long Cash Operating Cycle has kept cash pinned in operations, thus forcing more reliance on short-term borrowing and making it more solvent. The restructuring plan should be in dividends over a period of time; strategic partnerships may be an option, as well as equity recapitalisation, and divestiture of non-core units are necessary to stabilise liquidity and financial strength </w:t>
      </w:r>
      <w:r>
        <w:rPr>
          <w:rFonts w:ascii="Times New Roman" w:hAnsi="Times New Roman" w:eastAsia="Times New Roman" w:cs="Times New Roman"/>
          <w:sz w:val="24"/>
          <w:szCs w:val="24"/>
          <w:lang w:eastAsia="en-GB"/>
        </w:rPr>
        <w:t>(PwC, 2023)</w:t>
      </w:r>
      <w:r>
        <w:rPr>
          <w:rFonts w:ascii="Times New Roman" w:hAnsi="Times New Roman" w:eastAsia="Times New Roman" w:cs="Times New Roman"/>
          <w:sz w:val="24"/>
          <w:szCs w:val="24"/>
          <w:lang w:val="en-GB" w:eastAsia="en-GB"/>
        </w:rPr>
        <w:t>. Project C becomes accretive of the highest value under capital rationing due to its high NPV, IRR and profitability ratios. When conducted adequately, such actions would enhance solvency and boost cash flow and recovery.</w:t>
      </w:r>
      <w:r>
        <w:rPr>
          <w:rFonts w:ascii="Times New Roman" w:hAnsi="Times New Roman" w:eastAsia="Times New Roman" w:cs="Times New Roman"/>
          <w:sz w:val="24"/>
          <w:szCs w:val="24"/>
          <w:lang w:val="en-GB" w:eastAsia="en-GB"/>
        </w:rPr>
        <w:br w:type="page"/>
      </w:r>
    </w:p>
    <w:p w14:paraId="5852C317">
      <w:pPr>
        <w:pStyle w:val="2"/>
        <w:rPr>
          <w:rFonts w:ascii="Times New Roman" w:hAnsi="Times New Roman" w:cs="Times New Roman"/>
          <w:sz w:val="32"/>
          <w:szCs w:val="32"/>
        </w:rPr>
      </w:pPr>
      <w:bookmarkStart w:id="48" w:name="_Toc217080775"/>
      <w:r>
        <w:rPr>
          <w:rFonts w:ascii="Times New Roman" w:hAnsi="Times New Roman" w:cs="Times New Roman"/>
          <w:sz w:val="32"/>
          <w:szCs w:val="32"/>
        </w:rPr>
        <w:t>References</w:t>
      </w:r>
      <w:bookmarkEnd w:id="48"/>
    </w:p>
    <w:p w14:paraId="0A7B120D">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Altman, E.I., Hotchkiss, E. and Wang, W. (2019) </w:t>
      </w:r>
      <w:r>
        <w:rPr>
          <w:rFonts w:ascii="Times New Roman" w:hAnsi="Times New Roman" w:cs="Times New Roman"/>
          <w:i/>
          <w:iCs/>
          <w:sz w:val="24"/>
          <w:szCs w:val="24"/>
          <w:lang w:val="en-GB"/>
        </w:rPr>
        <w:t>Corporate Financial Distress, Restructuring and Bankruptcy</w:t>
      </w:r>
      <w:r>
        <w:rPr>
          <w:rFonts w:ascii="Times New Roman" w:hAnsi="Times New Roman" w:cs="Times New Roman"/>
          <w:sz w:val="24"/>
          <w:szCs w:val="24"/>
          <w:lang w:val="en-GB"/>
        </w:rPr>
        <w:t>. 4th edn. Hoboken: Wiley.</w:t>
      </w:r>
    </w:p>
    <w:p w14:paraId="63C62EDD">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Arnold, G. (2019) </w:t>
      </w:r>
      <w:r>
        <w:rPr>
          <w:rFonts w:ascii="Times New Roman" w:hAnsi="Times New Roman" w:cs="Times New Roman"/>
          <w:i/>
          <w:iCs/>
          <w:sz w:val="24"/>
          <w:szCs w:val="24"/>
          <w:lang w:val="en-GB"/>
        </w:rPr>
        <w:t>Corporate Financial Management</w:t>
      </w:r>
      <w:r>
        <w:rPr>
          <w:rFonts w:ascii="Times New Roman" w:hAnsi="Times New Roman" w:cs="Times New Roman"/>
          <w:sz w:val="24"/>
          <w:szCs w:val="24"/>
          <w:lang w:val="en-GB"/>
        </w:rPr>
        <w:t>. 6th edn. Harlow: Pearson.</w:t>
      </w:r>
    </w:p>
    <w:p w14:paraId="4B813BEA">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Atrill, P. and McLaney, E. (2022) </w:t>
      </w:r>
      <w:r>
        <w:rPr>
          <w:rFonts w:ascii="Times New Roman" w:hAnsi="Times New Roman" w:cs="Times New Roman"/>
          <w:i/>
          <w:iCs/>
          <w:sz w:val="24"/>
          <w:szCs w:val="24"/>
          <w:lang w:val="en-GB"/>
        </w:rPr>
        <w:t>Financial Management for Decision Makers</w:t>
      </w:r>
      <w:r>
        <w:rPr>
          <w:rFonts w:ascii="Times New Roman" w:hAnsi="Times New Roman" w:cs="Times New Roman"/>
          <w:sz w:val="24"/>
          <w:szCs w:val="24"/>
          <w:lang w:val="en-GB"/>
        </w:rPr>
        <w:t>. 10th edn. Pearson.</w:t>
      </w:r>
    </w:p>
    <w:p w14:paraId="131E0313">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Bain &amp; Company (2023) </w:t>
      </w:r>
      <w:r>
        <w:rPr>
          <w:rFonts w:ascii="Times New Roman" w:hAnsi="Times New Roman" w:cs="Times New Roman"/>
          <w:i/>
          <w:iCs/>
          <w:sz w:val="24"/>
          <w:szCs w:val="24"/>
          <w:lang w:val="en-GB"/>
        </w:rPr>
        <w:t>Global M&amp;A Report</w:t>
      </w:r>
      <w:r>
        <w:rPr>
          <w:rFonts w:ascii="Times New Roman" w:hAnsi="Times New Roman" w:cs="Times New Roman"/>
          <w:sz w:val="24"/>
          <w:szCs w:val="24"/>
          <w:lang w:val="en-GB"/>
        </w:rPr>
        <w:t>. Boston: Bain &amp; Co.</w:t>
      </w:r>
    </w:p>
    <w:p w14:paraId="3E0C11B1">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Brigham, E.F. and Ehrhardt, M.C. (2022) </w:t>
      </w:r>
      <w:r>
        <w:rPr>
          <w:rFonts w:ascii="Times New Roman" w:hAnsi="Times New Roman" w:cs="Times New Roman"/>
          <w:i/>
          <w:iCs/>
          <w:sz w:val="24"/>
          <w:szCs w:val="24"/>
          <w:lang w:val="en-GB"/>
        </w:rPr>
        <w:t>Financial Management: Theory and Practice</w:t>
      </w:r>
      <w:r>
        <w:rPr>
          <w:rFonts w:ascii="Times New Roman" w:hAnsi="Times New Roman" w:cs="Times New Roman"/>
          <w:sz w:val="24"/>
          <w:szCs w:val="24"/>
          <w:lang w:val="en-GB"/>
        </w:rPr>
        <w:t>. 16th edn. Cengage.</w:t>
      </w:r>
    </w:p>
    <w:p w14:paraId="089126B3">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CFA Institute (2020) </w:t>
      </w:r>
      <w:r>
        <w:rPr>
          <w:rFonts w:ascii="Times New Roman" w:hAnsi="Times New Roman" w:cs="Times New Roman"/>
          <w:i/>
          <w:iCs/>
          <w:sz w:val="24"/>
          <w:szCs w:val="24"/>
          <w:lang w:val="en-GB"/>
        </w:rPr>
        <w:t>Corporate Finance and Portfolio Management</w:t>
      </w:r>
      <w:r>
        <w:rPr>
          <w:rFonts w:ascii="Times New Roman" w:hAnsi="Times New Roman" w:cs="Times New Roman"/>
          <w:sz w:val="24"/>
          <w:szCs w:val="24"/>
          <w:lang w:val="en-GB"/>
        </w:rPr>
        <w:t>. CFA Program Curriculum.</w:t>
      </w:r>
    </w:p>
    <w:p w14:paraId="5D4E6163">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Deloitte (2023) </w:t>
      </w:r>
      <w:r>
        <w:rPr>
          <w:rFonts w:ascii="Times New Roman" w:hAnsi="Times New Roman" w:cs="Times New Roman"/>
          <w:i/>
          <w:iCs/>
          <w:sz w:val="24"/>
          <w:szCs w:val="24"/>
          <w:lang w:val="en-GB"/>
        </w:rPr>
        <w:t>Global Working Capital Study</w:t>
      </w:r>
      <w:r>
        <w:rPr>
          <w:rFonts w:ascii="Times New Roman" w:hAnsi="Times New Roman" w:cs="Times New Roman"/>
          <w:sz w:val="24"/>
          <w:szCs w:val="24"/>
          <w:lang w:val="en-GB"/>
        </w:rPr>
        <w:t>. London: Deloitte.</w:t>
      </w:r>
    </w:p>
    <w:p w14:paraId="2A3569B3">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Drury, C. (2021) </w:t>
      </w:r>
      <w:r>
        <w:rPr>
          <w:rFonts w:ascii="Times New Roman" w:hAnsi="Times New Roman" w:cs="Times New Roman"/>
          <w:i/>
          <w:iCs/>
          <w:sz w:val="24"/>
          <w:szCs w:val="24"/>
          <w:lang w:val="en-GB"/>
        </w:rPr>
        <w:t>Management and Cost Accounting</w:t>
      </w:r>
      <w:r>
        <w:rPr>
          <w:rFonts w:ascii="Times New Roman" w:hAnsi="Times New Roman" w:cs="Times New Roman"/>
          <w:sz w:val="24"/>
          <w:szCs w:val="24"/>
          <w:lang w:val="en-GB"/>
        </w:rPr>
        <w:t>. 11th edn. Cengage.</w:t>
      </w:r>
    </w:p>
    <w:p w14:paraId="125C5278">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EY (2023) </w:t>
      </w:r>
      <w:r>
        <w:rPr>
          <w:rFonts w:ascii="Times New Roman" w:hAnsi="Times New Roman" w:cs="Times New Roman"/>
          <w:i/>
          <w:iCs/>
          <w:sz w:val="24"/>
          <w:szCs w:val="24"/>
          <w:lang w:val="en-GB"/>
        </w:rPr>
        <w:t>Global Corporate Divestment Study</w:t>
      </w:r>
      <w:r>
        <w:rPr>
          <w:rFonts w:ascii="Times New Roman" w:hAnsi="Times New Roman" w:cs="Times New Roman"/>
          <w:sz w:val="24"/>
          <w:szCs w:val="24"/>
          <w:lang w:val="en-GB"/>
        </w:rPr>
        <w:t>. Ernst &amp; Young.</w:t>
      </w:r>
    </w:p>
    <w:p w14:paraId="77EB9719">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Financial Times (2023) </w:t>
      </w:r>
      <w:r>
        <w:rPr>
          <w:rFonts w:ascii="Times New Roman" w:hAnsi="Times New Roman" w:cs="Times New Roman"/>
          <w:i/>
          <w:iCs/>
          <w:sz w:val="24"/>
          <w:szCs w:val="24"/>
          <w:lang w:val="en-GB"/>
        </w:rPr>
        <w:t>Global Electronics Industry Outlook</w:t>
      </w:r>
      <w:r>
        <w:rPr>
          <w:rFonts w:ascii="Times New Roman" w:hAnsi="Times New Roman" w:cs="Times New Roman"/>
          <w:sz w:val="24"/>
          <w:szCs w:val="24"/>
          <w:lang w:val="en-GB"/>
        </w:rPr>
        <w:t>. London: FT Research.</w:t>
      </w:r>
    </w:p>
    <w:p w14:paraId="2E0E6D68">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ICAEW (2022) </w:t>
      </w:r>
      <w:r>
        <w:rPr>
          <w:rFonts w:ascii="Times New Roman" w:hAnsi="Times New Roman" w:cs="Times New Roman"/>
          <w:i/>
          <w:iCs/>
          <w:sz w:val="24"/>
          <w:szCs w:val="24"/>
          <w:lang w:val="en-GB"/>
        </w:rPr>
        <w:t>Liquidity and Working Capital Management Guide</w:t>
      </w:r>
      <w:r>
        <w:rPr>
          <w:rFonts w:ascii="Times New Roman" w:hAnsi="Times New Roman" w:cs="Times New Roman"/>
          <w:sz w:val="24"/>
          <w:szCs w:val="24"/>
          <w:lang w:val="en-GB"/>
        </w:rPr>
        <w:t>. London: ICAEW.</w:t>
      </w:r>
    </w:p>
    <w:p w14:paraId="4ED5F6E1">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IFRS Foundation (2023) </w:t>
      </w:r>
      <w:r>
        <w:rPr>
          <w:rFonts w:ascii="Times New Roman" w:hAnsi="Times New Roman" w:cs="Times New Roman"/>
          <w:i/>
          <w:iCs/>
          <w:sz w:val="24"/>
          <w:szCs w:val="24"/>
          <w:lang w:val="en-GB"/>
        </w:rPr>
        <w:t>Conceptual Framework for Financial Reporting</w:t>
      </w:r>
      <w:r>
        <w:rPr>
          <w:rFonts w:ascii="Times New Roman" w:hAnsi="Times New Roman" w:cs="Times New Roman"/>
          <w:sz w:val="24"/>
          <w:szCs w:val="24"/>
          <w:lang w:val="en-GB"/>
        </w:rPr>
        <w:t>. London: IFRS.</w:t>
      </w:r>
    </w:p>
    <w:p w14:paraId="218E6360">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KPMG (2022) </w:t>
      </w:r>
      <w:r>
        <w:rPr>
          <w:rFonts w:ascii="Times New Roman" w:hAnsi="Times New Roman" w:cs="Times New Roman"/>
          <w:i/>
          <w:iCs/>
          <w:sz w:val="24"/>
          <w:szCs w:val="24"/>
          <w:lang w:val="en-GB"/>
        </w:rPr>
        <w:t>Restructuring and Turnaround Strategies Report</w:t>
      </w:r>
      <w:r>
        <w:rPr>
          <w:rFonts w:ascii="Times New Roman" w:hAnsi="Times New Roman" w:cs="Times New Roman"/>
          <w:sz w:val="24"/>
          <w:szCs w:val="24"/>
          <w:lang w:val="en-GB"/>
        </w:rPr>
        <w:t>. London: KPMG.</w:t>
      </w:r>
    </w:p>
    <w:p w14:paraId="690F74B3">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McKinsey &amp; Company (2023) </w:t>
      </w:r>
      <w:r>
        <w:rPr>
          <w:rFonts w:ascii="Times New Roman" w:hAnsi="Times New Roman" w:cs="Times New Roman"/>
          <w:i/>
          <w:iCs/>
          <w:sz w:val="24"/>
          <w:szCs w:val="24"/>
          <w:lang w:val="en-GB"/>
        </w:rPr>
        <w:t>Global Electronics Supply Chain and Competitiveness Report</w:t>
      </w:r>
      <w:r>
        <w:rPr>
          <w:rFonts w:ascii="Times New Roman" w:hAnsi="Times New Roman" w:cs="Times New Roman"/>
          <w:sz w:val="24"/>
          <w:szCs w:val="24"/>
          <w:lang w:val="en-GB"/>
        </w:rPr>
        <w:t>. New York: McKinsey.</w:t>
      </w:r>
    </w:p>
    <w:p w14:paraId="5265A326">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Moody’s Analytics (2023) </w:t>
      </w:r>
      <w:r>
        <w:rPr>
          <w:rFonts w:ascii="Times New Roman" w:hAnsi="Times New Roman" w:cs="Times New Roman"/>
          <w:i/>
          <w:iCs/>
          <w:sz w:val="24"/>
          <w:szCs w:val="24"/>
          <w:lang w:val="en-GB"/>
        </w:rPr>
        <w:t>Corporate Default and Credit Risk Outlook</w:t>
      </w:r>
      <w:r>
        <w:rPr>
          <w:rFonts w:ascii="Times New Roman" w:hAnsi="Times New Roman" w:cs="Times New Roman"/>
          <w:sz w:val="24"/>
          <w:szCs w:val="24"/>
          <w:lang w:val="en-GB"/>
        </w:rPr>
        <w:t>. New York: Moody’s.</w:t>
      </w:r>
    </w:p>
    <w:p w14:paraId="78FCDA24">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PwC (2023) </w:t>
      </w:r>
      <w:r>
        <w:rPr>
          <w:rFonts w:ascii="Times New Roman" w:hAnsi="Times New Roman" w:cs="Times New Roman"/>
          <w:i/>
          <w:iCs/>
          <w:sz w:val="24"/>
          <w:szCs w:val="24"/>
          <w:lang w:val="en-GB"/>
        </w:rPr>
        <w:t>Cash Flow and Liquidity Benchmarking Report</w:t>
      </w:r>
      <w:r>
        <w:rPr>
          <w:rFonts w:ascii="Times New Roman" w:hAnsi="Times New Roman" w:cs="Times New Roman"/>
          <w:sz w:val="24"/>
          <w:szCs w:val="24"/>
          <w:lang w:val="en-GB"/>
        </w:rPr>
        <w:t>. PricewaterhouseCoopers.</w:t>
      </w:r>
    </w:p>
    <w:p w14:paraId="22D55B0B">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Ross, S.A., Westerfield, R.W. and Jordan, B.D. (2020) </w:t>
      </w:r>
      <w:r>
        <w:rPr>
          <w:rFonts w:ascii="Times New Roman" w:hAnsi="Times New Roman" w:cs="Times New Roman"/>
          <w:i/>
          <w:iCs/>
          <w:sz w:val="24"/>
          <w:szCs w:val="24"/>
          <w:lang w:val="en-GB"/>
        </w:rPr>
        <w:t>Fundamentals of Corporate Finance</w:t>
      </w:r>
      <w:r>
        <w:rPr>
          <w:rFonts w:ascii="Times New Roman" w:hAnsi="Times New Roman" w:cs="Times New Roman"/>
          <w:sz w:val="24"/>
          <w:szCs w:val="24"/>
          <w:lang w:val="en-GB"/>
        </w:rPr>
        <w:t>. 13th edn. McGraw-Hill.</w:t>
      </w:r>
    </w:p>
    <w:p w14:paraId="0ABF2581">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S&amp;P Global (2024) </w:t>
      </w:r>
      <w:r>
        <w:rPr>
          <w:rFonts w:ascii="Times New Roman" w:hAnsi="Times New Roman" w:cs="Times New Roman"/>
          <w:i/>
          <w:iCs/>
          <w:sz w:val="24"/>
          <w:szCs w:val="24"/>
          <w:lang w:val="en-GB"/>
        </w:rPr>
        <w:t>Credit Risk Outlook for Global Electronics Sector</w:t>
      </w:r>
      <w:r>
        <w:rPr>
          <w:rFonts w:ascii="Times New Roman" w:hAnsi="Times New Roman" w:cs="Times New Roman"/>
          <w:sz w:val="24"/>
          <w:szCs w:val="24"/>
          <w:lang w:val="en-GB"/>
        </w:rPr>
        <w:t>. New York: S&amp;P.</w:t>
      </w:r>
    </w:p>
    <w:p w14:paraId="7AB654EC">
      <w:pPr>
        <w:rPr>
          <w:rFonts w:ascii="Times New Roman" w:hAnsi="Times New Roman" w:cs="Times New Roman" w:eastAsiaTheme="majorEastAsia"/>
          <w:b/>
          <w:bCs/>
          <w:color w:val="376092" w:themeColor="accent1" w:themeShade="BF"/>
          <w:sz w:val="28"/>
          <w:szCs w:val="28"/>
        </w:rPr>
      </w:pPr>
      <w:r>
        <w:rPr>
          <w:rFonts w:ascii="Times New Roman" w:hAnsi="Times New Roman" w:cs="Times New Roman"/>
        </w:rPr>
        <w:br w:type="page"/>
      </w:r>
    </w:p>
    <w:p w14:paraId="210C39E6">
      <w:pPr>
        <w:pStyle w:val="2"/>
        <w:rPr>
          <w:rFonts w:ascii="Times New Roman" w:hAnsi="Times New Roman" w:eastAsia="Times New Roman" w:cs="Times New Roman"/>
          <w:sz w:val="24"/>
          <w:szCs w:val="24"/>
          <w:lang w:val="en-GB" w:eastAsia="en-GB"/>
        </w:rPr>
      </w:pPr>
      <w:bookmarkStart w:id="49" w:name="_Toc217080776"/>
      <w:r>
        <w:rPr>
          <w:rFonts w:ascii="Times New Roman" w:hAnsi="Times New Roman" w:cs="Times New Roman"/>
        </w:rPr>
        <w:t>Appendix</w:t>
      </w:r>
      <w:bookmarkEnd w:id="49"/>
    </w:p>
    <w:p w14:paraId="0FCB5DE3">
      <w:pPr>
        <w:rPr>
          <w:rFonts w:ascii="Times New Roman" w:hAnsi="Times New Roman" w:cs="Times New Roman"/>
        </w:rPr>
      </w:pPr>
      <w:r>
        <w:rPr>
          <w:rFonts w:ascii="Times New Roman" w:hAnsi="Times New Roman" w:cs="Times New Roman"/>
        </w:rPr>
        <w:t>Table 1: Gross Profit Margin</w:t>
      </w:r>
    </w:p>
    <w:tbl>
      <w:tblPr>
        <w:tblStyle w:val="38"/>
        <w:tblW w:w="8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025"/>
        <w:gridCol w:w="1567"/>
        <w:gridCol w:w="1519"/>
        <w:gridCol w:w="2087"/>
        <w:gridCol w:w="1698"/>
      </w:tblGrid>
      <w:tr w14:paraId="2AA0E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0" w:type="auto"/>
          </w:tcPr>
          <w:p w14:paraId="18A2DCC1">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1B235FE3">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Sales</w:t>
            </w:r>
          </w:p>
        </w:tc>
        <w:tc>
          <w:tcPr>
            <w:tcW w:w="0" w:type="auto"/>
          </w:tcPr>
          <w:p w14:paraId="6DF35672">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Cost of Sales</w:t>
            </w:r>
          </w:p>
        </w:tc>
        <w:tc>
          <w:tcPr>
            <w:tcW w:w="0" w:type="auto"/>
          </w:tcPr>
          <w:p w14:paraId="42D346B1">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Gross Profit</w:t>
            </w:r>
          </w:p>
        </w:tc>
        <w:tc>
          <w:tcPr>
            <w:tcW w:w="0" w:type="auto"/>
          </w:tcPr>
          <w:p w14:paraId="1F721E0B">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Calculation</w:t>
            </w:r>
          </w:p>
        </w:tc>
        <w:tc>
          <w:tcPr>
            <w:tcW w:w="0" w:type="auto"/>
          </w:tcPr>
          <w:p w14:paraId="6BE65E8A">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Gross Margin</w:t>
            </w:r>
          </w:p>
        </w:tc>
      </w:tr>
      <w:tr w14:paraId="24A57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0" w:type="auto"/>
          </w:tcPr>
          <w:p w14:paraId="573DE3A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2020</w:t>
            </w:r>
          </w:p>
        </w:tc>
        <w:tc>
          <w:tcPr>
            <w:tcW w:w="0" w:type="auto"/>
          </w:tcPr>
          <w:p w14:paraId="0A49A61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614,680</w:t>
            </w:r>
          </w:p>
        </w:tc>
        <w:tc>
          <w:tcPr>
            <w:tcW w:w="0" w:type="auto"/>
          </w:tcPr>
          <w:p w14:paraId="6F61CCE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438,424</w:t>
            </w:r>
          </w:p>
        </w:tc>
        <w:tc>
          <w:tcPr>
            <w:tcW w:w="0" w:type="auto"/>
          </w:tcPr>
          <w:p w14:paraId="43BE542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176,256</w:t>
            </w:r>
          </w:p>
        </w:tc>
        <w:tc>
          <w:tcPr>
            <w:tcW w:w="0" w:type="auto"/>
          </w:tcPr>
          <w:p w14:paraId="67C4D75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176,256 ÷ 614,680</w:t>
            </w:r>
          </w:p>
        </w:tc>
        <w:tc>
          <w:tcPr>
            <w:tcW w:w="0" w:type="auto"/>
          </w:tcPr>
          <w:p w14:paraId="226924E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28.7%</w:t>
            </w:r>
          </w:p>
        </w:tc>
      </w:tr>
      <w:tr w14:paraId="04FDF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0" w:type="auto"/>
          </w:tcPr>
          <w:p w14:paraId="2DE9252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2021</w:t>
            </w:r>
          </w:p>
        </w:tc>
        <w:tc>
          <w:tcPr>
            <w:tcW w:w="0" w:type="auto"/>
          </w:tcPr>
          <w:p w14:paraId="7A8E5B7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601,602</w:t>
            </w:r>
          </w:p>
        </w:tc>
        <w:tc>
          <w:tcPr>
            <w:tcW w:w="0" w:type="auto"/>
          </w:tcPr>
          <w:p w14:paraId="2A03234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428,586</w:t>
            </w:r>
          </w:p>
        </w:tc>
        <w:tc>
          <w:tcPr>
            <w:tcW w:w="0" w:type="auto"/>
          </w:tcPr>
          <w:p w14:paraId="26D5B9E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173,016</w:t>
            </w:r>
          </w:p>
        </w:tc>
        <w:tc>
          <w:tcPr>
            <w:tcW w:w="0" w:type="auto"/>
          </w:tcPr>
          <w:p w14:paraId="37EEA78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173,016 ÷ 601,602</w:t>
            </w:r>
          </w:p>
        </w:tc>
        <w:tc>
          <w:tcPr>
            <w:tcW w:w="0" w:type="auto"/>
          </w:tcPr>
          <w:p w14:paraId="4E4A0CE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28.7%</w:t>
            </w:r>
          </w:p>
        </w:tc>
      </w:tr>
      <w:tr w14:paraId="010D0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0" w:type="auto"/>
          </w:tcPr>
          <w:p w14:paraId="408F4D7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2022</w:t>
            </w:r>
          </w:p>
        </w:tc>
        <w:tc>
          <w:tcPr>
            <w:tcW w:w="0" w:type="auto"/>
          </w:tcPr>
          <w:p w14:paraId="5F1ADD0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542,751</w:t>
            </w:r>
          </w:p>
        </w:tc>
        <w:tc>
          <w:tcPr>
            <w:tcW w:w="0" w:type="auto"/>
          </w:tcPr>
          <w:p w14:paraId="6339A4E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390,459</w:t>
            </w:r>
          </w:p>
        </w:tc>
        <w:tc>
          <w:tcPr>
            <w:tcW w:w="0" w:type="auto"/>
          </w:tcPr>
          <w:p w14:paraId="22BFB39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152,292</w:t>
            </w:r>
          </w:p>
        </w:tc>
        <w:tc>
          <w:tcPr>
            <w:tcW w:w="0" w:type="auto"/>
          </w:tcPr>
          <w:p w14:paraId="0AA382C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152,292 ÷ 542,751</w:t>
            </w:r>
          </w:p>
        </w:tc>
        <w:tc>
          <w:tcPr>
            <w:tcW w:w="0" w:type="auto"/>
          </w:tcPr>
          <w:p w14:paraId="030C3C1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28.1%</w:t>
            </w:r>
          </w:p>
        </w:tc>
      </w:tr>
      <w:tr w14:paraId="30629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0" w:type="auto"/>
          </w:tcPr>
          <w:p w14:paraId="507EB37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2023</w:t>
            </w:r>
          </w:p>
        </w:tc>
        <w:tc>
          <w:tcPr>
            <w:tcW w:w="0" w:type="auto"/>
          </w:tcPr>
          <w:p w14:paraId="0A37FDE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420,457</w:t>
            </w:r>
          </w:p>
        </w:tc>
        <w:tc>
          <w:tcPr>
            <w:tcW w:w="0" w:type="auto"/>
          </w:tcPr>
          <w:p w14:paraId="6CC6895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322,897</w:t>
            </w:r>
          </w:p>
        </w:tc>
        <w:tc>
          <w:tcPr>
            <w:tcW w:w="0" w:type="auto"/>
          </w:tcPr>
          <w:p w14:paraId="155447B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97,560</w:t>
            </w:r>
          </w:p>
        </w:tc>
        <w:tc>
          <w:tcPr>
            <w:tcW w:w="0" w:type="auto"/>
          </w:tcPr>
          <w:p w14:paraId="0D0D36D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97,560 ÷ 420,457</w:t>
            </w:r>
          </w:p>
        </w:tc>
        <w:tc>
          <w:tcPr>
            <w:tcW w:w="0" w:type="auto"/>
          </w:tcPr>
          <w:p w14:paraId="252F75B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23.2%</w:t>
            </w:r>
          </w:p>
        </w:tc>
      </w:tr>
      <w:tr w14:paraId="1324A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0" w:type="auto"/>
          </w:tcPr>
          <w:p w14:paraId="56DF0B4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2024</w:t>
            </w:r>
          </w:p>
        </w:tc>
        <w:tc>
          <w:tcPr>
            <w:tcW w:w="0" w:type="auto"/>
          </w:tcPr>
          <w:p w14:paraId="66B53CE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394,879</w:t>
            </w:r>
          </w:p>
        </w:tc>
        <w:tc>
          <w:tcPr>
            <w:tcW w:w="0" w:type="auto"/>
          </w:tcPr>
          <w:p w14:paraId="4642077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280,885</w:t>
            </w:r>
          </w:p>
        </w:tc>
        <w:tc>
          <w:tcPr>
            <w:tcW w:w="0" w:type="auto"/>
          </w:tcPr>
          <w:p w14:paraId="2D491D7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113,994</w:t>
            </w:r>
          </w:p>
        </w:tc>
        <w:tc>
          <w:tcPr>
            <w:tcW w:w="0" w:type="auto"/>
          </w:tcPr>
          <w:p w14:paraId="1486158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113,994 ÷ 394,879</w:t>
            </w:r>
          </w:p>
        </w:tc>
        <w:tc>
          <w:tcPr>
            <w:tcW w:w="0" w:type="auto"/>
          </w:tcPr>
          <w:p w14:paraId="0E2FB5A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28.9%</w:t>
            </w:r>
          </w:p>
        </w:tc>
      </w:tr>
    </w:tbl>
    <w:p w14:paraId="386C0120">
      <w:pPr>
        <w:rPr>
          <w:rFonts w:ascii="Times New Roman" w:hAnsi="Times New Roman" w:cs="Times New Roman"/>
        </w:rPr>
      </w:pPr>
    </w:p>
    <w:p w14:paraId="5133B070">
      <w:pPr>
        <w:rPr>
          <w:rFonts w:ascii="Times New Roman" w:hAnsi="Times New Roman" w:cs="Times New Roman"/>
        </w:rPr>
      </w:pPr>
    </w:p>
    <w:p w14:paraId="2F4D1A30">
      <w:pPr>
        <w:rPr>
          <w:rFonts w:ascii="Times New Roman" w:hAnsi="Times New Roman" w:cs="Times New Roman"/>
        </w:rPr>
      </w:pPr>
      <w:r>
        <w:rPr>
          <w:rFonts w:ascii="Times New Roman" w:hAnsi="Times New Roman" w:cs="Times New Roman"/>
        </w:rPr>
        <w:t>Table 2: Operating Profit Margin</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090"/>
        <w:gridCol w:w="996"/>
        <w:gridCol w:w="2044"/>
        <w:gridCol w:w="2103"/>
      </w:tblGrid>
      <w:tr w14:paraId="4FC76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F060152">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08195201">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Operating Income</w:t>
            </w:r>
          </w:p>
        </w:tc>
        <w:tc>
          <w:tcPr>
            <w:tcW w:w="0" w:type="auto"/>
          </w:tcPr>
          <w:p w14:paraId="45030CCB">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Sales</w:t>
            </w:r>
          </w:p>
        </w:tc>
        <w:tc>
          <w:tcPr>
            <w:tcW w:w="0" w:type="auto"/>
          </w:tcPr>
          <w:p w14:paraId="51502C68">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Calculation</w:t>
            </w:r>
          </w:p>
        </w:tc>
        <w:tc>
          <w:tcPr>
            <w:tcW w:w="0" w:type="auto"/>
          </w:tcPr>
          <w:p w14:paraId="3948B3AF">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Operating Margin</w:t>
            </w:r>
          </w:p>
        </w:tc>
      </w:tr>
      <w:tr w14:paraId="1CA67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96C98D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2020</w:t>
            </w:r>
          </w:p>
        </w:tc>
        <w:tc>
          <w:tcPr>
            <w:tcW w:w="0" w:type="auto"/>
          </w:tcPr>
          <w:p w14:paraId="7594BE8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37,267</w:t>
            </w:r>
          </w:p>
        </w:tc>
        <w:tc>
          <w:tcPr>
            <w:tcW w:w="0" w:type="auto"/>
          </w:tcPr>
          <w:p w14:paraId="028C6A9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614,680</w:t>
            </w:r>
          </w:p>
        </w:tc>
        <w:tc>
          <w:tcPr>
            <w:tcW w:w="0" w:type="auto"/>
          </w:tcPr>
          <w:p w14:paraId="51B3826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37,267 ÷ 614,680</w:t>
            </w:r>
          </w:p>
        </w:tc>
        <w:tc>
          <w:tcPr>
            <w:tcW w:w="0" w:type="auto"/>
          </w:tcPr>
          <w:p w14:paraId="18CAABB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6.1%</w:t>
            </w:r>
          </w:p>
        </w:tc>
      </w:tr>
      <w:tr w14:paraId="7A51C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D12FE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2021</w:t>
            </w:r>
          </w:p>
        </w:tc>
        <w:tc>
          <w:tcPr>
            <w:tcW w:w="0" w:type="auto"/>
          </w:tcPr>
          <w:p w14:paraId="7033EFA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23,253</w:t>
            </w:r>
          </w:p>
        </w:tc>
        <w:tc>
          <w:tcPr>
            <w:tcW w:w="0" w:type="auto"/>
          </w:tcPr>
          <w:p w14:paraId="070CD49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601,602</w:t>
            </w:r>
          </w:p>
        </w:tc>
        <w:tc>
          <w:tcPr>
            <w:tcW w:w="0" w:type="auto"/>
          </w:tcPr>
          <w:p w14:paraId="1DB8CEF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23,253 ÷ 601,602</w:t>
            </w:r>
          </w:p>
        </w:tc>
        <w:tc>
          <w:tcPr>
            <w:tcW w:w="0" w:type="auto"/>
          </w:tcPr>
          <w:p w14:paraId="129779D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3.9%</w:t>
            </w:r>
          </w:p>
        </w:tc>
      </w:tr>
      <w:tr w14:paraId="22D7B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AD67AF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2022</w:t>
            </w:r>
          </w:p>
        </w:tc>
        <w:tc>
          <w:tcPr>
            <w:tcW w:w="0" w:type="auto"/>
          </w:tcPr>
          <w:p w14:paraId="1F3CA9E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14,548</w:t>
            </w:r>
          </w:p>
        </w:tc>
        <w:tc>
          <w:tcPr>
            <w:tcW w:w="0" w:type="auto"/>
          </w:tcPr>
          <w:p w14:paraId="37F4F46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542,751</w:t>
            </w:r>
          </w:p>
        </w:tc>
        <w:tc>
          <w:tcPr>
            <w:tcW w:w="0" w:type="auto"/>
          </w:tcPr>
          <w:p w14:paraId="39357DC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14,548 ÷ 542,751</w:t>
            </w:r>
          </w:p>
        </w:tc>
        <w:tc>
          <w:tcPr>
            <w:tcW w:w="0" w:type="auto"/>
          </w:tcPr>
          <w:p w14:paraId="1C4D575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2.7%</w:t>
            </w:r>
          </w:p>
        </w:tc>
      </w:tr>
      <w:tr w14:paraId="73BEE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5DCCC3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2023</w:t>
            </w:r>
          </w:p>
        </w:tc>
        <w:tc>
          <w:tcPr>
            <w:tcW w:w="0" w:type="auto"/>
          </w:tcPr>
          <w:p w14:paraId="6F813D4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−85,301</w:t>
            </w:r>
          </w:p>
        </w:tc>
        <w:tc>
          <w:tcPr>
            <w:tcW w:w="0" w:type="auto"/>
          </w:tcPr>
          <w:p w14:paraId="57EE1E8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420,457</w:t>
            </w:r>
          </w:p>
        </w:tc>
        <w:tc>
          <w:tcPr>
            <w:tcW w:w="0" w:type="auto"/>
          </w:tcPr>
          <w:p w14:paraId="77E5A5D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−85,301 ÷ 420,457</w:t>
            </w:r>
          </w:p>
        </w:tc>
        <w:tc>
          <w:tcPr>
            <w:tcW w:w="0" w:type="auto"/>
          </w:tcPr>
          <w:p w14:paraId="31133B5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−20.3%</w:t>
            </w:r>
          </w:p>
        </w:tc>
      </w:tr>
      <w:tr w14:paraId="3F323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B2FE42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2024</w:t>
            </w:r>
          </w:p>
        </w:tc>
        <w:tc>
          <w:tcPr>
            <w:tcW w:w="0" w:type="auto"/>
          </w:tcPr>
          <w:p w14:paraId="67825F0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−15,297</w:t>
            </w:r>
          </w:p>
        </w:tc>
        <w:tc>
          <w:tcPr>
            <w:tcW w:w="0" w:type="auto"/>
          </w:tcPr>
          <w:p w14:paraId="0D529C9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394,879</w:t>
            </w:r>
          </w:p>
        </w:tc>
        <w:tc>
          <w:tcPr>
            <w:tcW w:w="0" w:type="auto"/>
          </w:tcPr>
          <w:p w14:paraId="5DE0BB9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−15,297 ÷ 394,879</w:t>
            </w:r>
          </w:p>
        </w:tc>
        <w:tc>
          <w:tcPr>
            <w:tcW w:w="0" w:type="auto"/>
          </w:tcPr>
          <w:p w14:paraId="5F3FC2F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−3.9%</w:t>
            </w:r>
          </w:p>
        </w:tc>
      </w:tr>
    </w:tbl>
    <w:p w14:paraId="75C81DF5">
      <w:pPr>
        <w:rPr>
          <w:rFonts w:ascii="Times New Roman" w:hAnsi="Times New Roman" w:cs="Times New Roman"/>
        </w:rPr>
      </w:pPr>
    </w:p>
    <w:p w14:paraId="75A1790E">
      <w:pPr>
        <w:rPr>
          <w:rFonts w:ascii="Times New Roman" w:hAnsi="Times New Roman" w:cs="Times New Roman"/>
        </w:rPr>
      </w:pPr>
      <w:r>
        <w:rPr>
          <w:rFonts w:ascii="Times New Roman" w:hAnsi="Times New Roman" w:cs="Times New Roman"/>
        </w:rPr>
        <w:t>Table 3: Net Profit Margin</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396"/>
        <w:gridCol w:w="996"/>
        <w:gridCol w:w="2044"/>
        <w:gridCol w:w="1409"/>
      </w:tblGrid>
      <w:tr w14:paraId="3051A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B34B78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7337B708">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Net Income</w:t>
            </w:r>
          </w:p>
        </w:tc>
        <w:tc>
          <w:tcPr>
            <w:tcW w:w="0" w:type="auto"/>
          </w:tcPr>
          <w:p w14:paraId="0336C94D">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Sales</w:t>
            </w:r>
          </w:p>
        </w:tc>
        <w:tc>
          <w:tcPr>
            <w:tcW w:w="0" w:type="auto"/>
          </w:tcPr>
          <w:p w14:paraId="6D938532">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Calculation</w:t>
            </w:r>
          </w:p>
        </w:tc>
        <w:tc>
          <w:tcPr>
            <w:tcW w:w="0" w:type="auto"/>
          </w:tcPr>
          <w:p w14:paraId="43D15C45">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Net Margin</w:t>
            </w:r>
          </w:p>
        </w:tc>
      </w:tr>
      <w:tr w14:paraId="560F3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2CEB9E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2020</w:t>
            </w:r>
          </w:p>
        </w:tc>
        <w:tc>
          <w:tcPr>
            <w:tcW w:w="0" w:type="auto"/>
          </w:tcPr>
          <w:p w14:paraId="38109E5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38,572</w:t>
            </w:r>
          </w:p>
        </w:tc>
        <w:tc>
          <w:tcPr>
            <w:tcW w:w="0" w:type="auto"/>
          </w:tcPr>
          <w:p w14:paraId="546F1FF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614,680</w:t>
            </w:r>
          </w:p>
        </w:tc>
        <w:tc>
          <w:tcPr>
            <w:tcW w:w="0" w:type="auto"/>
          </w:tcPr>
          <w:p w14:paraId="0AE0476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38,572 ÷ 614,680</w:t>
            </w:r>
          </w:p>
        </w:tc>
        <w:tc>
          <w:tcPr>
            <w:tcW w:w="0" w:type="auto"/>
          </w:tcPr>
          <w:p w14:paraId="630BCCF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6.3%</w:t>
            </w:r>
          </w:p>
        </w:tc>
      </w:tr>
      <w:tr w14:paraId="700D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A99691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2021</w:t>
            </w:r>
          </w:p>
        </w:tc>
        <w:tc>
          <w:tcPr>
            <w:tcW w:w="0" w:type="auto"/>
          </w:tcPr>
          <w:p w14:paraId="03B2525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5,301</w:t>
            </w:r>
          </w:p>
        </w:tc>
        <w:tc>
          <w:tcPr>
            <w:tcW w:w="0" w:type="auto"/>
          </w:tcPr>
          <w:p w14:paraId="41F7E1A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601,602</w:t>
            </w:r>
          </w:p>
        </w:tc>
        <w:tc>
          <w:tcPr>
            <w:tcW w:w="0" w:type="auto"/>
          </w:tcPr>
          <w:p w14:paraId="1A59F96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5,301 ÷ 601,602</w:t>
            </w:r>
          </w:p>
        </w:tc>
        <w:tc>
          <w:tcPr>
            <w:tcW w:w="0" w:type="auto"/>
          </w:tcPr>
          <w:p w14:paraId="0D1BCE0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0.9%</w:t>
            </w:r>
          </w:p>
        </w:tc>
      </w:tr>
      <w:tr w14:paraId="2C196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94174B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2022</w:t>
            </w:r>
          </w:p>
        </w:tc>
        <w:tc>
          <w:tcPr>
            <w:tcW w:w="0" w:type="auto"/>
          </w:tcPr>
          <w:p w14:paraId="18BB679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407</w:t>
            </w:r>
          </w:p>
        </w:tc>
        <w:tc>
          <w:tcPr>
            <w:tcW w:w="0" w:type="auto"/>
          </w:tcPr>
          <w:p w14:paraId="3B000B0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542,751</w:t>
            </w:r>
          </w:p>
        </w:tc>
        <w:tc>
          <w:tcPr>
            <w:tcW w:w="0" w:type="auto"/>
          </w:tcPr>
          <w:p w14:paraId="4918350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407 ÷ 542,751</w:t>
            </w:r>
          </w:p>
        </w:tc>
        <w:tc>
          <w:tcPr>
            <w:tcW w:w="0" w:type="auto"/>
          </w:tcPr>
          <w:p w14:paraId="62D132E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0.08%</w:t>
            </w:r>
          </w:p>
        </w:tc>
      </w:tr>
      <w:tr w14:paraId="5E3C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DD7342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2023</w:t>
            </w:r>
          </w:p>
        </w:tc>
        <w:tc>
          <w:tcPr>
            <w:tcW w:w="0" w:type="auto"/>
          </w:tcPr>
          <w:p w14:paraId="6DE3A5C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−98,238</w:t>
            </w:r>
          </w:p>
        </w:tc>
        <w:tc>
          <w:tcPr>
            <w:tcW w:w="0" w:type="auto"/>
          </w:tcPr>
          <w:p w14:paraId="7BD3E8E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420,457</w:t>
            </w:r>
          </w:p>
        </w:tc>
        <w:tc>
          <w:tcPr>
            <w:tcW w:w="0" w:type="auto"/>
          </w:tcPr>
          <w:p w14:paraId="150BAB5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−98,238 ÷ 420,457</w:t>
            </w:r>
          </w:p>
        </w:tc>
        <w:tc>
          <w:tcPr>
            <w:tcW w:w="0" w:type="auto"/>
          </w:tcPr>
          <w:p w14:paraId="4D28149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−23.4%</w:t>
            </w:r>
          </w:p>
        </w:tc>
      </w:tr>
      <w:tr w14:paraId="0C6E0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3A3F3B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2024</w:t>
            </w:r>
          </w:p>
        </w:tc>
        <w:tc>
          <w:tcPr>
            <w:tcW w:w="0" w:type="auto"/>
          </w:tcPr>
          <w:p w14:paraId="11EB32D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−24,029</w:t>
            </w:r>
          </w:p>
        </w:tc>
        <w:tc>
          <w:tcPr>
            <w:tcW w:w="0" w:type="auto"/>
          </w:tcPr>
          <w:p w14:paraId="68642AE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394,879</w:t>
            </w:r>
          </w:p>
        </w:tc>
        <w:tc>
          <w:tcPr>
            <w:tcW w:w="0" w:type="auto"/>
          </w:tcPr>
          <w:p w14:paraId="7465408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−24,029 ÷ 394,879</w:t>
            </w:r>
          </w:p>
        </w:tc>
        <w:tc>
          <w:tcPr>
            <w:tcW w:w="0" w:type="auto"/>
          </w:tcPr>
          <w:p w14:paraId="11A2D36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−6.1%</w:t>
            </w:r>
          </w:p>
        </w:tc>
      </w:tr>
    </w:tbl>
    <w:p w14:paraId="3770DFD9">
      <w:pPr>
        <w:rPr>
          <w:rFonts w:ascii="Times New Roman" w:hAnsi="Times New Roman" w:cs="Times New Roman"/>
        </w:rPr>
      </w:pPr>
    </w:p>
    <w:p w14:paraId="58813429">
      <w:pPr>
        <w:rPr>
          <w:rFonts w:ascii="Times New Roman" w:hAnsi="Times New Roman" w:cs="Times New Roman"/>
        </w:rPr>
      </w:pPr>
      <w:r>
        <w:rPr>
          <w:rFonts w:ascii="Times New Roman" w:hAnsi="Times New Roman" w:cs="Times New Roman"/>
        </w:rPr>
        <w:t>Table 4: Return on Assets (ROA)</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0A23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tcPr>
          <w:p w14:paraId="73A90897">
            <w:pPr>
              <w:spacing w:line="240" w:lineRule="auto"/>
              <w:rPr>
                <w:rFonts w:ascii="Times New Roman" w:hAnsi="Times New Roman" w:cs="Times New Roman"/>
              </w:rPr>
            </w:pPr>
            <w:r>
              <w:rPr>
                <w:rFonts w:ascii="Times New Roman" w:hAnsi="Times New Roman" w:cs="Times New Roman"/>
              </w:rPr>
              <w:t>Year</w:t>
            </w:r>
          </w:p>
        </w:tc>
        <w:tc>
          <w:tcPr>
            <w:tcW w:w="1728" w:type="dxa"/>
          </w:tcPr>
          <w:p w14:paraId="417B2817">
            <w:pPr>
              <w:spacing w:line="240" w:lineRule="auto"/>
              <w:rPr>
                <w:rFonts w:ascii="Times New Roman" w:hAnsi="Times New Roman" w:cs="Times New Roman"/>
              </w:rPr>
            </w:pPr>
            <w:r>
              <w:rPr>
                <w:rFonts w:ascii="Times New Roman" w:hAnsi="Times New Roman" w:cs="Times New Roman"/>
              </w:rPr>
              <w:t>Net Income</w:t>
            </w:r>
          </w:p>
        </w:tc>
        <w:tc>
          <w:tcPr>
            <w:tcW w:w="1728" w:type="dxa"/>
          </w:tcPr>
          <w:p w14:paraId="6DF6EC9E">
            <w:pPr>
              <w:spacing w:line="240" w:lineRule="auto"/>
              <w:rPr>
                <w:rFonts w:ascii="Times New Roman" w:hAnsi="Times New Roman" w:cs="Times New Roman"/>
              </w:rPr>
            </w:pPr>
            <w:r>
              <w:rPr>
                <w:rFonts w:ascii="Times New Roman" w:hAnsi="Times New Roman" w:cs="Times New Roman"/>
              </w:rPr>
              <w:t>Total Assets</w:t>
            </w:r>
          </w:p>
        </w:tc>
        <w:tc>
          <w:tcPr>
            <w:tcW w:w="1728" w:type="dxa"/>
          </w:tcPr>
          <w:p w14:paraId="2B2B0CE1">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0E2FA932">
            <w:pPr>
              <w:spacing w:line="240" w:lineRule="auto"/>
              <w:rPr>
                <w:rFonts w:ascii="Times New Roman" w:hAnsi="Times New Roman" w:cs="Times New Roman"/>
              </w:rPr>
            </w:pPr>
            <w:r>
              <w:rPr>
                <w:rFonts w:ascii="Times New Roman" w:hAnsi="Times New Roman" w:cs="Times New Roman"/>
              </w:rPr>
              <w:t>ROA</w:t>
            </w:r>
          </w:p>
        </w:tc>
      </w:tr>
      <w:tr w14:paraId="4CE3E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5F9313A">
            <w:pPr>
              <w:spacing w:line="240" w:lineRule="auto"/>
              <w:rPr>
                <w:rFonts w:ascii="Times New Roman" w:hAnsi="Times New Roman" w:cs="Times New Roman"/>
              </w:rPr>
            </w:pPr>
            <w:r>
              <w:rPr>
                <w:rFonts w:ascii="Times New Roman" w:hAnsi="Times New Roman" w:cs="Times New Roman"/>
              </w:rPr>
              <w:t>2020</w:t>
            </w:r>
          </w:p>
        </w:tc>
        <w:tc>
          <w:tcPr>
            <w:tcW w:w="1728" w:type="dxa"/>
          </w:tcPr>
          <w:p w14:paraId="4406D393">
            <w:pPr>
              <w:spacing w:line="240" w:lineRule="auto"/>
              <w:rPr>
                <w:rFonts w:ascii="Times New Roman" w:hAnsi="Times New Roman" w:cs="Times New Roman"/>
              </w:rPr>
            </w:pPr>
            <w:r>
              <w:rPr>
                <w:rFonts w:ascii="Times New Roman" w:hAnsi="Times New Roman" w:cs="Times New Roman"/>
              </w:rPr>
              <w:t>38,572</w:t>
            </w:r>
          </w:p>
        </w:tc>
        <w:tc>
          <w:tcPr>
            <w:tcW w:w="1728" w:type="dxa"/>
          </w:tcPr>
          <w:p w14:paraId="7367DEF9">
            <w:pPr>
              <w:spacing w:line="240" w:lineRule="auto"/>
              <w:rPr>
                <w:rFonts w:ascii="Times New Roman" w:hAnsi="Times New Roman" w:cs="Times New Roman"/>
              </w:rPr>
            </w:pPr>
            <w:r>
              <w:rPr>
                <w:rFonts w:ascii="Times New Roman" w:hAnsi="Times New Roman" w:cs="Times New Roman"/>
              </w:rPr>
              <w:t>510,290</w:t>
            </w:r>
          </w:p>
        </w:tc>
        <w:tc>
          <w:tcPr>
            <w:tcW w:w="1728" w:type="dxa"/>
          </w:tcPr>
          <w:p w14:paraId="03E63EAF">
            <w:pPr>
              <w:spacing w:line="240" w:lineRule="auto"/>
              <w:rPr>
                <w:rFonts w:ascii="Times New Roman" w:hAnsi="Times New Roman" w:cs="Times New Roman"/>
              </w:rPr>
            </w:pPr>
            <w:r>
              <w:rPr>
                <w:rFonts w:ascii="Times New Roman" w:hAnsi="Times New Roman" w:cs="Times New Roman"/>
              </w:rPr>
              <w:t>38,572 ÷ 510,290</w:t>
            </w:r>
          </w:p>
        </w:tc>
        <w:tc>
          <w:tcPr>
            <w:tcW w:w="1728" w:type="dxa"/>
          </w:tcPr>
          <w:p w14:paraId="752A39CE">
            <w:pPr>
              <w:spacing w:line="240" w:lineRule="auto"/>
              <w:rPr>
                <w:rFonts w:ascii="Times New Roman" w:hAnsi="Times New Roman" w:cs="Times New Roman"/>
              </w:rPr>
            </w:pPr>
            <w:r>
              <w:rPr>
                <w:rFonts w:ascii="Times New Roman" w:hAnsi="Times New Roman" w:cs="Times New Roman"/>
              </w:rPr>
              <w:t>7.6%</w:t>
            </w:r>
          </w:p>
        </w:tc>
      </w:tr>
      <w:tr w14:paraId="1A29E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72EF2F0">
            <w:pPr>
              <w:spacing w:line="240" w:lineRule="auto"/>
              <w:rPr>
                <w:rFonts w:ascii="Times New Roman" w:hAnsi="Times New Roman" w:cs="Times New Roman"/>
              </w:rPr>
            </w:pPr>
            <w:r>
              <w:rPr>
                <w:rFonts w:ascii="Times New Roman" w:hAnsi="Times New Roman" w:cs="Times New Roman"/>
              </w:rPr>
              <w:t>2021</w:t>
            </w:r>
          </w:p>
        </w:tc>
        <w:tc>
          <w:tcPr>
            <w:tcW w:w="1728" w:type="dxa"/>
          </w:tcPr>
          <w:p w14:paraId="23858746">
            <w:pPr>
              <w:spacing w:line="240" w:lineRule="auto"/>
              <w:rPr>
                <w:rFonts w:ascii="Times New Roman" w:hAnsi="Times New Roman" w:cs="Times New Roman"/>
              </w:rPr>
            </w:pPr>
            <w:r>
              <w:rPr>
                <w:rFonts w:ascii="Times New Roman" w:hAnsi="Times New Roman" w:cs="Times New Roman"/>
              </w:rPr>
              <w:t>5,301</w:t>
            </w:r>
          </w:p>
        </w:tc>
        <w:tc>
          <w:tcPr>
            <w:tcW w:w="1728" w:type="dxa"/>
          </w:tcPr>
          <w:p w14:paraId="76615032">
            <w:pPr>
              <w:spacing w:line="240" w:lineRule="auto"/>
              <w:rPr>
                <w:rFonts w:ascii="Times New Roman" w:hAnsi="Times New Roman" w:cs="Times New Roman"/>
              </w:rPr>
            </w:pPr>
            <w:r>
              <w:rPr>
                <w:rFonts w:ascii="Times New Roman" w:hAnsi="Times New Roman" w:cs="Times New Roman"/>
              </w:rPr>
              <w:t>510,348</w:t>
            </w:r>
          </w:p>
        </w:tc>
        <w:tc>
          <w:tcPr>
            <w:tcW w:w="1728" w:type="dxa"/>
          </w:tcPr>
          <w:p w14:paraId="5499E8CC">
            <w:pPr>
              <w:spacing w:line="240" w:lineRule="auto"/>
              <w:rPr>
                <w:rFonts w:ascii="Times New Roman" w:hAnsi="Times New Roman" w:cs="Times New Roman"/>
              </w:rPr>
            </w:pPr>
            <w:r>
              <w:rPr>
                <w:rFonts w:ascii="Times New Roman" w:hAnsi="Times New Roman" w:cs="Times New Roman"/>
              </w:rPr>
              <w:t>5,301 ÷ 510,348</w:t>
            </w:r>
          </w:p>
        </w:tc>
        <w:tc>
          <w:tcPr>
            <w:tcW w:w="1728" w:type="dxa"/>
          </w:tcPr>
          <w:p w14:paraId="55FB20AF">
            <w:pPr>
              <w:spacing w:line="240" w:lineRule="auto"/>
              <w:rPr>
                <w:rFonts w:ascii="Times New Roman" w:hAnsi="Times New Roman" w:cs="Times New Roman"/>
              </w:rPr>
            </w:pPr>
            <w:r>
              <w:rPr>
                <w:rFonts w:ascii="Times New Roman" w:hAnsi="Times New Roman" w:cs="Times New Roman"/>
              </w:rPr>
              <w:t>1.0%</w:t>
            </w:r>
          </w:p>
        </w:tc>
      </w:tr>
      <w:tr w14:paraId="1A514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10D4EDA">
            <w:pPr>
              <w:spacing w:line="240" w:lineRule="auto"/>
              <w:rPr>
                <w:rFonts w:ascii="Times New Roman" w:hAnsi="Times New Roman" w:cs="Times New Roman"/>
              </w:rPr>
            </w:pPr>
            <w:r>
              <w:rPr>
                <w:rFonts w:ascii="Times New Roman" w:hAnsi="Times New Roman" w:cs="Times New Roman"/>
              </w:rPr>
              <w:t>2022</w:t>
            </w:r>
          </w:p>
        </w:tc>
        <w:tc>
          <w:tcPr>
            <w:tcW w:w="1728" w:type="dxa"/>
          </w:tcPr>
          <w:p w14:paraId="4A9E4752">
            <w:pPr>
              <w:spacing w:line="240" w:lineRule="auto"/>
              <w:rPr>
                <w:rFonts w:ascii="Times New Roman" w:hAnsi="Times New Roman" w:cs="Times New Roman"/>
              </w:rPr>
            </w:pPr>
            <w:r>
              <w:rPr>
                <w:rFonts w:ascii="Times New Roman" w:hAnsi="Times New Roman" w:cs="Times New Roman"/>
              </w:rPr>
              <w:t>407</w:t>
            </w:r>
          </w:p>
        </w:tc>
        <w:tc>
          <w:tcPr>
            <w:tcW w:w="1728" w:type="dxa"/>
          </w:tcPr>
          <w:p w14:paraId="28E27244">
            <w:pPr>
              <w:spacing w:line="240" w:lineRule="auto"/>
              <w:rPr>
                <w:rFonts w:ascii="Times New Roman" w:hAnsi="Times New Roman" w:cs="Times New Roman"/>
              </w:rPr>
            </w:pPr>
            <w:r>
              <w:rPr>
                <w:rFonts w:ascii="Times New Roman" w:hAnsi="Times New Roman" w:cs="Times New Roman"/>
              </w:rPr>
              <w:t>504,163</w:t>
            </w:r>
          </w:p>
        </w:tc>
        <w:tc>
          <w:tcPr>
            <w:tcW w:w="1728" w:type="dxa"/>
          </w:tcPr>
          <w:p w14:paraId="3931450D">
            <w:pPr>
              <w:spacing w:line="240" w:lineRule="auto"/>
              <w:rPr>
                <w:rFonts w:ascii="Times New Roman" w:hAnsi="Times New Roman" w:cs="Times New Roman"/>
              </w:rPr>
            </w:pPr>
            <w:r>
              <w:rPr>
                <w:rFonts w:ascii="Times New Roman" w:hAnsi="Times New Roman" w:cs="Times New Roman"/>
              </w:rPr>
              <w:t>407 ÷ 504,163</w:t>
            </w:r>
          </w:p>
        </w:tc>
        <w:tc>
          <w:tcPr>
            <w:tcW w:w="1728" w:type="dxa"/>
          </w:tcPr>
          <w:p w14:paraId="34DD8AA7">
            <w:pPr>
              <w:spacing w:line="240" w:lineRule="auto"/>
              <w:rPr>
                <w:rFonts w:ascii="Times New Roman" w:hAnsi="Times New Roman" w:cs="Times New Roman"/>
              </w:rPr>
            </w:pPr>
            <w:r>
              <w:rPr>
                <w:rFonts w:ascii="Times New Roman" w:hAnsi="Times New Roman" w:cs="Times New Roman"/>
              </w:rPr>
              <w:t>0.08%</w:t>
            </w:r>
          </w:p>
        </w:tc>
      </w:tr>
      <w:tr w14:paraId="0D1E1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27C306C">
            <w:pPr>
              <w:spacing w:line="240" w:lineRule="auto"/>
              <w:rPr>
                <w:rFonts w:ascii="Times New Roman" w:hAnsi="Times New Roman" w:cs="Times New Roman"/>
              </w:rPr>
            </w:pPr>
            <w:r>
              <w:rPr>
                <w:rFonts w:ascii="Times New Roman" w:hAnsi="Times New Roman" w:cs="Times New Roman"/>
              </w:rPr>
              <w:t>2023</w:t>
            </w:r>
          </w:p>
        </w:tc>
        <w:tc>
          <w:tcPr>
            <w:tcW w:w="1728" w:type="dxa"/>
          </w:tcPr>
          <w:p w14:paraId="7C560516">
            <w:pPr>
              <w:spacing w:line="240" w:lineRule="auto"/>
              <w:rPr>
                <w:rFonts w:ascii="Times New Roman" w:hAnsi="Times New Roman" w:cs="Times New Roman"/>
              </w:rPr>
            </w:pPr>
            <w:r>
              <w:rPr>
                <w:rFonts w:ascii="Times New Roman" w:hAnsi="Times New Roman" w:cs="Times New Roman"/>
              </w:rPr>
              <w:t>-98,238</w:t>
            </w:r>
          </w:p>
        </w:tc>
        <w:tc>
          <w:tcPr>
            <w:tcW w:w="1728" w:type="dxa"/>
          </w:tcPr>
          <w:p w14:paraId="5974198A">
            <w:pPr>
              <w:spacing w:line="240" w:lineRule="auto"/>
              <w:rPr>
                <w:rFonts w:ascii="Times New Roman" w:hAnsi="Times New Roman" w:cs="Times New Roman"/>
              </w:rPr>
            </w:pPr>
            <w:r>
              <w:rPr>
                <w:rFonts w:ascii="Times New Roman" w:hAnsi="Times New Roman" w:cs="Times New Roman"/>
              </w:rPr>
              <w:t>355,872</w:t>
            </w:r>
          </w:p>
        </w:tc>
        <w:tc>
          <w:tcPr>
            <w:tcW w:w="1728" w:type="dxa"/>
          </w:tcPr>
          <w:p w14:paraId="1C71806F">
            <w:pPr>
              <w:spacing w:line="240" w:lineRule="auto"/>
              <w:rPr>
                <w:rFonts w:ascii="Times New Roman" w:hAnsi="Times New Roman" w:cs="Times New Roman"/>
              </w:rPr>
            </w:pPr>
            <w:r>
              <w:rPr>
                <w:rFonts w:ascii="Times New Roman" w:hAnsi="Times New Roman" w:cs="Times New Roman"/>
              </w:rPr>
              <w:t>-98,238 ÷ 355,872</w:t>
            </w:r>
          </w:p>
        </w:tc>
        <w:tc>
          <w:tcPr>
            <w:tcW w:w="1728" w:type="dxa"/>
          </w:tcPr>
          <w:p w14:paraId="3ABCDF85">
            <w:pPr>
              <w:spacing w:line="240" w:lineRule="auto"/>
              <w:rPr>
                <w:rFonts w:ascii="Times New Roman" w:hAnsi="Times New Roman" w:cs="Times New Roman"/>
              </w:rPr>
            </w:pPr>
            <w:r>
              <w:rPr>
                <w:rFonts w:ascii="Times New Roman" w:hAnsi="Times New Roman" w:cs="Times New Roman"/>
              </w:rPr>
              <w:t>-27.6%</w:t>
            </w:r>
          </w:p>
        </w:tc>
      </w:tr>
      <w:tr w14:paraId="2AD7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889205F">
            <w:pPr>
              <w:spacing w:line="240" w:lineRule="auto"/>
              <w:rPr>
                <w:rFonts w:ascii="Times New Roman" w:hAnsi="Times New Roman" w:cs="Times New Roman"/>
              </w:rPr>
            </w:pPr>
            <w:r>
              <w:rPr>
                <w:rFonts w:ascii="Times New Roman" w:hAnsi="Times New Roman" w:cs="Times New Roman"/>
              </w:rPr>
              <w:t>2024</w:t>
            </w:r>
          </w:p>
        </w:tc>
        <w:tc>
          <w:tcPr>
            <w:tcW w:w="1728" w:type="dxa"/>
          </w:tcPr>
          <w:p w14:paraId="645A695E">
            <w:pPr>
              <w:spacing w:line="240" w:lineRule="auto"/>
              <w:rPr>
                <w:rFonts w:ascii="Times New Roman" w:hAnsi="Times New Roman" w:cs="Times New Roman"/>
              </w:rPr>
            </w:pPr>
            <w:r>
              <w:rPr>
                <w:rFonts w:ascii="Times New Roman" w:hAnsi="Times New Roman" w:cs="Times New Roman"/>
              </w:rPr>
              <w:t>-24,029</w:t>
            </w:r>
          </w:p>
        </w:tc>
        <w:tc>
          <w:tcPr>
            <w:tcW w:w="1728" w:type="dxa"/>
          </w:tcPr>
          <w:p w14:paraId="31C39A9C">
            <w:pPr>
              <w:spacing w:line="240" w:lineRule="auto"/>
              <w:rPr>
                <w:rFonts w:ascii="Times New Roman" w:hAnsi="Times New Roman" w:cs="Times New Roman"/>
              </w:rPr>
            </w:pPr>
            <w:r>
              <w:rPr>
                <w:rFonts w:ascii="Times New Roman" w:hAnsi="Times New Roman" w:cs="Times New Roman"/>
              </w:rPr>
              <w:t>323,354</w:t>
            </w:r>
          </w:p>
        </w:tc>
        <w:tc>
          <w:tcPr>
            <w:tcW w:w="1728" w:type="dxa"/>
          </w:tcPr>
          <w:p w14:paraId="565976DC">
            <w:pPr>
              <w:spacing w:line="240" w:lineRule="auto"/>
              <w:rPr>
                <w:rFonts w:ascii="Times New Roman" w:hAnsi="Times New Roman" w:cs="Times New Roman"/>
              </w:rPr>
            </w:pPr>
            <w:r>
              <w:rPr>
                <w:rFonts w:ascii="Times New Roman" w:hAnsi="Times New Roman" w:cs="Times New Roman"/>
              </w:rPr>
              <w:t>-24,029 ÷ 323,354</w:t>
            </w:r>
          </w:p>
        </w:tc>
        <w:tc>
          <w:tcPr>
            <w:tcW w:w="1728" w:type="dxa"/>
          </w:tcPr>
          <w:p w14:paraId="2D97A663">
            <w:pPr>
              <w:spacing w:line="240" w:lineRule="auto"/>
              <w:rPr>
                <w:rFonts w:ascii="Times New Roman" w:hAnsi="Times New Roman" w:cs="Times New Roman"/>
              </w:rPr>
            </w:pPr>
            <w:r>
              <w:rPr>
                <w:rFonts w:ascii="Times New Roman" w:hAnsi="Times New Roman" w:cs="Times New Roman"/>
              </w:rPr>
              <w:t>-7.4%</w:t>
            </w:r>
          </w:p>
        </w:tc>
      </w:tr>
    </w:tbl>
    <w:p w14:paraId="17624C75">
      <w:pPr>
        <w:pStyle w:val="3"/>
        <w:rPr>
          <w:rFonts w:ascii="Times New Roman" w:hAnsi="Times New Roman" w:cs="Times New Roman"/>
          <w:sz w:val="28"/>
          <w:szCs w:val="28"/>
        </w:rPr>
      </w:pPr>
    </w:p>
    <w:p w14:paraId="61764344">
      <w:pPr>
        <w:rPr>
          <w:rFonts w:ascii="Times New Roman" w:hAnsi="Times New Roman" w:cs="Times New Roman"/>
        </w:rPr>
      </w:pPr>
      <w:r>
        <w:rPr>
          <w:rFonts w:ascii="Times New Roman" w:hAnsi="Times New Roman" w:cs="Times New Roman"/>
        </w:rPr>
        <w:t>Table 5: Return on Equity (ROE)</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55A6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9B6F651">
            <w:pPr>
              <w:spacing w:line="240" w:lineRule="auto"/>
              <w:rPr>
                <w:rFonts w:ascii="Times New Roman" w:hAnsi="Times New Roman" w:cs="Times New Roman"/>
              </w:rPr>
            </w:pPr>
            <w:r>
              <w:rPr>
                <w:rFonts w:ascii="Times New Roman" w:hAnsi="Times New Roman" w:cs="Times New Roman"/>
              </w:rPr>
              <w:t>Year</w:t>
            </w:r>
          </w:p>
        </w:tc>
        <w:tc>
          <w:tcPr>
            <w:tcW w:w="1728" w:type="dxa"/>
          </w:tcPr>
          <w:p w14:paraId="55BDBD44">
            <w:pPr>
              <w:spacing w:line="240" w:lineRule="auto"/>
              <w:rPr>
                <w:rFonts w:ascii="Times New Roman" w:hAnsi="Times New Roman" w:cs="Times New Roman"/>
              </w:rPr>
            </w:pPr>
            <w:r>
              <w:rPr>
                <w:rFonts w:ascii="Times New Roman" w:hAnsi="Times New Roman" w:cs="Times New Roman"/>
              </w:rPr>
              <w:t>Net Income</w:t>
            </w:r>
          </w:p>
        </w:tc>
        <w:tc>
          <w:tcPr>
            <w:tcW w:w="1728" w:type="dxa"/>
          </w:tcPr>
          <w:p w14:paraId="7628BA94">
            <w:pPr>
              <w:spacing w:line="240" w:lineRule="auto"/>
              <w:rPr>
                <w:rFonts w:ascii="Times New Roman" w:hAnsi="Times New Roman" w:cs="Times New Roman"/>
              </w:rPr>
            </w:pPr>
            <w:r>
              <w:rPr>
                <w:rFonts w:ascii="Times New Roman" w:hAnsi="Times New Roman" w:cs="Times New Roman"/>
              </w:rPr>
              <w:t>Equity</w:t>
            </w:r>
          </w:p>
        </w:tc>
        <w:tc>
          <w:tcPr>
            <w:tcW w:w="1728" w:type="dxa"/>
          </w:tcPr>
          <w:p w14:paraId="27E776D1">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4D2729B3">
            <w:pPr>
              <w:spacing w:line="240" w:lineRule="auto"/>
              <w:rPr>
                <w:rFonts w:ascii="Times New Roman" w:hAnsi="Times New Roman" w:cs="Times New Roman"/>
              </w:rPr>
            </w:pPr>
            <w:r>
              <w:rPr>
                <w:rFonts w:ascii="Times New Roman" w:hAnsi="Times New Roman" w:cs="Times New Roman"/>
              </w:rPr>
              <w:t>ROE</w:t>
            </w:r>
          </w:p>
        </w:tc>
      </w:tr>
      <w:tr w14:paraId="18E37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B38CADC">
            <w:pPr>
              <w:spacing w:line="240" w:lineRule="auto"/>
              <w:rPr>
                <w:rFonts w:ascii="Times New Roman" w:hAnsi="Times New Roman" w:cs="Times New Roman"/>
              </w:rPr>
            </w:pPr>
            <w:r>
              <w:rPr>
                <w:rFonts w:ascii="Times New Roman" w:hAnsi="Times New Roman" w:cs="Times New Roman"/>
              </w:rPr>
              <w:t>2020</w:t>
            </w:r>
          </w:p>
        </w:tc>
        <w:tc>
          <w:tcPr>
            <w:tcW w:w="1728" w:type="dxa"/>
          </w:tcPr>
          <w:p w14:paraId="7FABAFD6">
            <w:pPr>
              <w:spacing w:line="240" w:lineRule="auto"/>
              <w:rPr>
                <w:rFonts w:ascii="Times New Roman" w:hAnsi="Times New Roman" w:cs="Times New Roman"/>
              </w:rPr>
            </w:pPr>
            <w:r>
              <w:rPr>
                <w:rFonts w:ascii="Times New Roman" w:hAnsi="Times New Roman" w:cs="Times New Roman"/>
              </w:rPr>
              <w:t>38,572</w:t>
            </w:r>
          </w:p>
        </w:tc>
        <w:tc>
          <w:tcPr>
            <w:tcW w:w="1728" w:type="dxa"/>
          </w:tcPr>
          <w:p w14:paraId="04774289">
            <w:pPr>
              <w:spacing w:line="240" w:lineRule="auto"/>
              <w:rPr>
                <w:rFonts w:ascii="Times New Roman" w:hAnsi="Times New Roman" w:cs="Times New Roman"/>
              </w:rPr>
            </w:pPr>
            <w:r>
              <w:rPr>
                <w:rFonts w:ascii="Times New Roman" w:hAnsi="Times New Roman" w:cs="Times New Roman"/>
              </w:rPr>
              <w:t>313,301</w:t>
            </w:r>
          </w:p>
        </w:tc>
        <w:tc>
          <w:tcPr>
            <w:tcW w:w="1728" w:type="dxa"/>
          </w:tcPr>
          <w:p w14:paraId="3A077DF6">
            <w:pPr>
              <w:spacing w:line="240" w:lineRule="auto"/>
              <w:rPr>
                <w:rFonts w:ascii="Times New Roman" w:hAnsi="Times New Roman" w:cs="Times New Roman"/>
              </w:rPr>
            </w:pPr>
            <w:r>
              <w:rPr>
                <w:rFonts w:ascii="Times New Roman" w:hAnsi="Times New Roman" w:cs="Times New Roman"/>
              </w:rPr>
              <w:t>38,572 ÷ 313,301</w:t>
            </w:r>
          </w:p>
        </w:tc>
        <w:tc>
          <w:tcPr>
            <w:tcW w:w="1728" w:type="dxa"/>
          </w:tcPr>
          <w:p w14:paraId="776E1673">
            <w:pPr>
              <w:spacing w:line="240" w:lineRule="auto"/>
              <w:rPr>
                <w:rFonts w:ascii="Times New Roman" w:hAnsi="Times New Roman" w:cs="Times New Roman"/>
              </w:rPr>
            </w:pPr>
            <w:r>
              <w:rPr>
                <w:rFonts w:ascii="Times New Roman" w:hAnsi="Times New Roman" w:cs="Times New Roman"/>
              </w:rPr>
              <w:t>12.3%</w:t>
            </w:r>
          </w:p>
        </w:tc>
      </w:tr>
      <w:tr w14:paraId="33677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9910E09">
            <w:pPr>
              <w:spacing w:line="240" w:lineRule="auto"/>
              <w:rPr>
                <w:rFonts w:ascii="Times New Roman" w:hAnsi="Times New Roman" w:cs="Times New Roman"/>
              </w:rPr>
            </w:pPr>
            <w:r>
              <w:rPr>
                <w:rFonts w:ascii="Times New Roman" w:hAnsi="Times New Roman" w:cs="Times New Roman"/>
              </w:rPr>
              <w:t>2021</w:t>
            </w:r>
          </w:p>
        </w:tc>
        <w:tc>
          <w:tcPr>
            <w:tcW w:w="1728" w:type="dxa"/>
          </w:tcPr>
          <w:p w14:paraId="30700051">
            <w:pPr>
              <w:spacing w:line="240" w:lineRule="auto"/>
              <w:rPr>
                <w:rFonts w:ascii="Times New Roman" w:hAnsi="Times New Roman" w:cs="Times New Roman"/>
              </w:rPr>
            </w:pPr>
            <w:r>
              <w:rPr>
                <w:rFonts w:ascii="Times New Roman" w:hAnsi="Times New Roman" w:cs="Times New Roman"/>
              </w:rPr>
              <w:t>5,301</w:t>
            </w:r>
          </w:p>
        </w:tc>
        <w:tc>
          <w:tcPr>
            <w:tcW w:w="1728" w:type="dxa"/>
          </w:tcPr>
          <w:p w14:paraId="0ADD08B3">
            <w:pPr>
              <w:spacing w:line="240" w:lineRule="auto"/>
              <w:rPr>
                <w:rFonts w:ascii="Times New Roman" w:hAnsi="Times New Roman" w:cs="Times New Roman"/>
              </w:rPr>
            </w:pPr>
            <w:r>
              <w:rPr>
                <w:rFonts w:ascii="Times New Roman" w:hAnsi="Times New Roman" w:cs="Times New Roman"/>
              </w:rPr>
              <w:t>275,949</w:t>
            </w:r>
          </w:p>
        </w:tc>
        <w:tc>
          <w:tcPr>
            <w:tcW w:w="1728" w:type="dxa"/>
          </w:tcPr>
          <w:p w14:paraId="2C511088">
            <w:pPr>
              <w:spacing w:line="240" w:lineRule="auto"/>
              <w:rPr>
                <w:rFonts w:ascii="Times New Roman" w:hAnsi="Times New Roman" w:cs="Times New Roman"/>
              </w:rPr>
            </w:pPr>
            <w:r>
              <w:rPr>
                <w:rFonts w:ascii="Times New Roman" w:hAnsi="Times New Roman" w:cs="Times New Roman"/>
              </w:rPr>
              <w:t>5,301 ÷ 275,949</w:t>
            </w:r>
          </w:p>
        </w:tc>
        <w:tc>
          <w:tcPr>
            <w:tcW w:w="1728" w:type="dxa"/>
          </w:tcPr>
          <w:p w14:paraId="0AABD588">
            <w:pPr>
              <w:spacing w:line="240" w:lineRule="auto"/>
              <w:rPr>
                <w:rFonts w:ascii="Times New Roman" w:hAnsi="Times New Roman" w:cs="Times New Roman"/>
              </w:rPr>
            </w:pPr>
            <w:r>
              <w:rPr>
                <w:rFonts w:ascii="Times New Roman" w:hAnsi="Times New Roman" w:cs="Times New Roman"/>
              </w:rPr>
              <w:t>1.9%</w:t>
            </w:r>
          </w:p>
        </w:tc>
      </w:tr>
      <w:tr w14:paraId="143F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4D77AAA">
            <w:pPr>
              <w:spacing w:line="240" w:lineRule="auto"/>
              <w:rPr>
                <w:rFonts w:ascii="Times New Roman" w:hAnsi="Times New Roman" w:cs="Times New Roman"/>
              </w:rPr>
            </w:pPr>
            <w:r>
              <w:rPr>
                <w:rFonts w:ascii="Times New Roman" w:hAnsi="Times New Roman" w:cs="Times New Roman"/>
              </w:rPr>
              <w:t>2022</w:t>
            </w:r>
          </w:p>
        </w:tc>
        <w:tc>
          <w:tcPr>
            <w:tcW w:w="1728" w:type="dxa"/>
          </w:tcPr>
          <w:p w14:paraId="767D8880">
            <w:pPr>
              <w:spacing w:line="240" w:lineRule="auto"/>
              <w:rPr>
                <w:rFonts w:ascii="Times New Roman" w:hAnsi="Times New Roman" w:cs="Times New Roman"/>
              </w:rPr>
            </w:pPr>
            <w:r>
              <w:rPr>
                <w:rFonts w:ascii="Times New Roman" w:hAnsi="Times New Roman" w:cs="Times New Roman"/>
              </w:rPr>
              <w:t>407</w:t>
            </w:r>
          </w:p>
        </w:tc>
        <w:tc>
          <w:tcPr>
            <w:tcW w:w="1728" w:type="dxa"/>
          </w:tcPr>
          <w:p w14:paraId="21F164A7">
            <w:pPr>
              <w:spacing w:line="240" w:lineRule="auto"/>
              <w:rPr>
                <w:rFonts w:ascii="Times New Roman" w:hAnsi="Times New Roman" w:cs="Times New Roman"/>
              </w:rPr>
            </w:pPr>
            <w:r>
              <w:rPr>
                <w:rFonts w:ascii="Times New Roman" w:hAnsi="Times New Roman" w:cs="Times New Roman"/>
              </w:rPr>
              <w:t>268,406</w:t>
            </w:r>
          </w:p>
        </w:tc>
        <w:tc>
          <w:tcPr>
            <w:tcW w:w="1728" w:type="dxa"/>
          </w:tcPr>
          <w:p w14:paraId="34FF7BD1">
            <w:pPr>
              <w:spacing w:line="240" w:lineRule="auto"/>
              <w:rPr>
                <w:rFonts w:ascii="Times New Roman" w:hAnsi="Times New Roman" w:cs="Times New Roman"/>
              </w:rPr>
            </w:pPr>
            <w:r>
              <w:rPr>
                <w:rFonts w:ascii="Times New Roman" w:hAnsi="Times New Roman" w:cs="Times New Roman"/>
              </w:rPr>
              <w:t>407 ÷ 268,406</w:t>
            </w:r>
          </w:p>
        </w:tc>
        <w:tc>
          <w:tcPr>
            <w:tcW w:w="1728" w:type="dxa"/>
          </w:tcPr>
          <w:p w14:paraId="7E20F435">
            <w:pPr>
              <w:spacing w:line="240" w:lineRule="auto"/>
              <w:rPr>
                <w:rFonts w:ascii="Times New Roman" w:hAnsi="Times New Roman" w:cs="Times New Roman"/>
              </w:rPr>
            </w:pPr>
            <w:r>
              <w:rPr>
                <w:rFonts w:ascii="Times New Roman" w:hAnsi="Times New Roman" w:cs="Times New Roman"/>
              </w:rPr>
              <w:t>0.15%</w:t>
            </w:r>
          </w:p>
        </w:tc>
      </w:tr>
      <w:tr w14:paraId="1544C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DCB5866">
            <w:pPr>
              <w:spacing w:line="240" w:lineRule="auto"/>
              <w:rPr>
                <w:rFonts w:ascii="Times New Roman" w:hAnsi="Times New Roman" w:cs="Times New Roman"/>
              </w:rPr>
            </w:pPr>
            <w:r>
              <w:rPr>
                <w:rFonts w:ascii="Times New Roman" w:hAnsi="Times New Roman" w:cs="Times New Roman"/>
              </w:rPr>
              <w:t>2023</w:t>
            </w:r>
          </w:p>
        </w:tc>
        <w:tc>
          <w:tcPr>
            <w:tcW w:w="1728" w:type="dxa"/>
          </w:tcPr>
          <w:p w14:paraId="785414DA">
            <w:pPr>
              <w:spacing w:line="240" w:lineRule="auto"/>
              <w:rPr>
                <w:rFonts w:ascii="Times New Roman" w:hAnsi="Times New Roman" w:cs="Times New Roman"/>
              </w:rPr>
            </w:pPr>
            <w:r>
              <w:rPr>
                <w:rFonts w:ascii="Times New Roman" w:hAnsi="Times New Roman" w:cs="Times New Roman"/>
              </w:rPr>
              <w:t>-98,238</w:t>
            </w:r>
          </w:p>
        </w:tc>
        <w:tc>
          <w:tcPr>
            <w:tcW w:w="1728" w:type="dxa"/>
          </w:tcPr>
          <w:p w14:paraId="5AFCD84D">
            <w:pPr>
              <w:spacing w:line="240" w:lineRule="auto"/>
              <w:rPr>
                <w:rFonts w:ascii="Times New Roman" w:hAnsi="Times New Roman" w:cs="Times New Roman"/>
              </w:rPr>
            </w:pPr>
            <w:r>
              <w:rPr>
                <w:rFonts w:ascii="Times New Roman" w:hAnsi="Times New Roman" w:cs="Times New Roman"/>
              </w:rPr>
              <w:t>178,920</w:t>
            </w:r>
          </w:p>
        </w:tc>
        <w:tc>
          <w:tcPr>
            <w:tcW w:w="1728" w:type="dxa"/>
          </w:tcPr>
          <w:p w14:paraId="71D395A2">
            <w:pPr>
              <w:spacing w:line="240" w:lineRule="auto"/>
              <w:rPr>
                <w:rFonts w:ascii="Times New Roman" w:hAnsi="Times New Roman" w:cs="Times New Roman"/>
              </w:rPr>
            </w:pPr>
            <w:r>
              <w:rPr>
                <w:rFonts w:ascii="Times New Roman" w:hAnsi="Times New Roman" w:cs="Times New Roman"/>
              </w:rPr>
              <w:t>-98,238 ÷ 178,920</w:t>
            </w:r>
          </w:p>
        </w:tc>
        <w:tc>
          <w:tcPr>
            <w:tcW w:w="1728" w:type="dxa"/>
          </w:tcPr>
          <w:p w14:paraId="113BC95B">
            <w:pPr>
              <w:spacing w:line="240" w:lineRule="auto"/>
              <w:rPr>
                <w:rFonts w:ascii="Times New Roman" w:hAnsi="Times New Roman" w:cs="Times New Roman"/>
              </w:rPr>
            </w:pPr>
            <w:r>
              <w:rPr>
                <w:rFonts w:ascii="Times New Roman" w:hAnsi="Times New Roman" w:cs="Times New Roman"/>
              </w:rPr>
              <w:t>-54.9%</w:t>
            </w:r>
          </w:p>
        </w:tc>
      </w:tr>
      <w:tr w14:paraId="77A93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547AC1B">
            <w:pPr>
              <w:spacing w:line="240" w:lineRule="auto"/>
              <w:rPr>
                <w:rFonts w:ascii="Times New Roman" w:hAnsi="Times New Roman" w:cs="Times New Roman"/>
              </w:rPr>
            </w:pPr>
            <w:r>
              <w:rPr>
                <w:rFonts w:ascii="Times New Roman" w:hAnsi="Times New Roman" w:cs="Times New Roman"/>
              </w:rPr>
              <w:t>2024</w:t>
            </w:r>
          </w:p>
        </w:tc>
        <w:tc>
          <w:tcPr>
            <w:tcW w:w="1728" w:type="dxa"/>
          </w:tcPr>
          <w:p w14:paraId="01859B91">
            <w:pPr>
              <w:spacing w:line="240" w:lineRule="auto"/>
              <w:rPr>
                <w:rFonts w:ascii="Times New Roman" w:hAnsi="Times New Roman" w:cs="Times New Roman"/>
              </w:rPr>
            </w:pPr>
            <w:r>
              <w:rPr>
                <w:rFonts w:ascii="Times New Roman" w:hAnsi="Times New Roman" w:cs="Times New Roman"/>
              </w:rPr>
              <w:t>-24,029</w:t>
            </w:r>
          </w:p>
        </w:tc>
        <w:tc>
          <w:tcPr>
            <w:tcW w:w="1728" w:type="dxa"/>
          </w:tcPr>
          <w:p w14:paraId="36C4120B">
            <w:pPr>
              <w:spacing w:line="240" w:lineRule="auto"/>
              <w:rPr>
                <w:rFonts w:ascii="Times New Roman" w:hAnsi="Times New Roman" w:cs="Times New Roman"/>
              </w:rPr>
            </w:pPr>
            <w:r>
              <w:rPr>
                <w:rFonts w:ascii="Times New Roman" w:hAnsi="Times New Roman" w:cs="Times New Roman"/>
              </w:rPr>
              <w:t>153,105</w:t>
            </w:r>
          </w:p>
        </w:tc>
        <w:tc>
          <w:tcPr>
            <w:tcW w:w="1728" w:type="dxa"/>
          </w:tcPr>
          <w:p w14:paraId="39BEF0AD">
            <w:pPr>
              <w:spacing w:line="240" w:lineRule="auto"/>
              <w:rPr>
                <w:rFonts w:ascii="Times New Roman" w:hAnsi="Times New Roman" w:cs="Times New Roman"/>
              </w:rPr>
            </w:pPr>
            <w:r>
              <w:rPr>
                <w:rFonts w:ascii="Times New Roman" w:hAnsi="Times New Roman" w:cs="Times New Roman"/>
              </w:rPr>
              <w:t>-24,029 ÷ 153,105</w:t>
            </w:r>
          </w:p>
        </w:tc>
        <w:tc>
          <w:tcPr>
            <w:tcW w:w="1728" w:type="dxa"/>
          </w:tcPr>
          <w:p w14:paraId="6BF26B06">
            <w:pPr>
              <w:spacing w:line="240" w:lineRule="auto"/>
              <w:rPr>
                <w:rFonts w:ascii="Times New Roman" w:hAnsi="Times New Roman" w:cs="Times New Roman"/>
              </w:rPr>
            </w:pPr>
            <w:r>
              <w:rPr>
                <w:rFonts w:ascii="Times New Roman" w:hAnsi="Times New Roman" w:cs="Times New Roman"/>
              </w:rPr>
              <w:t>-15.7%</w:t>
            </w:r>
          </w:p>
        </w:tc>
      </w:tr>
    </w:tbl>
    <w:p w14:paraId="1F09F1C1">
      <w:pPr>
        <w:rPr>
          <w:rFonts w:ascii="Times New Roman" w:hAnsi="Times New Roman" w:cs="Times New Roman"/>
        </w:rPr>
      </w:pPr>
    </w:p>
    <w:p w14:paraId="7F339930">
      <w:pPr>
        <w:rPr>
          <w:rFonts w:ascii="Times New Roman" w:hAnsi="Times New Roman" w:cs="Times New Roman"/>
        </w:rPr>
      </w:pPr>
    </w:p>
    <w:p w14:paraId="77FB912C">
      <w:pPr>
        <w:rPr>
          <w:rFonts w:ascii="Times New Roman" w:hAnsi="Times New Roman" w:cs="Times New Roman"/>
        </w:rPr>
      </w:pPr>
    </w:p>
    <w:p w14:paraId="3DA99240">
      <w:pPr>
        <w:rPr>
          <w:rFonts w:ascii="Times New Roman" w:hAnsi="Times New Roman" w:cs="Times New Roman"/>
        </w:rPr>
      </w:pPr>
      <w:r>
        <w:rPr>
          <w:rFonts w:ascii="Times New Roman" w:hAnsi="Times New Roman" w:cs="Times New Roman"/>
        </w:rPr>
        <w:t>Table 6: Current Ratio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0FA2E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tcPr>
          <w:p w14:paraId="68C39DBD">
            <w:pPr>
              <w:spacing w:line="240" w:lineRule="auto"/>
              <w:rPr>
                <w:rFonts w:ascii="Times New Roman" w:hAnsi="Times New Roman" w:cs="Times New Roman"/>
              </w:rPr>
            </w:pPr>
            <w:r>
              <w:rPr>
                <w:rFonts w:ascii="Times New Roman" w:hAnsi="Times New Roman" w:cs="Times New Roman"/>
              </w:rPr>
              <w:t>Year</w:t>
            </w:r>
          </w:p>
        </w:tc>
        <w:tc>
          <w:tcPr>
            <w:tcW w:w="1728" w:type="dxa"/>
          </w:tcPr>
          <w:p w14:paraId="593E1AF8">
            <w:pPr>
              <w:spacing w:line="240" w:lineRule="auto"/>
              <w:rPr>
                <w:rFonts w:ascii="Times New Roman" w:hAnsi="Times New Roman" w:cs="Times New Roman"/>
              </w:rPr>
            </w:pPr>
            <w:r>
              <w:rPr>
                <w:rFonts w:ascii="Times New Roman" w:hAnsi="Times New Roman" w:cs="Times New Roman"/>
              </w:rPr>
              <w:t>Current Assets</w:t>
            </w:r>
          </w:p>
        </w:tc>
        <w:tc>
          <w:tcPr>
            <w:tcW w:w="1728" w:type="dxa"/>
          </w:tcPr>
          <w:p w14:paraId="6A71E8BD">
            <w:pPr>
              <w:spacing w:line="240" w:lineRule="auto"/>
              <w:rPr>
                <w:rFonts w:ascii="Times New Roman" w:hAnsi="Times New Roman" w:cs="Times New Roman"/>
              </w:rPr>
            </w:pPr>
            <w:r>
              <w:rPr>
                <w:rFonts w:ascii="Times New Roman" w:hAnsi="Times New Roman" w:cs="Times New Roman"/>
              </w:rPr>
              <w:t>Current Liabilities</w:t>
            </w:r>
          </w:p>
        </w:tc>
        <w:tc>
          <w:tcPr>
            <w:tcW w:w="1728" w:type="dxa"/>
          </w:tcPr>
          <w:p w14:paraId="3ED6E9B2">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34F0EA09">
            <w:pPr>
              <w:spacing w:line="240" w:lineRule="auto"/>
              <w:rPr>
                <w:rFonts w:ascii="Times New Roman" w:hAnsi="Times New Roman" w:cs="Times New Roman"/>
              </w:rPr>
            </w:pPr>
            <w:r>
              <w:rPr>
                <w:rFonts w:ascii="Times New Roman" w:hAnsi="Times New Roman" w:cs="Times New Roman"/>
              </w:rPr>
              <w:t>Ratio</w:t>
            </w:r>
          </w:p>
        </w:tc>
      </w:tr>
      <w:tr w14:paraId="6F83B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096FB16">
            <w:pPr>
              <w:spacing w:line="240" w:lineRule="auto"/>
              <w:rPr>
                <w:rFonts w:ascii="Times New Roman" w:hAnsi="Times New Roman" w:cs="Times New Roman"/>
              </w:rPr>
            </w:pPr>
            <w:r>
              <w:rPr>
                <w:rFonts w:ascii="Times New Roman" w:hAnsi="Times New Roman" w:cs="Times New Roman"/>
              </w:rPr>
              <w:t>2020</w:t>
            </w:r>
          </w:p>
        </w:tc>
        <w:tc>
          <w:tcPr>
            <w:tcW w:w="1728" w:type="dxa"/>
          </w:tcPr>
          <w:p w14:paraId="7D99527D">
            <w:pPr>
              <w:spacing w:line="240" w:lineRule="auto"/>
              <w:rPr>
                <w:rFonts w:ascii="Times New Roman" w:hAnsi="Times New Roman" w:cs="Times New Roman"/>
              </w:rPr>
            </w:pPr>
            <w:r>
              <w:rPr>
                <w:rFonts w:ascii="Times New Roman" w:hAnsi="Times New Roman" w:cs="Times New Roman"/>
              </w:rPr>
              <w:t>326,843</w:t>
            </w:r>
          </w:p>
        </w:tc>
        <w:tc>
          <w:tcPr>
            <w:tcW w:w="1728" w:type="dxa"/>
          </w:tcPr>
          <w:p w14:paraId="1DCAC81A">
            <w:pPr>
              <w:spacing w:line="240" w:lineRule="auto"/>
              <w:rPr>
                <w:rFonts w:ascii="Times New Roman" w:hAnsi="Times New Roman" w:cs="Times New Roman"/>
              </w:rPr>
            </w:pPr>
            <w:r>
              <w:rPr>
                <w:rFonts w:ascii="Times New Roman" w:hAnsi="Times New Roman" w:cs="Times New Roman"/>
              </w:rPr>
              <w:t>179,510</w:t>
            </w:r>
          </w:p>
        </w:tc>
        <w:tc>
          <w:tcPr>
            <w:tcW w:w="1728" w:type="dxa"/>
          </w:tcPr>
          <w:p w14:paraId="597F1C8D">
            <w:pPr>
              <w:spacing w:line="240" w:lineRule="auto"/>
              <w:rPr>
                <w:rFonts w:ascii="Times New Roman" w:hAnsi="Times New Roman" w:cs="Times New Roman"/>
              </w:rPr>
            </w:pPr>
            <w:r>
              <w:rPr>
                <w:rFonts w:ascii="Times New Roman" w:hAnsi="Times New Roman" w:cs="Times New Roman"/>
              </w:rPr>
              <w:t>326,843 ÷ 179,510</w:t>
            </w:r>
          </w:p>
        </w:tc>
        <w:tc>
          <w:tcPr>
            <w:tcW w:w="1728" w:type="dxa"/>
          </w:tcPr>
          <w:p w14:paraId="06216D2C">
            <w:pPr>
              <w:spacing w:line="240" w:lineRule="auto"/>
              <w:rPr>
                <w:rFonts w:ascii="Times New Roman" w:hAnsi="Times New Roman" w:cs="Times New Roman"/>
              </w:rPr>
            </w:pPr>
            <w:r>
              <w:rPr>
                <w:rFonts w:ascii="Times New Roman" w:hAnsi="Times New Roman" w:cs="Times New Roman"/>
              </w:rPr>
              <w:t>1.82</w:t>
            </w:r>
          </w:p>
        </w:tc>
      </w:tr>
      <w:tr w14:paraId="6EC43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2F7B118">
            <w:pPr>
              <w:spacing w:line="240" w:lineRule="auto"/>
              <w:rPr>
                <w:rFonts w:ascii="Times New Roman" w:hAnsi="Times New Roman" w:cs="Times New Roman"/>
              </w:rPr>
            </w:pPr>
            <w:r>
              <w:rPr>
                <w:rFonts w:ascii="Times New Roman" w:hAnsi="Times New Roman" w:cs="Times New Roman"/>
              </w:rPr>
              <w:t>2021</w:t>
            </w:r>
          </w:p>
        </w:tc>
        <w:tc>
          <w:tcPr>
            <w:tcW w:w="1728" w:type="dxa"/>
          </w:tcPr>
          <w:p w14:paraId="3712383B">
            <w:pPr>
              <w:spacing w:line="240" w:lineRule="auto"/>
              <w:rPr>
                <w:rFonts w:ascii="Times New Roman" w:hAnsi="Times New Roman" w:cs="Times New Roman"/>
              </w:rPr>
            </w:pPr>
            <w:r>
              <w:rPr>
                <w:rFonts w:ascii="Times New Roman" w:hAnsi="Times New Roman" w:cs="Times New Roman"/>
              </w:rPr>
              <w:t>337,146</w:t>
            </w:r>
          </w:p>
        </w:tc>
        <w:tc>
          <w:tcPr>
            <w:tcW w:w="1728" w:type="dxa"/>
          </w:tcPr>
          <w:p w14:paraId="26E8E6B1">
            <w:pPr>
              <w:spacing w:line="240" w:lineRule="auto"/>
              <w:rPr>
                <w:rFonts w:ascii="Times New Roman" w:hAnsi="Times New Roman" w:cs="Times New Roman"/>
              </w:rPr>
            </w:pPr>
            <w:r>
              <w:rPr>
                <w:rFonts w:ascii="Times New Roman" w:hAnsi="Times New Roman" w:cs="Times New Roman"/>
              </w:rPr>
              <w:t>216,787</w:t>
            </w:r>
          </w:p>
        </w:tc>
        <w:tc>
          <w:tcPr>
            <w:tcW w:w="1728" w:type="dxa"/>
          </w:tcPr>
          <w:p w14:paraId="6678E91A">
            <w:pPr>
              <w:spacing w:line="240" w:lineRule="auto"/>
              <w:rPr>
                <w:rFonts w:ascii="Times New Roman" w:hAnsi="Times New Roman" w:cs="Times New Roman"/>
              </w:rPr>
            </w:pPr>
            <w:r>
              <w:rPr>
                <w:rFonts w:ascii="Times New Roman" w:hAnsi="Times New Roman" w:cs="Times New Roman"/>
              </w:rPr>
              <w:t>337,146 ÷ 216,787</w:t>
            </w:r>
          </w:p>
        </w:tc>
        <w:tc>
          <w:tcPr>
            <w:tcW w:w="1728" w:type="dxa"/>
          </w:tcPr>
          <w:p w14:paraId="314DC709">
            <w:pPr>
              <w:spacing w:line="240" w:lineRule="auto"/>
              <w:rPr>
                <w:rFonts w:ascii="Times New Roman" w:hAnsi="Times New Roman" w:cs="Times New Roman"/>
              </w:rPr>
            </w:pPr>
            <w:r>
              <w:rPr>
                <w:rFonts w:ascii="Times New Roman" w:hAnsi="Times New Roman" w:cs="Times New Roman"/>
              </w:rPr>
              <w:t>1.56</w:t>
            </w:r>
          </w:p>
        </w:tc>
      </w:tr>
      <w:tr w14:paraId="0D39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29FDDDB">
            <w:pPr>
              <w:spacing w:line="240" w:lineRule="auto"/>
              <w:rPr>
                <w:rFonts w:ascii="Times New Roman" w:hAnsi="Times New Roman" w:cs="Times New Roman"/>
              </w:rPr>
            </w:pPr>
            <w:r>
              <w:rPr>
                <w:rFonts w:ascii="Times New Roman" w:hAnsi="Times New Roman" w:cs="Times New Roman"/>
              </w:rPr>
              <w:t>2022</w:t>
            </w:r>
          </w:p>
        </w:tc>
        <w:tc>
          <w:tcPr>
            <w:tcW w:w="1728" w:type="dxa"/>
          </w:tcPr>
          <w:p w14:paraId="4B74CA9B">
            <w:pPr>
              <w:spacing w:line="240" w:lineRule="auto"/>
              <w:rPr>
                <w:rFonts w:ascii="Times New Roman" w:hAnsi="Times New Roman" w:cs="Times New Roman"/>
              </w:rPr>
            </w:pPr>
            <w:r>
              <w:rPr>
                <w:rFonts w:ascii="Times New Roman" w:hAnsi="Times New Roman" w:cs="Times New Roman"/>
              </w:rPr>
              <w:t>338,040</w:t>
            </w:r>
          </w:p>
        </w:tc>
        <w:tc>
          <w:tcPr>
            <w:tcW w:w="1728" w:type="dxa"/>
          </w:tcPr>
          <w:p w14:paraId="7210BAE4">
            <w:pPr>
              <w:spacing w:line="240" w:lineRule="auto"/>
              <w:rPr>
                <w:rFonts w:ascii="Times New Roman" w:hAnsi="Times New Roman" w:cs="Times New Roman"/>
              </w:rPr>
            </w:pPr>
            <w:r>
              <w:rPr>
                <w:rFonts w:ascii="Times New Roman" w:hAnsi="Times New Roman" w:cs="Times New Roman"/>
              </w:rPr>
              <w:t>216,473</w:t>
            </w:r>
          </w:p>
        </w:tc>
        <w:tc>
          <w:tcPr>
            <w:tcW w:w="1728" w:type="dxa"/>
          </w:tcPr>
          <w:p w14:paraId="671D1E2F">
            <w:pPr>
              <w:spacing w:line="240" w:lineRule="auto"/>
              <w:rPr>
                <w:rFonts w:ascii="Times New Roman" w:hAnsi="Times New Roman" w:cs="Times New Roman"/>
              </w:rPr>
            </w:pPr>
            <w:r>
              <w:rPr>
                <w:rFonts w:ascii="Times New Roman" w:hAnsi="Times New Roman" w:cs="Times New Roman"/>
              </w:rPr>
              <w:t>338,040 ÷ 216,473</w:t>
            </w:r>
          </w:p>
        </w:tc>
        <w:tc>
          <w:tcPr>
            <w:tcW w:w="1728" w:type="dxa"/>
          </w:tcPr>
          <w:p w14:paraId="1B30F242">
            <w:pPr>
              <w:spacing w:line="240" w:lineRule="auto"/>
              <w:rPr>
                <w:rFonts w:ascii="Times New Roman" w:hAnsi="Times New Roman" w:cs="Times New Roman"/>
              </w:rPr>
            </w:pPr>
            <w:r>
              <w:rPr>
                <w:rFonts w:ascii="Times New Roman" w:hAnsi="Times New Roman" w:cs="Times New Roman"/>
              </w:rPr>
              <w:t>1.56</w:t>
            </w:r>
          </w:p>
        </w:tc>
      </w:tr>
      <w:tr w14:paraId="4D87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5B9A51D">
            <w:pPr>
              <w:spacing w:line="240" w:lineRule="auto"/>
              <w:rPr>
                <w:rFonts w:ascii="Times New Roman" w:hAnsi="Times New Roman" w:cs="Times New Roman"/>
              </w:rPr>
            </w:pPr>
            <w:r>
              <w:rPr>
                <w:rFonts w:ascii="Times New Roman" w:hAnsi="Times New Roman" w:cs="Times New Roman"/>
              </w:rPr>
              <w:t>2023</w:t>
            </w:r>
          </w:p>
        </w:tc>
        <w:tc>
          <w:tcPr>
            <w:tcW w:w="1728" w:type="dxa"/>
          </w:tcPr>
          <w:p w14:paraId="701D3241">
            <w:pPr>
              <w:spacing w:line="240" w:lineRule="auto"/>
              <w:rPr>
                <w:rFonts w:ascii="Times New Roman" w:hAnsi="Times New Roman" w:cs="Times New Roman"/>
              </w:rPr>
            </w:pPr>
            <w:r>
              <w:rPr>
                <w:rFonts w:ascii="Times New Roman" w:hAnsi="Times New Roman" w:cs="Times New Roman"/>
              </w:rPr>
              <w:t>258,851</w:t>
            </w:r>
          </w:p>
        </w:tc>
        <w:tc>
          <w:tcPr>
            <w:tcW w:w="1728" w:type="dxa"/>
          </w:tcPr>
          <w:p w14:paraId="1F9473D4">
            <w:pPr>
              <w:spacing w:line="240" w:lineRule="auto"/>
              <w:rPr>
                <w:rFonts w:ascii="Times New Roman" w:hAnsi="Times New Roman" w:cs="Times New Roman"/>
              </w:rPr>
            </w:pPr>
            <w:r>
              <w:rPr>
                <w:rFonts w:ascii="Times New Roman" w:hAnsi="Times New Roman" w:cs="Times New Roman"/>
              </w:rPr>
              <w:t>161,148</w:t>
            </w:r>
          </w:p>
        </w:tc>
        <w:tc>
          <w:tcPr>
            <w:tcW w:w="1728" w:type="dxa"/>
          </w:tcPr>
          <w:p w14:paraId="02E7E010">
            <w:pPr>
              <w:spacing w:line="240" w:lineRule="auto"/>
              <w:rPr>
                <w:rFonts w:ascii="Times New Roman" w:hAnsi="Times New Roman" w:cs="Times New Roman"/>
              </w:rPr>
            </w:pPr>
            <w:r>
              <w:rPr>
                <w:rFonts w:ascii="Times New Roman" w:hAnsi="Times New Roman" w:cs="Times New Roman"/>
              </w:rPr>
              <w:t>258,851 ÷ 161,148</w:t>
            </w:r>
          </w:p>
        </w:tc>
        <w:tc>
          <w:tcPr>
            <w:tcW w:w="1728" w:type="dxa"/>
          </w:tcPr>
          <w:p w14:paraId="697C720D">
            <w:pPr>
              <w:spacing w:line="240" w:lineRule="auto"/>
              <w:rPr>
                <w:rFonts w:ascii="Times New Roman" w:hAnsi="Times New Roman" w:cs="Times New Roman"/>
              </w:rPr>
            </w:pPr>
            <w:r>
              <w:rPr>
                <w:rFonts w:ascii="Times New Roman" w:hAnsi="Times New Roman" w:cs="Times New Roman"/>
              </w:rPr>
              <w:t>1.61</w:t>
            </w:r>
          </w:p>
        </w:tc>
      </w:tr>
      <w:tr w14:paraId="2FC64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5B4CEFD">
            <w:pPr>
              <w:spacing w:line="240" w:lineRule="auto"/>
              <w:rPr>
                <w:rFonts w:ascii="Times New Roman" w:hAnsi="Times New Roman" w:cs="Times New Roman"/>
              </w:rPr>
            </w:pPr>
            <w:r>
              <w:rPr>
                <w:rFonts w:ascii="Times New Roman" w:hAnsi="Times New Roman" w:cs="Times New Roman"/>
              </w:rPr>
              <w:t>2024</w:t>
            </w:r>
          </w:p>
        </w:tc>
        <w:tc>
          <w:tcPr>
            <w:tcW w:w="1728" w:type="dxa"/>
          </w:tcPr>
          <w:p w14:paraId="6A6B84E4">
            <w:pPr>
              <w:spacing w:line="240" w:lineRule="auto"/>
              <w:rPr>
                <w:rFonts w:ascii="Times New Roman" w:hAnsi="Times New Roman" w:cs="Times New Roman"/>
              </w:rPr>
            </w:pPr>
            <w:r>
              <w:rPr>
                <w:rFonts w:ascii="Times New Roman" w:hAnsi="Times New Roman" w:cs="Times New Roman"/>
              </w:rPr>
              <w:t>242,494</w:t>
            </w:r>
          </w:p>
        </w:tc>
        <w:tc>
          <w:tcPr>
            <w:tcW w:w="1728" w:type="dxa"/>
          </w:tcPr>
          <w:p w14:paraId="05DE7F92">
            <w:pPr>
              <w:spacing w:line="240" w:lineRule="auto"/>
              <w:rPr>
                <w:rFonts w:ascii="Times New Roman" w:hAnsi="Times New Roman" w:cs="Times New Roman"/>
              </w:rPr>
            </w:pPr>
            <w:r>
              <w:rPr>
                <w:rFonts w:ascii="Times New Roman" w:hAnsi="Times New Roman" w:cs="Times New Roman"/>
              </w:rPr>
              <w:t>158,291</w:t>
            </w:r>
          </w:p>
        </w:tc>
        <w:tc>
          <w:tcPr>
            <w:tcW w:w="1728" w:type="dxa"/>
          </w:tcPr>
          <w:p w14:paraId="5E338528">
            <w:pPr>
              <w:spacing w:line="240" w:lineRule="auto"/>
              <w:rPr>
                <w:rFonts w:ascii="Times New Roman" w:hAnsi="Times New Roman" w:cs="Times New Roman"/>
              </w:rPr>
            </w:pPr>
            <w:r>
              <w:rPr>
                <w:rFonts w:ascii="Times New Roman" w:hAnsi="Times New Roman" w:cs="Times New Roman"/>
              </w:rPr>
              <w:t>242,494 ÷ 158,291</w:t>
            </w:r>
          </w:p>
        </w:tc>
        <w:tc>
          <w:tcPr>
            <w:tcW w:w="1728" w:type="dxa"/>
          </w:tcPr>
          <w:p w14:paraId="13F93272">
            <w:pPr>
              <w:spacing w:line="240" w:lineRule="auto"/>
              <w:rPr>
                <w:rFonts w:ascii="Times New Roman" w:hAnsi="Times New Roman" w:cs="Times New Roman"/>
              </w:rPr>
            </w:pPr>
            <w:r>
              <w:rPr>
                <w:rFonts w:ascii="Times New Roman" w:hAnsi="Times New Roman" w:cs="Times New Roman"/>
              </w:rPr>
              <w:t>1.53</w:t>
            </w:r>
          </w:p>
        </w:tc>
      </w:tr>
    </w:tbl>
    <w:p w14:paraId="5574D610">
      <w:pPr>
        <w:pStyle w:val="3"/>
        <w:rPr>
          <w:rFonts w:ascii="Times New Roman" w:hAnsi="Times New Roman" w:cs="Times New Roman"/>
          <w:sz w:val="28"/>
          <w:szCs w:val="28"/>
        </w:rPr>
      </w:pPr>
    </w:p>
    <w:p w14:paraId="1E01A7EB">
      <w:pPr>
        <w:rPr>
          <w:rFonts w:ascii="Times New Roman" w:hAnsi="Times New Roman" w:cs="Times New Roman"/>
        </w:rPr>
      </w:pPr>
      <w:r>
        <w:rPr>
          <w:rFonts w:ascii="Times New Roman" w:hAnsi="Times New Roman" w:cs="Times New Roman"/>
        </w:rPr>
        <w:t>Table 7: Quick Ratio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391"/>
        <w:gridCol w:w="1405"/>
        <w:gridCol w:w="1408"/>
        <w:gridCol w:w="1917"/>
        <w:gridCol w:w="1370"/>
      </w:tblGrid>
      <w:tr w14:paraId="5AEA5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10473709">
            <w:pPr>
              <w:spacing w:line="240" w:lineRule="auto"/>
              <w:rPr>
                <w:rFonts w:ascii="Times New Roman" w:hAnsi="Times New Roman" w:cs="Times New Roman"/>
              </w:rPr>
            </w:pPr>
            <w:r>
              <w:rPr>
                <w:rFonts w:ascii="Times New Roman" w:hAnsi="Times New Roman" w:cs="Times New Roman"/>
              </w:rPr>
              <w:t>Year</w:t>
            </w:r>
          </w:p>
        </w:tc>
        <w:tc>
          <w:tcPr>
            <w:tcW w:w="1440" w:type="dxa"/>
          </w:tcPr>
          <w:p w14:paraId="62C00913">
            <w:pPr>
              <w:spacing w:line="240" w:lineRule="auto"/>
              <w:rPr>
                <w:rFonts w:ascii="Times New Roman" w:hAnsi="Times New Roman" w:cs="Times New Roman"/>
              </w:rPr>
            </w:pPr>
            <w:r>
              <w:rPr>
                <w:rFonts w:ascii="Times New Roman" w:hAnsi="Times New Roman" w:cs="Times New Roman"/>
              </w:rPr>
              <w:t>Current Assets</w:t>
            </w:r>
          </w:p>
        </w:tc>
        <w:tc>
          <w:tcPr>
            <w:tcW w:w="1440" w:type="dxa"/>
          </w:tcPr>
          <w:p w14:paraId="45DA935B">
            <w:pPr>
              <w:spacing w:line="240" w:lineRule="auto"/>
              <w:rPr>
                <w:rFonts w:ascii="Times New Roman" w:hAnsi="Times New Roman" w:cs="Times New Roman"/>
              </w:rPr>
            </w:pPr>
            <w:r>
              <w:rPr>
                <w:rFonts w:ascii="Times New Roman" w:hAnsi="Times New Roman" w:cs="Times New Roman"/>
              </w:rPr>
              <w:t>Inventory</w:t>
            </w:r>
          </w:p>
        </w:tc>
        <w:tc>
          <w:tcPr>
            <w:tcW w:w="1440" w:type="dxa"/>
          </w:tcPr>
          <w:p w14:paraId="367FBE68">
            <w:pPr>
              <w:spacing w:line="240" w:lineRule="auto"/>
              <w:rPr>
                <w:rFonts w:ascii="Times New Roman" w:hAnsi="Times New Roman" w:cs="Times New Roman"/>
              </w:rPr>
            </w:pPr>
            <w:r>
              <w:rPr>
                <w:rFonts w:ascii="Times New Roman" w:hAnsi="Times New Roman" w:cs="Times New Roman"/>
              </w:rPr>
              <w:t>Current Liabilities</w:t>
            </w:r>
          </w:p>
        </w:tc>
        <w:tc>
          <w:tcPr>
            <w:tcW w:w="1440" w:type="dxa"/>
          </w:tcPr>
          <w:p w14:paraId="1DE39E75">
            <w:pPr>
              <w:spacing w:line="240" w:lineRule="auto"/>
              <w:rPr>
                <w:rFonts w:ascii="Times New Roman" w:hAnsi="Times New Roman" w:cs="Times New Roman"/>
              </w:rPr>
            </w:pPr>
            <w:r>
              <w:rPr>
                <w:rFonts w:ascii="Times New Roman" w:hAnsi="Times New Roman" w:cs="Times New Roman"/>
              </w:rPr>
              <w:t>Calculation</w:t>
            </w:r>
          </w:p>
        </w:tc>
        <w:tc>
          <w:tcPr>
            <w:tcW w:w="1440" w:type="dxa"/>
          </w:tcPr>
          <w:p w14:paraId="7760F1C5">
            <w:pPr>
              <w:spacing w:line="240" w:lineRule="auto"/>
              <w:rPr>
                <w:rFonts w:ascii="Times New Roman" w:hAnsi="Times New Roman" w:cs="Times New Roman"/>
              </w:rPr>
            </w:pPr>
            <w:r>
              <w:rPr>
                <w:rFonts w:ascii="Times New Roman" w:hAnsi="Times New Roman" w:cs="Times New Roman"/>
              </w:rPr>
              <w:t>Ratio</w:t>
            </w:r>
          </w:p>
        </w:tc>
      </w:tr>
      <w:tr w14:paraId="1F558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154C1DE6">
            <w:pPr>
              <w:spacing w:line="240" w:lineRule="auto"/>
              <w:rPr>
                <w:rFonts w:ascii="Times New Roman" w:hAnsi="Times New Roman" w:cs="Times New Roman"/>
              </w:rPr>
            </w:pPr>
            <w:r>
              <w:rPr>
                <w:rFonts w:ascii="Times New Roman" w:hAnsi="Times New Roman" w:cs="Times New Roman"/>
              </w:rPr>
              <w:t>2020</w:t>
            </w:r>
          </w:p>
        </w:tc>
        <w:tc>
          <w:tcPr>
            <w:tcW w:w="1440" w:type="dxa"/>
          </w:tcPr>
          <w:p w14:paraId="6AC6B268">
            <w:pPr>
              <w:spacing w:line="240" w:lineRule="auto"/>
              <w:rPr>
                <w:rFonts w:ascii="Times New Roman" w:hAnsi="Times New Roman" w:cs="Times New Roman"/>
              </w:rPr>
            </w:pPr>
            <w:r>
              <w:rPr>
                <w:rFonts w:ascii="Times New Roman" w:hAnsi="Times New Roman" w:cs="Times New Roman"/>
              </w:rPr>
              <w:t>326,843</w:t>
            </w:r>
          </w:p>
        </w:tc>
        <w:tc>
          <w:tcPr>
            <w:tcW w:w="1440" w:type="dxa"/>
          </w:tcPr>
          <w:p w14:paraId="4B066335">
            <w:pPr>
              <w:spacing w:line="240" w:lineRule="auto"/>
              <w:rPr>
                <w:rFonts w:ascii="Times New Roman" w:hAnsi="Times New Roman" w:cs="Times New Roman"/>
              </w:rPr>
            </w:pPr>
            <w:r>
              <w:rPr>
                <w:rFonts w:ascii="Times New Roman" w:hAnsi="Times New Roman" w:cs="Times New Roman"/>
              </w:rPr>
              <w:t>120,430</w:t>
            </w:r>
          </w:p>
        </w:tc>
        <w:tc>
          <w:tcPr>
            <w:tcW w:w="1440" w:type="dxa"/>
          </w:tcPr>
          <w:p w14:paraId="4C52FE32">
            <w:pPr>
              <w:spacing w:line="240" w:lineRule="auto"/>
              <w:rPr>
                <w:rFonts w:ascii="Times New Roman" w:hAnsi="Times New Roman" w:cs="Times New Roman"/>
              </w:rPr>
            </w:pPr>
            <w:r>
              <w:rPr>
                <w:rFonts w:ascii="Times New Roman" w:hAnsi="Times New Roman" w:cs="Times New Roman"/>
              </w:rPr>
              <w:t>179,510</w:t>
            </w:r>
          </w:p>
        </w:tc>
        <w:tc>
          <w:tcPr>
            <w:tcW w:w="1440" w:type="dxa"/>
          </w:tcPr>
          <w:p w14:paraId="6019DFC1">
            <w:pPr>
              <w:spacing w:line="240" w:lineRule="auto"/>
              <w:rPr>
                <w:rFonts w:ascii="Times New Roman" w:hAnsi="Times New Roman" w:cs="Times New Roman"/>
              </w:rPr>
            </w:pPr>
            <w:r>
              <w:rPr>
                <w:rFonts w:ascii="Times New Roman" w:hAnsi="Times New Roman" w:cs="Times New Roman"/>
              </w:rPr>
              <w:t>(326,843−120,430) ÷ 179,510</w:t>
            </w:r>
          </w:p>
        </w:tc>
        <w:tc>
          <w:tcPr>
            <w:tcW w:w="1440" w:type="dxa"/>
          </w:tcPr>
          <w:p w14:paraId="109997B7">
            <w:pPr>
              <w:spacing w:line="240" w:lineRule="auto"/>
              <w:rPr>
                <w:rFonts w:ascii="Times New Roman" w:hAnsi="Times New Roman" w:cs="Times New Roman"/>
              </w:rPr>
            </w:pPr>
            <w:r>
              <w:rPr>
                <w:rFonts w:ascii="Times New Roman" w:hAnsi="Times New Roman" w:cs="Times New Roman"/>
              </w:rPr>
              <w:t>1.15</w:t>
            </w:r>
          </w:p>
        </w:tc>
      </w:tr>
      <w:tr w14:paraId="55D25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112523B8">
            <w:pPr>
              <w:spacing w:line="240" w:lineRule="auto"/>
              <w:rPr>
                <w:rFonts w:ascii="Times New Roman" w:hAnsi="Times New Roman" w:cs="Times New Roman"/>
              </w:rPr>
            </w:pPr>
            <w:r>
              <w:rPr>
                <w:rFonts w:ascii="Times New Roman" w:hAnsi="Times New Roman" w:cs="Times New Roman"/>
              </w:rPr>
              <w:t>2021</w:t>
            </w:r>
          </w:p>
        </w:tc>
        <w:tc>
          <w:tcPr>
            <w:tcW w:w="1440" w:type="dxa"/>
          </w:tcPr>
          <w:p w14:paraId="034A2D53">
            <w:pPr>
              <w:spacing w:line="240" w:lineRule="auto"/>
              <w:rPr>
                <w:rFonts w:ascii="Times New Roman" w:hAnsi="Times New Roman" w:cs="Times New Roman"/>
              </w:rPr>
            </w:pPr>
            <w:r>
              <w:rPr>
                <w:rFonts w:ascii="Times New Roman" w:hAnsi="Times New Roman" w:cs="Times New Roman"/>
              </w:rPr>
              <w:t>337,146</w:t>
            </w:r>
          </w:p>
        </w:tc>
        <w:tc>
          <w:tcPr>
            <w:tcW w:w="1440" w:type="dxa"/>
          </w:tcPr>
          <w:p w14:paraId="51B9C367">
            <w:pPr>
              <w:spacing w:line="240" w:lineRule="auto"/>
              <w:rPr>
                <w:rFonts w:ascii="Times New Roman" w:hAnsi="Times New Roman" w:cs="Times New Roman"/>
              </w:rPr>
            </w:pPr>
            <w:r>
              <w:rPr>
                <w:rFonts w:ascii="Times New Roman" w:hAnsi="Times New Roman" w:cs="Times New Roman"/>
              </w:rPr>
              <w:t>134,469</w:t>
            </w:r>
          </w:p>
        </w:tc>
        <w:tc>
          <w:tcPr>
            <w:tcW w:w="1440" w:type="dxa"/>
          </w:tcPr>
          <w:p w14:paraId="5E1BC5E6">
            <w:pPr>
              <w:spacing w:line="240" w:lineRule="auto"/>
              <w:rPr>
                <w:rFonts w:ascii="Times New Roman" w:hAnsi="Times New Roman" w:cs="Times New Roman"/>
              </w:rPr>
            </w:pPr>
            <w:r>
              <w:rPr>
                <w:rFonts w:ascii="Times New Roman" w:hAnsi="Times New Roman" w:cs="Times New Roman"/>
              </w:rPr>
              <w:t>216,787</w:t>
            </w:r>
          </w:p>
        </w:tc>
        <w:tc>
          <w:tcPr>
            <w:tcW w:w="1440" w:type="dxa"/>
          </w:tcPr>
          <w:p w14:paraId="0E500ADF">
            <w:pPr>
              <w:spacing w:line="240" w:lineRule="auto"/>
              <w:rPr>
                <w:rFonts w:ascii="Times New Roman" w:hAnsi="Times New Roman" w:cs="Times New Roman"/>
              </w:rPr>
            </w:pPr>
            <w:r>
              <w:rPr>
                <w:rFonts w:ascii="Times New Roman" w:hAnsi="Times New Roman" w:cs="Times New Roman"/>
              </w:rPr>
              <w:t>(337,146−134,469) ÷ 216,787</w:t>
            </w:r>
          </w:p>
        </w:tc>
        <w:tc>
          <w:tcPr>
            <w:tcW w:w="1440" w:type="dxa"/>
          </w:tcPr>
          <w:p w14:paraId="236BE263">
            <w:pPr>
              <w:spacing w:line="240" w:lineRule="auto"/>
              <w:rPr>
                <w:rFonts w:ascii="Times New Roman" w:hAnsi="Times New Roman" w:cs="Times New Roman"/>
              </w:rPr>
            </w:pPr>
            <w:r>
              <w:rPr>
                <w:rFonts w:ascii="Times New Roman" w:hAnsi="Times New Roman" w:cs="Times New Roman"/>
              </w:rPr>
              <w:t>1.03</w:t>
            </w:r>
          </w:p>
        </w:tc>
      </w:tr>
      <w:tr w14:paraId="53C46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022CCEE3">
            <w:pPr>
              <w:spacing w:line="240" w:lineRule="auto"/>
              <w:rPr>
                <w:rFonts w:ascii="Times New Roman" w:hAnsi="Times New Roman" w:cs="Times New Roman"/>
              </w:rPr>
            </w:pPr>
            <w:r>
              <w:rPr>
                <w:rFonts w:ascii="Times New Roman" w:hAnsi="Times New Roman" w:cs="Times New Roman"/>
              </w:rPr>
              <w:t>2022</w:t>
            </w:r>
          </w:p>
        </w:tc>
        <w:tc>
          <w:tcPr>
            <w:tcW w:w="1440" w:type="dxa"/>
          </w:tcPr>
          <w:p w14:paraId="31A74CB0">
            <w:pPr>
              <w:spacing w:line="240" w:lineRule="auto"/>
              <w:rPr>
                <w:rFonts w:ascii="Times New Roman" w:hAnsi="Times New Roman" w:cs="Times New Roman"/>
              </w:rPr>
            </w:pPr>
            <w:r>
              <w:rPr>
                <w:rFonts w:ascii="Times New Roman" w:hAnsi="Times New Roman" w:cs="Times New Roman"/>
              </w:rPr>
              <w:t>338,040</w:t>
            </w:r>
          </w:p>
        </w:tc>
        <w:tc>
          <w:tcPr>
            <w:tcW w:w="1440" w:type="dxa"/>
          </w:tcPr>
          <w:p w14:paraId="60A39F07">
            <w:pPr>
              <w:spacing w:line="240" w:lineRule="auto"/>
              <w:rPr>
                <w:rFonts w:ascii="Times New Roman" w:hAnsi="Times New Roman" w:cs="Times New Roman"/>
              </w:rPr>
            </w:pPr>
            <w:r>
              <w:rPr>
                <w:rFonts w:ascii="Times New Roman" w:hAnsi="Times New Roman" w:cs="Times New Roman"/>
              </w:rPr>
              <w:t>140,181</w:t>
            </w:r>
          </w:p>
        </w:tc>
        <w:tc>
          <w:tcPr>
            <w:tcW w:w="1440" w:type="dxa"/>
          </w:tcPr>
          <w:p w14:paraId="6B9B8490">
            <w:pPr>
              <w:spacing w:line="240" w:lineRule="auto"/>
              <w:rPr>
                <w:rFonts w:ascii="Times New Roman" w:hAnsi="Times New Roman" w:cs="Times New Roman"/>
              </w:rPr>
            </w:pPr>
            <w:r>
              <w:rPr>
                <w:rFonts w:ascii="Times New Roman" w:hAnsi="Times New Roman" w:cs="Times New Roman"/>
              </w:rPr>
              <w:t>216,473</w:t>
            </w:r>
          </w:p>
        </w:tc>
        <w:tc>
          <w:tcPr>
            <w:tcW w:w="1440" w:type="dxa"/>
          </w:tcPr>
          <w:p w14:paraId="3F515231">
            <w:pPr>
              <w:spacing w:line="240" w:lineRule="auto"/>
              <w:rPr>
                <w:rFonts w:ascii="Times New Roman" w:hAnsi="Times New Roman" w:cs="Times New Roman"/>
              </w:rPr>
            </w:pPr>
            <w:r>
              <w:rPr>
                <w:rFonts w:ascii="Times New Roman" w:hAnsi="Times New Roman" w:cs="Times New Roman"/>
              </w:rPr>
              <w:t>(338,040−140,181) ÷ 216,473</w:t>
            </w:r>
          </w:p>
        </w:tc>
        <w:tc>
          <w:tcPr>
            <w:tcW w:w="1440" w:type="dxa"/>
          </w:tcPr>
          <w:p w14:paraId="4EED49C2">
            <w:pPr>
              <w:spacing w:line="240" w:lineRule="auto"/>
              <w:rPr>
                <w:rFonts w:ascii="Times New Roman" w:hAnsi="Times New Roman" w:cs="Times New Roman"/>
              </w:rPr>
            </w:pPr>
            <w:r>
              <w:rPr>
                <w:rFonts w:ascii="Times New Roman" w:hAnsi="Times New Roman" w:cs="Times New Roman"/>
              </w:rPr>
              <w:t>0.93</w:t>
            </w:r>
          </w:p>
        </w:tc>
      </w:tr>
      <w:tr w14:paraId="5A38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5C927EFF">
            <w:pPr>
              <w:spacing w:line="240" w:lineRule="auto"/>
              <w:rPr>
                <w:rFonts w:ascii="Times New Roman" w:hAnsi="Times New Roman" w:cs="Times New Roman"/>
              </w:rPr>
            </w:pPr>
            <w:r>
              <w:rPr>
                <w:rFonts w:ascii="Times New Roman" w:hAnsi="Times New Roman" w:cs="Times New Roman"/>
              </w:rPr>
              <w:t>2023</w:t>
            </w:r>
          </w:p>
        </w:tc>
        <w:tc>
          <w:tcPr>
            <w:tcW w:w="1440" w:type="dxa"/>
          </w:tcPr>
          <w:p w14:paraId="0FCDB8CF">
            <w:pPr>
              <w:spacing w:line="240" w:lineRule="auto"/>
              <w:rPr>
                <w:rFonts w:ascii="Times New Roman" w:hAnsi="Times New Roman" w:cs="Times New Roman"/>
              </w:rPr>
            </w:pPr>
            <w:r>
              <w:rPr>
                <w:rFonts w:ascii="Times New Roman" w:hAnsi="Times New Roman" w:cs="Times New Roman"/>
              </w:rPr>
              <w:t>258,851</w:t>
            </w:r>
          </w:p>
        </w:tc>
        <w:tc>
          <w:tcPr>
            <w:tcW w:w="1440" w:type="dxa"/>
          </w:tcPr>
          <w:p w14:paraId="029102DC">
            <w:pPr>
              <w:spacing w:line="240" w:lineRule="auto"/>
              <w:rPr>
                <w:rFonts w:ascii="Times New Roman" w:hAnsi="Times New Roman" w:cs="Times New Roman"/>
              </w:rPr>
            </w:pPr>
            <w:r>
              <w:rPr>
                <w:rFonts w:ascii="Times New Roman" w:hAnsi="Times New Roman" w:cs="Times New Roman"/>
              </w:rPr>
              <w:t>88,273</w:t>
            </w:r>
          </w:p>
        </w:tc>
        <w:tc>
          <w:tcPr>
            <w:tcW w:w="1440" w:type="dxa"/>
          </w:tcPr>
          <w:p w14:paraId="2EAACD56">
            <w:pPr>
              <w:spacing w:line="240" w:lineRule="auto"/>
              <w:rPr>
                <w:rFonts w:ascii="Times New Roman" w:hAnsi="Times New Roman" w:cs="Times New Roman"/>
              </w:rPr>
            </w:pPr>
            <w:r>
              <w:rPr>
                <w:rFonts w:ascii="Times New Roman" w:hAnsi="Times New Roman" w:cs="Times New Roman"/>
              </w:rPr>
              <w:t>161,148</w:t>
            </w:r>
          </w:p>
        </w:tc>
        <w:tc>
          <w:tcPr>
            <w:tcW w:w="1440" w:type="dxa"/>
          </w:tcPr>
          <w:p w14:paraId="466AF053">
            <w:pPr>
              <w:spacing w:line="240" w:lineRule="auto"/>
              <w:rPr>
                <w:rFonts w:ascii="Times New Roman" w:hAnsi="Times New Roman" w:cs="Times New Roman"/>
              </w:rPr>
            </w:pPr>
            <w:r>
              <w:rPr>
                <w:rFonts w:ascii="Times New Roman" w:hAnsi="Times New Roman" w:cs="Times New Roman"/>
              </w:rPr>
              <w:t>(258,851−88,273) ÷ 161,148</w:t>
            </w:r>
          </w:p>
        </w:tc>
        <w:tc>
          <w:tcPr>
            <w:tcW w:w="1440" w:type="dxa"/>
          </w:tcPr>
          <w:p w14:paraId="664622CF">
            <w:pPr>
              <w:spacing w:line="240" w:lineRule="auto"/>
              <w:rPr>
                <w:rFonts w:ascii="Times New Roman" w:hAnsi="Times New Roman" w:cs="Times New Roman"/>
              </w:rPr>
            </w:pPr>
            <w:r>
              <w:rPr>
                <w:rFonts w:ascii="Times New Roman" w:hAnsi="Times New Roman" w:cs="Times New Roman"/>
              </w:rPr>
              <w:t>0.96</w:t>
            </w:r>
          </w:p>
        </w:tc>
      </w:tr>
      <w:tr w14:paraId="14721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48DAC487">
            <w:pPr>
              <w:spacing w:line="240" w:lineRule="auto"/>
              <w:rPr>
                <w:rFonts w:ascii="Times New Roman" w:hAnsi="Times New Roman" w:cs="Times New Roman"/>
              </w:rPr>
            </w:pPr>
            <w:r>
              <w:rPr>
                <w:rFonts w:ascii="Times New Roman" w:hAnsi="Times New Roman" w:cs="Times New Roman"/>
              </w:rPr>
              <w:t>2024</w:t>
            </w:r>
          </w:p>
        </w:tc>
        <w:tc>
          <w:tcPr>
            <w:tcW w:w="1440" w:type="dxa"/>
          </w:tcPr>
          <w:p w14:paraId="3CFE5931">
            <w:pPr>
              <w:spacing w:line="240" w:lineRule="auto"/>
              <w:rPr>
                <w:rFonts w:ascii="Times New Roman" w:hAnsi="Times New Roman" w:cs="Times New Roman"/>
              </w:rPr>
            </w:pPr>
            <w:r>
              <w:rPr>
                <w:rFonts w:ascii="Times New Roman" w:hAnsi="Times New Roman" w:cs="Times New Roman"/>
              </w:rPr>
              <w:t>242,494</w:t>
            </w:r>
          </w:p>
        </w:tc>
        <w:tc>
          <w:tcPr>
            <w:tcW w:w="1440" w:type="dxa"/>
          </w:tcPr>
          <w:p w14:paraId="0F5DB6E2">
            <w:pPr>
              <w:spacing w:line="240" w:lineRule="auto"/>
              <w:rPr>
                <w:rFonts w:ascii="Times New Roman" w:hAnsi="Times New Roman" w:cs="Times New Roman"/>
              </w:rPr>
            </w:pPr>
            <w:r>
              <w:rPr>
                <w:rFonts w:ascii="Times New Roman" w:hAnsi="Times New Roman" w:cs="Times New Roman"/>
              </w:rPr>
              <w:t>79,355</w:t>
            </w:r>
          </w:p>
        </w:tc>
        <w:tc>
          <w:tcPr>
            <w:tcW w:w="1440" w:type="dxa"/>
          </w:tcPr>
          <w:p w14:paraId="2C48925B">
            <w:pPr>
              <w:spacing w:line="240" w:lineRule="auto"/>
              <w:rPr>
                <w:rFonts w:ascii="Times New Roman" w:hAnsi="Times New Roman" w:cs="Times New Roman"/>
              </w:rPr>
            </w:pPr>
            <w:r>
              <w:rPr>
                <w:rFonts w:ascii="Times New Roman" w:hAnsi="Times New Roman" w:cs="Times New Roman"/>
              </w:rPr>
              <w:t>158,291</w:t>
            </w:r>
          </w:p>
        </w:tc>
        <w:tc>
          <w:tcPr>
            <w:tcW w:w="1440" w:type="dxa"/>
          </w:tcPr>
          <w:p w14:paraId="76487C3E">
            <w:pPr>
              <w:spacing w:line="240" w:lineRule="auto"/>
              <w:rPr>
                <w:rFonts w:ascii="Times New Roman" w:hAnsi="Times New Roman" w:cs="Times New Roman"/>
              </w:rPr>
            </w:pPr>
            <w:r>
              <w:rPr>
                <w:rFonts w:ascii="Times New Roman" w:hAnsi="Times New Roman" w:cs="Times New Roman"/>
              </w:rPr>
              <w:t>(242,494−79,355) ÷ 158,291</w:t>
            </w:r>
          </w:p>
        </w:tc>
        <w:tc>
          <w:tcPr>
            <w:tcW w:w="1440" w:type="dxa"/>
          </w:tcPr>
          <w:p w14:paraId="2CB808B0">
            <w:pPr>
              <w:spacing w:line="240" w:lineRule="auto"/>
              <w:rPr>
                <w:rFonts w:ascii="Times New Roman" w:hAnsi="Times New Roman" w:cs="Times New Roman"/>
              </w:rPr>
            </w:pPr>
            <w:r>
              <w:rPr>
                <w:rFonts w:ascii="Times New Roman" w:hAnsi="Times New Roman" w:cs="Times New Roman"/>
              </w:rPr>
              <w:t>0.96</w:t>
            </w:r>
          </w:p>
        </w:tc>
      </w:tr>
    </w:tbl>
    <w:p w14:paraId="4C29B138">
      <w:pPr>
        <w:pStyle w:val="3"/>
        <w:rPr>
          <w:rFonts w:ascii="Times New Roman" w:hAnsi="Times New Roman" w:cs="Times New Roman"/>
          <w:sz w:val="28"/>
          <w:szCs w:val="28"/>
        </w:rPr>
      </w:pPr>
    </w:p>
    <w:p w14:paraId="71DF5989">
      <w:pPr>
        <w:rPr>
          <w:rFonts w:ascii="Times New Roman" w:hAnsi="Times New Roman" w:cs="Times New Roman"/>
        </w:rPr>
      </w:pPr>
      <w:r>
        <w:rPr>
          <w:rFonts w:ascii="Times New Roman" w:hAnsi="Times New Roman" w:cs="Times New Roman"/>
        </w:rPr>
        <w:t>Table 8: Cash Ratio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6344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tcPr>
          <w:p w14:paraId="609E6F3E">
            <w:pPr>
              <w:spacing w:line="240" w:lineRule="auto"/>
              <w:rPr>
                <w:rFonts w:ascii="Times New Roman" w:hAnsi="Times New Roman" w:cs="Times New Roman"/>
              </w:rPr>
            </w:pPr>
            <w:r>
              <w:rPr>
                <w:rFonts w:ascii="Times New Roman" w:hAnsi="Times New Roman" w:cs="Times New Roman"/>
              </w:rPr>
              <w:t>Year</w:t>
            </w:r>
          </w:p>
        </w:tc>
        <w:tc>
          <w:tcPr>
            <w:tcW w:w="1728" w:type="dxa"/>
          </w:tcPr>
          <w:p w14:paraId="17E8F170">
            <w:pPr>
              <w:spacing w:line="240" w:lineRule="auto"/>
              <w:rPr>
                <w:rFonts w:ascii="Times New Roman" w:hAnsi="Times New Roman" w:cs="Times New Roman"/>
              </w:rPr>
            </w:pPr>
            <w:r>
              <w:rPr>
                <w:rFonts w:ascii="Times New Roman" w:hAnsi="Times New Roman" w:cs="Times New Roman"/>
              </w:rPr>
              <w:t>Cash</w:t>
            </w:r>
          </w:p>
        </w:tc>
        <w:tc>
          <w:tcPr>
            <w:tcW w:w="1728" w:type="dxa"/>
          </w:tcPr>
          <w:p w14:paraId="7AE52D61">
            <w:pPr>
              <w:spacing w:line="240" w:lineRule="auto"/>
              <w:rPr>
                <w:rFonts w:ascii="Times New Roman" w:hAnsi="Times New Roman" w:cs="Times New Roman"/>
              </w:rPr>
            </w:pPr>
            <w:r>
              <w:rPr>
                <w:rFonts w:ascii="Times New Roman" w:hAnsi="Times New Roman" w:cs="Times New Roman"/>
              </w:rPr>
              <w:t>Current Liabilities</w:t>
            </w:r>
          </w:p>
        </w:tc>
        <w:tc>
          <w:tcPr>
            <w:tcW w:w="1728" w:type="dxa"/>
          </w:tcPr>
          <w:p w14:paraId="1D8F7D1D">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221E00BD">
            <w:pPr>
              <w:spacing w:line="240" w:lineRule="auto"/>
              <w:rPr>
                <w:rFonts w:ascii="Times New Roman" w:hAnsi="Times New Roman" w:cs="Times New Roman"/>
              </w:rPr>
            </w:pPr>
            <w:r>
              <w:rPr>
                <w:rFonts w:ascii="Times New Roman" w:hAnsi="Times New Roman" w:cs="Times New Roman"/>
              </w:rPr>
              <w:t>Ratio</w:t>
            </w:r>
          </w:p>
        </w:tc>
      </w:tr>
      <w:tr w14:paraId="6AF70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8ADAFB5">
            <w:pPr>
              <w:spacing w:line="240" w:lineRule="auto"/>
              <w:rPr>
                <w:rFonts w:ascii="Times New Roman" w:hAnsi="Times New Roman" w:cs="Times New Roman"/>
              </w:rPr>
            </w:pPr>
            <w:r>
              <w:rPr>
                <w:rFonts w:ascii="Times New Roman" w:hAnsi="Times New Roman" w:cs="Times New Roman"/>
              </w:rPr>
              <w:t>2020</w:t>
            </w:r>
          </w:p>
        </w:tc>
        <w:tc>
          <w:tcPr>
            <w:tcW w:w="1728" w:type="dxa"/>
          </w:tcPr>
          <w:p w14:paraId="4917E146">
            <w:pPr>
              <w:spacing w:line="240" w:lineRule="auto"/>
              <w:rPr>
                <w:rFonts w:ascii="Times New Roman" w:hAnsi="Times New Roman" w:cs="Times New Roman"/>
              </w:rPr>
            </w:pPr>
            <w:r>
              <w:rPr>
                <w:rFonts w:ascii="Times New Roman" w:hAnsi="Times New Roman" w:cs="Times New Roman"/>
              </w:rPr>
              <w:t>57,153</w:t>
            </w:r>
          </w:p>
        </w:tc>
        <w:tc>
          <w:tcPr>
            <w:tcW w:w="1728" w:type="dxa"/>
          </w:tcPr>
          <w:p w14:paraId="2CFB361F">
            <w:pPr>
              <w:spacing w:line="240" w:lineRule="auto"/>
              <w:rPr>
                <w:rFonts w:ascii="Times New Roman" w:hAnsi="Times New Roman" w:cs="Times New Roman"/>
              </w:rPr>
            </w:pPr>
            <w:r>
              <w:rPr>
                <w:rFonts w:ascii="Times New Roman" w:hAnsi="Times New Roman" w:cs="Times New Roman"/>
              </w:rPr>
              <w:t>179,510</w:t>
            </w:r>
          </w:p>
        </w:tc>
        <w:tc>
          <w:tcPr>
            <w:tcW w:w="1728" w:type="dxa"/>
          </w:tcPr>
          <w:p w14:paraId="334B3929">
            <w:pPr>
              <w:spacing w:line="240" w:lineRule="auto"/>
              <w:rPr>
                <w:rFonts w:ascii="Times New Roman" w:hAnsi="Times New Roman" w:cs="Times New Roman"/>
              </w:rPr>
            </w:pPr>
            <w:r>
              <w:rPr>
                <w:rFonts w:ascii="Times New Roman" w:hAnsi="Times New Roman" w:cs="Times New Roman"/>
              </w:rPr>
              <w:t>57,153 ÷ 179,510</w:t>
            </w:r>
          </w:p>
        </w:tc>
        <w:tc>
          <w:tcPr>
            <w:tcW w:w="1728" w:type="dxa"/>
          </w:tcPr>
          <w:p w14:paraId="652BF9CC">
            <w:pPr>
              <w:spacing w:line="240" w:lineRule="auto"/>
              <w:rPr>
                <w:rFonts w:ascii="Times New Roman" w:hAnsi="Times New Roman" w:cs="Times New Roman"/>
              </w:rPr>
            </w:pPr>
            <w:r>
              <w:rPr>
                <w:rFonts w:ascii="Times New Roman" w:hAnsi="Times New Roman" w:cs="Times New Roman"/>
              </w:rPr>
              <w:t>0.32</w:t>
            </w:r>
          </w:p>
        </w:tc>
      </w:tr>
      <w:tr w14:paraId="773D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C923F6C">
            <w:pPr>
              <w:spacing w:line="240" w:lineRule="auto"/>
              <w:rPr>
                <w:rFonts w:ascii="Times New Roman" w:hAnsi="Times New Roman" w:cs="Times New Roman"/>
              </w:rPr>
            </w:pPr>
            <w:r>
              <w:rPr>
                <w:rFonts w:ascii="Times New Roman" w:hAnsi="Times New Roman" w:cs="Times New Roman"/>
              </w:rPr>
              <w:t>2021</w:t>
            </w:r>
          </w:p>
        </w:tc>
        <w:tc>
          <w:tcPr>
            <w:tcW w:w="1728" w:type="dxa"/>
          </w:tcPr>
          <w:p w14:paraId="0717D7DD">
            <w:pPr>
              <w:spacing w:line="240" w:lineRule="auto"/>
              <w:rPr>
                <w:rFonts w:ascii="Times New Roman" w:hAnsi="Times New Roman" w:cs="Times New Roman"/>
              </w:rPr>
            </w:pPr>
            <w:r>
              <w:rPr>
                <w:rFonts w:ascii="Times New Roman" w:hAnsi="Times New Roman" w:cs="Times New Roman"/>
              </w:rPr>
              <w:t>60,813</w:t>
            </w:r>
          </w:p>
        </w:tc>
        <w:tc>
          <w:tcPr>
            <w:tcW w:w="1728" w:type="dxa"/>
          </w:tcPr>
          <w:p w14:paraId="420AFC75">
            <w:pPr>
              <w:spacing w:line="240" w:lineRule="auto"/>
              <w:rPr>
                <w:rFonts w:ascii="Times New Roman" w:hAnsi="Times New Roman" w:cs="Times New Roman"/>
              </w:rPr>
            </w:pPr>
            <w:r>
              <w:rPr>
                <w:rFonts w:ascii="Times New Roman" w:hAnsi="Times New Roman" w:cs="Times New Roman"/>
              </w:rPr>
              <w:t>216,787</w:t>
            </w:r>
          </w:p>
        </w:tc>
        <w:tc>
          <w:tcPr>
            <w:tcW w:w="1728" w:type="dxa"/>
          </w:tcPr>
          <w:p w14:paraId="1E8C3C5E">
            <w:pPr>
              <w:spacing w:line="240" w:lineRule="auto"/>
              <w:rPr>
                <w:rFonts w:ascii="Times New Roman" w:hAnsi="Times New Roman" w:cs="Times New Roman"/>
              </w:rPr>
            </w:pPr>
            <w:r>
              <w:rPr>
                <w:rFonts w:ascii="Times New Roman" w:hAnsi="Times New Roman" w:cs="Times New Roman"/>
              </w:rPr>
              <w:t>60,813 ÷ 216,787</w:t>
            </w:r>
          </w:p>
        </w:tc>
        <w:tc>
          <w:tcPr>
            <w:tcW w:w="1728" w:type="dxa"/>
          </w:tcPr>
          <w:p w14:paraId="69E2A13C">
            <w:pPr>
              <w:spacing w:line="240" w:lineRule="auto"/>
              <w:rPr>
                <w:rFonts w:ascii="Times New Roman" w:hAnsi="Times New Roman" w:cs="Times New Roman"/>
              </w:rPr>
            </w:pPr>
            <w:r>
              <w:rPr>
                <w:rFonts w:ascii="Times New Roman" w:hAnsi="Times New Roman" w:cs="Times New Roman"/>
              </w:rPr>
              <w:t>0.28</w:t>
            </w:r>
          </w:p>
        </w:tc>
      </w:tr>
      <w:tr w14:paraId="6ECB8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6247294">
            <w:pPr>
              <w:spacing w:line="240" w:lineRule="auto"/>
              <w:rPr>
                <w:rFonts w:ascii="Times New Roman" w:hAnsi="Times New Roman" w:cs="Times New Roman"/>
              </w:rPr>
            </w:pPr>
            <w:r>
              <w:rPr>
                <w:rFonts w:ascii="Times New Roman" w:hAnsi="Times New Roman" w:cs="Times New Roman"/>
              </w:rPr>
              <w:t>2022</w:t>
            </w:r>
          </w:p>
        </w:tc>
        <w:tc>
          <w:tcPr>
            <w:tcW w:w="1728" w:type="dxa"/>
          </w:tcPr>
          <w:p w14:paraId="66053826">
            <w:pPr>
              <w:spacing w:line="240" w:lineRule="auto"/>
              <w:rPr>
                <w:rFonts w:ascii="Times New Roman" w:hAnsi="Times New Roman" w:cs="Times New Roman"/>
              </w:rPr>
            </w:pPr>
            <w:r>
              <w:rPr>
                <w:rFonts w:ascii="Times New Roman" w:hAnsi="Times New Roman" w:cs="Times New Roman"/>
              </w:rPr>
              <w:t>66,740</w:t>
            </w:r>
          </w:p>
        </w:tc>
        <w:tc>
          <w:tcPr>
            <w:tcW w:w="1728" w:type="dxa"/>
          </w:tcPr>
          <w:p w14:paraId="6A7D5BEA">
            <w:pPr>
              <w:spacing w:line="240" w:lineRule="auto"/>
              <w:rPr>
                <w:rFonts w:ascii="Times New Roman" w:hAnsi="Times New Roman" w:cs="Times New Roman"/>
              </w:rPr>
            </w:pPr>
            <w:r>
              <w:rPr>
                <w:rFonts w:ascii="Times New Roman" w:hAnsi="Times New Roman" w:cs="Times New Roman"/>
              </w:rPr>
              <w:t>216,473</w:t>
            </w:r>
          </w:p>
        </w:tc>
        <w:tc>
          <w:tcPr>
            <w:tcW w:w="1728" w:type="dxa"/>
          </w:tcPr>
          <w:p w14:paraId="2814BD03">
            <w:pPr>
              <w:spacing w:line="240" w:lineRule="auto"/>
              <w:rPr>
                <w:rFonts w:ascii="Times New Roman" w:hAnsi="Times New Roman" w:cs="Times New Roman"/>
              </w:rPr>
            </w:pPr>
            <w:r>
              <w:rPr>
                <w:rFonts w:ascii="Times New Roman" w:hAnsi="Times New Roman" w:cs="Times New Roman"/>
              </w:rPr>
              <w:t>66,740 ÷ 216,473</w:t>
            </w:r>
          </w:p>
        </w:tc>
        <w:tc>
          <w:tcPr>
            <w:tcW w:w="1728" w:type="dxa"/>
          </w:tcPr>
          <w:p w14:paraId="02AC3D50">
            <w:pPr>
              <w:spacing w:line="240" w:lineRule="auto"/>
              <w:rPr>
                <w:rFonts w:ascii="Times New Roman" w:hAnsi="Times New Roman" w:cs="Times New Roman"/>
              </w:rPr>
            </w:pPr>
            <w:r>
              <w:rPr>
                <w:rFonts w:ascii="Times New Roman" w:hAnsi="Times New Roman" w:cs="Times New Roman"/>
              </w:rPr>
              <w:t>0.31</w:t>
            </w:r>
          </w:p>
        </w:tc>
      </w:tr>
      <w:tr w14:paraId="3A3A7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1B02F37">
            <w:pPr>
              <w:spacing w:line="240" w:lineRule="auto"/>
              <w:rPr>
                <w:rFonts w:ascii="Times New Roman" w:hAnsi="Times New Roman" w:cs="Times New Roman"/>
              </w:rPr>
            </w:pPr>
            <w:r>
              <w:rPr>
                <w:rFonts w:ascii="Times New Roman" w:hAnsi="Times New Roman" w:cs="Times New Roman"/>
              </w:rPr>
              <w:t>2023</w:t>
            </w:r>
          </w:p>
        </w:tc>
        <w:tc>
          <w:tcPr>
            <w:tcW w:w="1728" w:type="dxa"/>
          </w:tcPr>
          <w:p w14:paraId="5E57F53C">
            <w:pPr>
              <w:spacing w:line="240" w:lineRule="auto"/>
              <w:rPr>
                <w:rFonts w:ascii="Times New Roman" w:hAnsi="Times New Roman" w:cs="Times New Roman"/>
              </w:rPr>
            </w:pPr>
            <w:r>
              <w:rPr>
                <w:rFonts w:ascii="Times New Roman" w:hAnsi="Times New Roman" w:cs="Times New Roman"/>
              </w:rPr>
              <w:t>42,751</w:t>
            </w:r>
          </w:p>
        </w:tc>
        <w:tc>
          <w:tcPr>
            <w:tcW w:w="1728" w:type="dxa"/>
          </w:tcPr>
          <w:p w14:paraId="5A850E92">
            <w:pPr>
              <w:spacing w:line="240" w:lineRule="auto"/>
              <w:rPr>
                <w:rFonts w:ascii="Times New Roman" w:hAnsi="Times New Roman" w:cs="Times New Roman"/>
              </w:rPr>
            </w:pPr>
            <w:r>
              <w:rPr>
                <w:rFonts w:ascii="Times New Roman" w:hAnsi="Times New Roman" w:cs="Times New Roman"/>
              </w:rPr>
              <w:t>161,148</w:t>
            </w:r>
          </w:p>
        </w:tc>
        <w:tc>
          <w:tcPr>
            <w:tcW w:w="1728" w:type="dxa"/>
          </w:tcPr>
          <w:p w14:paraId="6FB2E083">
            <w:pPr>
              <w:spacing w:line="240" w:lineRule="auto"/>
              <w:rPr>
                <w:rFonts w:ascii="Times New Roman" w:hAnsi="Times New Roman" w:cs="Times New Roman"/>
              </w:rPr>
            </w:pPr>
            <w:r>
              <w:rPr>
                <w:rFonts w:ascii="Times New Roman" w:hAnsi="Times New Roman" w:cs="Times New Roman"/>
              </w:rPr>
              <w:t>42,751 ÷ 161,148</w:t>
            </w:r>
          </w:p>
        </w:tc>
        <w:tc>
          <w:tcPr>
            <w:tcW w:w="1728" w:type="dxa"/>
          </w:tcPr>
          <w:p w14:paraId="653ED9DC">
            <w:pPr>
              <w:spacing w:line="240" w:lineRule="auto"/>
              <w:rPr>
                <w:rFonts w:ascii="Times New Roman" w:hAnsi="Times New Roman" w:cs="Times New Roman"/>
              </w:rPr>
            </w:pPr>
            <w:r>
              <w:rPr>
                <w:rFonts w:ascii="Times New Roman" w:hAnsi="Times New Roman" w:cs="Times New Roman"/>
              </w:rPr>
              <w:t>0.27</w:t>
            </w:r>
          </w:p>
        </w:tc>
      </w:tr>
      <w:tr w14:paraId="04145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CD5977F">
            <w:pPr>
              <w:spacing w:line="240" w:lineRule="auto"/>
              <w:rPr>
                <w:rFonts w:ascii="Times New Roman" w:hAnsi="Times New Roman" w:cs="Times New Roman"/>
              </w:rPr>
            </w:pPr>
            <w:r>
              <w:rPr>
                <w:rFonts w:ascii="Times New Roman" w:hAnsi="Times New Roman" w:cs="Times New Roman"/>
              </w:rPr>
              <w:t>2024</w:t>
            </w:r>
          </w:p>
        </w:tc>
        <w:tc>
          <w:tcPr>
            <w:tcW w:w="1728" w:type="dxa"/>
          </w:tcPr>
          <w:p w14:paraId="59F7FC48">
            <w:pPr>
              <w:spacing w:line="240" w:lineRule="auto"/>
              <w:rPr>
                <w:rFonts w:ascii="Times New Roman" w:hAnsi="Times New Roman" w:cs="Times New Roman"/>
              </w:rPr>
            </w:pPr>
            <w:r>
              <w:rPr>
                <w:rFonts w:ascii="Times New Roman" w:hAnsi="Times New Roman" w:cs="Times New Roman"/>
              </w:rPr>
              <w:t>26,783</w:t>
            </w:r>
          </w:p>
        </w:tc>
        <w:tc>
          <w:tcPr>
            <w:tcW w:w="1728" w:type="dxa"/>
          </w:tcPr>
          <w:p w14:paraId="7EFED3E3">
            <w:pPr>
              <w:spacing w:line="240" w:lineRule="auto"/>
              <w:rPr>
                <w:rFonts w:ascii="Times New Roman" w:hAnsi="Times New Roman" w:cs="Times New Roman"/>
              </w:rPr>
            </w:pPr>
            <w:r>
              <w:rPr>
                <w:rFonts w:ascii="Times New Roman" w:hAnsi="Times New Roman" w:cs="Times New Roman"/>
              </w:rPr>
              <w:t>158,291</w:t>
            </w:r>
          </w:p>
        </w:tc>
        <w:tc>
          <w:tcPr>
            <w:tcW w:w="1728" w:type="dxa"/>
          </w:tcPr>
          <w:p w14:paraId="3A357207">
            <w:pPr>
              <w:spacing w:line="240" w:lineRule="auto"/>
              <w:rPr>
                <w:rFonts w:ascii="Times New Roman" w:hAnsi="Times New Roman" w:cs="Times New Roman"/>
              </w:rPr>
            </w:pPr>
            <w:r>
              <w:rPr>
                <w:rFonts w:ascii="Times New Roman" w:hAnsi="Times New Roman" w:cs="Times New Roman"/>
              </w:rPr>
              <w:t>26,783 ÷ 158,291</w:t>
            </w:r>
          </w:p>
        </w:tc>
        <w:tc>
          <w:tcPr>
            <w:tcW w:w="1728" w:type="dxa"/>
          </w:tcPr>
          <w:p w14:paraId="134184D0">
            <w:pPr>
              <w:spacing w:line="240" w:lineRule="auto"/>
              <w:rPr>
                <w:rFonts w:ascii="Times New Roman" w:hAnsi="Times New Roman" w:cs="Times New Roman"/>
              </w:rPr>
            </w:pPr>
            <w:r>
              <w:rPr>
                <w:rFonts w:ascii="Times New Roman" w:hAnsi="Times New Roman" w:cs="Times New Roman"/>
              </w:rPr>
              <w:t>0.17</w:t>
            </w:r>
          </w:p>
          <w:p w14:paraId="408125DB">
            <w:pPr>
              <w:spacing w:line="240" w:lineRule="auto"/>
              <w:rPr>
                <w:rFonts w:ascii="Times New Roman" w:hAnsi="Times New Roman" w:cs="Times New Roman"/>
              </w:rPr>
            </w:pPr>
          </w:p>
          <w:p w14:paraId="73CE9A5A">
            <w:pPr>
              <w:spacing w:line="240" w:lineRule="auto"/>
              <w:rPr>
                <w:rFonts w:ascii="Times New Roman" w:hAnsi="Times New Roman" w:cs="Times New Roman"/>
              </w:rPr>
            </w:pPr>
          </w:p>
          <w:p w14:paraId="3655821D">
            <w:pPr>
              <w:spacing w:line="240" w:lineRule="auto"/>
              <w:rPr>
                <w:rFonts w:ascii="Times New Roman" w:hAnsi="Times New Roman" w:cs="Times New Roman"/>
              </w:rPr>
            </w:pPr>
          </w:p>
        </w:tc>
      </w:tr>
    </w:tbl>
    <w:p w14:paraId="229072E3">
      <w:pPr>
        <w:rPr>
          <w:rFonts w:ascii="Times New Roman" w:hAnsi="Times New Roman" w:cs="Times New Roman"/>
        </w:rPr>
      </w:pPr>
    </w:p>
    <w:p w14:paraId="476D8AB8">
      <w:pPr>
        <w:rPr>
          <w:rFonts w:ascii="Times New Roman" w:hAnsi="Times New Roman" w:cs="Times New Roman"/>
        </w:rPr>
      </w:pPr>
      <w:r>
        <w:rPr>
          <w:rFonts w:ascii="Times New Roman" w:hAnsi="Times New Roman" w:cs="Times New Roman"/>
        </w:rPr>
        <w:t>Table 9: Inventory Turnover</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6ACA1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6647A00">
            <w:pPr>
              <w:spacing w:line="240" w:lineRule="auto"/>
              <w:rPr>
                <w:rFonts w:ascii="Times New Roman" w:hAnsi="Times New Roman" w:cs="Times New Roman"/>
              </w:rPr>
            </w:pPr>
            <w:r>
              <w:rPr>
                <w:rFonts w:ascii="Times New Roman" w:hAnsi="Times New Roman" w:cs="Times New Roman"/>
              </w:rPr>
              <w:t>Year</w:t>
            </w:r>
          </w:p>
        </w:tc>
        <w:tc>
          <w:tcPr>
            <w:tcW w:w="1728" w:type="dxa"/>
          </w:tcPr>
          <w:p w14:paraId="6C687F1D">
            <w:pPr>
              <w:spacing w:line="240" w:lineRule="auto"/>
              <w:rPr>
                <w:rFonts w:ascii="Times New Roman" w:hAnsi="Times New Roman" w:cs="Times New Roman"/>
              </w:rPr>
            </w:pPr>
            <w:r>
              <w:rPr>
                <w:rFonts w:ascii="Times New Roman" w:hAnsi="Times New Roman" w:cs="Times New Roman"/>
              </w:rPr>
              <w:t>Cost of Sales</w:t>
            </w:r>
          </w:p>
        </w:tc>
        <w:tc>
          <w:tcPr>
            <w:tcW w:w="1728" w:type="dxa"/>
          </w:tcPr>
          <w:p w14:paraId="1A9F0B5F">
            <w:pPr>
              <w:spacing w:line="240" w:lineRule="auto"/>
              <w:rPr>
                <w:rFonts w:ascii="Times New Roman" w:hAnsi="Times New Roman" w:cs="Times New Roman"/>
              </w:rPr>
            </w:pPr>
            <w:r>
              <w:rPr>
                <w:rFonts w:ascii="Times New Roman" w:hAnsi="Times New Roman" w:cs="Times New Roman"/>
              </w:rPr>
              <w:t>Inventory</w:t>
            </w:r>
          </w:p>
        </w:tc>
        <w:tc>
          <w:tcPr>
            <w:tcW w:w="1728" w:type="dxa"/>
          </w:tcPr>
          <w:p w14:paraId="1FB6EB82">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29632626">
            <w:pPr>
              <w:spacing w:line="240" w:lineRule="auto"/>
              <w:rPr>
                <w:rFonts w:ascii="Times New Roman" w:hAnsi="Times New Roman" w:cs="Times New Roman"/>
              </w:rPr>
            </w:pPr>
            <w:r>
              <w:rPr>
                <w:rFonts w:ascii="Times New Roman" w:hAnsi="Times New Roman" w:cs="Times New Roman"/>
              </w:rPr>
              <w:t>Turnover</w:t>
            </w:r>
          </w:p>
        </w:tc>
      </w:tr>
      <w:tr w14:paraId="58BE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696F19A">
            <w:pPr>
              <w:spacing w:line="240" w:lineRule="auto"/>
              <w:rPr>
                <w:rFonts w:ascii="Times New Roman" w:hAnsi="Times New Roman" w:cs="Times New Roman"/>
              </w:rPr>
            </w:pPr>
            <w:r>
              <w:rPr>
                <w:rFonts w:ascii="Times New Roman" w:hAnsi="Times New Roman" w:cs="Times New Roman"/>
              </w:rPr>
              <w:t>2020</w:t>
            </w:r>
          </w:p>
        </w:tc>
        <w:tc>
          <w:tcPr>
            <w:tcW w:w="1728" w:type="dxa"/>
          </w:tcPr>
          <w:p w14:paraId="30C6441F">
            <w:pPr>
              <w:spacing w:line="240" w:lineRule="auto"/>
              <w:rPr>
                <w:rFonts w:ascii="Times New Roman" w:hAnsi="Times New Roman" w:cs="Times New Roman"/>
              </w:rPr>
            </w:pPr>
            <w:r>
              <w:rPr>
                <w:rFonts w:ascii="Times New Roman" w:hAnsi="Times New Roman" w:cs="Times New Roman"/>
              </w:rPr>
              <w:t>438,424</w:t>
            </w:r>
          </w:p>
        </w:tc>
        <w:tc>
          <w:tcPr>
            <w:tcW w:w="1728" w:type="dxa"/>
          </w:tcPr>
          <w:p w14:paraId="57636245">
            <w:pPr>
              <w:spacing w:line="240" w:lineRule="auto"/>
              <w:rPr>
                <w:rFonts w:ascii="Times New Roman" w:hAnsi="Times New Roman" w:cs="Times New Roman"/>
              </w:rPr>
            </w:pPr>
            <w:r>
              <w:rPr>
                <w:rFonts w:ascii="Times New Roman" w:hAnsi="Times New Roman" w:cs="Times New Roman"/>
              </w:rPr>
              <w:t>120,430</w:t>
            </w:r>
          </w:p>
        </w:tc>
        <w:tc>
          <w:tcPr>
            <w:tcW w:w="1728" w:type="dxa"/>
          </w:tcPr>
          <w:p w14:paraId="7F65E7F1">
            <w:pPr>
              <w:spacing w:line="240" w:lineRule="auto"/>
              <w:rPr>
                <w:rFonts w:ascii="Times New Roman" w:hAnsi="Times New Roman" w:cs="Times New Roman"/>
              </w:rPr>
            </w:pPr>
            <w:r>
              <w:rPr>
                <w:rFonts w:ascii="Times New Roman" w:hAnsi="Times New Roman" w:cs="Times New Roman"/>
              </w:rPr>
              <w:t>438,424 ÷ 120,430</w:t>
            </w:r>
          </w:p>
        </w:tc>
        <w:tc>
          <w:tcPr>
            <w:tcW w:w="1728" w:type="dxa"/>
          </w:tcPr>
          <w:p w14:paraId="4FFF3FE5">
            <w:pPr>
              <w:spacing w:line="240" w:lineRule="auto"/>
              <w:rPr>
                <w:rFonts w:ascii="Times New Roman" w:hAnsi="Times New Roman" w:cs="Times New Roman"/>
              </w:rPr>
            </w:pPr>
            <w:r>
              <w:rPr>
                <w:rFonts w:ascii="Times New Roman" w:hAnsi="Times New Roman" w:cs="Times New Roman"/>
              </w:rPr>
              <w:t>3.64</w:t>
            </w:r>
          </w:p>
        </w:tc>
      </w:tr>
      <w:tr w14:paraId="1F3DC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E427F57">
            <w:pPr>
              <w:spacing w:line="240" w:lineRule="auto"/>
              <w:rPr>
                <w:rFonts w:ascii="Times New Roman" w:hAnsi="Times New Roman" w:cs="Times New Roman"/>
              </w:rPr>
            </w:pPr>
            <w:r>
              <w:rPr>
                <w:rFonts w:ascii="Times New Roman" w:hAnsi="Times New Roman" w:cs="Times New Roman"/>
              </w:rPr>
              <w:t>2021</w:t>
            </w:r>
          </w:p>
        </w:tc>
        <w:tc>
          <w:tcPr>
            <w:tcW w:w="1728" w:type="dxa"/>
          </w:tcPr>
          <w:p w14:paraId="5B96ADF9">
            <w:pPr>
              <w:spacing w:line="240" w:lineRule="auto"/>
              <w:rPr>
                <w:rFonts w:ascii="Times New Roman" w:hAnsi="Times New Roman" w:cs="Times New Roman"/>
              </w:rPr>
            </w:pPr>
            <w:r>
              <w:rPr>
                <w:rFonts w:ascii="Times New Roman" w:hAnsi="Times New Roman" w:cs="Times New Roman"/>
              </w:rPr>
              <w:t>428,586</w:t>
            </w:r>
          </w:p>
        </w:tc>
        <w:tc>
          <w:tcPr>
            <w:tcW w:w="1728" w:type="dxa"/>
          </w:tcPr>
          <w:p w14:paraId="5BEDFCAE">
            <w:pPr>
              <w:spacing w:line="240" w:lineRule="auto"/>
              <w:rPr>
                <w:rFonts w:ascii="Times New Roman" w:hAnsi="Times New Roman" w:cs="Times New Roman"/>
              </w:rPr>
            </w:pPr>
            <w:r>
              <w:rPr>
                <w:rFonts w:ascii="Times New Roman" w:hAnsi="Times New Roman" w:cs="Times New Roman"/>
              </w:rPr>
              <w:t>134,469</w:t>
            </w:r>
          </w:p>
        </w:tc>
        <w:tc>
          <w:tcPr>
            <w:tcW w:w="1728" w:type="dxa"/>
          </w:tcPr>
          <w:p w14:paraId="398BB9B9">
            <w:pPr>
              <w:spacing w:line="240" w:lineRule="auto"/>
              <w:rPr>
                <w:rFonts w:ascii="Times New Roman" w:hAnsi="Times New Roman" w:cs="Times New Roman"/>
              </w:rPr>
            </w:pPr>
            <w:r>
              <w:rPr>
                <w:rFonts w:ascii="Times New Roman" w:hAnsi="Times New Roman" w:cs="Times New Roman"/>
              </w:rPr>
              <w:t>428,586 ÷ 134,469</w:t>
            </w:r>
          </w:p>
        </w:tc>
        <w:tc>
          <w:tcPr>
            <w:tcW w:w="1728" w:type="dxa"/>
          </w:tcPr>
          <w:p w14:paraId="4FC15B00">
            <w:pPr>
              <w:spacing w:line="240" w:lineRule="auto"/>
              <w:rPr>
                <w:rFonts w:ascii="Times New Roman" w:hAnsi="Times New Roman" w:cs="Times New Roman"/>
              </w:rPr>
            </w:pPr>
            <w:r>
              <w:rPr>
                <w:rFonts w:ascii="Times New Roman" w:hAnsi="Times New Roman" w:cs="Times New Roman"/>
              </w:rPr>
              <w:t>3.19</w:t>
            </w:r>
          </w:p>
        </w:tc>
      </w:tr>
      <w:tr w14:paraId="3AAC9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F583027">
            <w:pPr>
              <w:spacing w:line="240" w:lineRule="auto"/>
              <w:rPr>
                <w:rFonts w:ascii="Times New Roman" w:hAnsi="Times New Roman" w:cs="Times New Roman"/>
              </w:rPr>
            </w:pPr>
            <w:r>
              <w:rPr>
                <w:rFonts w:ascii="Times New Roman" w:hAnsi="Times New Roman" w:cs="Times New Roman"/>
              </w:rPr>
              <w:t>2022</w:t>
            </w:r>
          </w:p>
        </w:tc>
        <w:tc>
          <w:tcPr>
            <w:tcW w:w="1728" w:type="dxa"/>
          </w:tcPr>
          <w:p w14:paraId="41280FB7">
            <w:pPr>
              <w:spacing w:line="240" w:lineRule="auto"/>
              <w:rPr>
                <w:rFonts w:ascii="Times New Roman" w:hAnsi="Times New Roman" w:cs="Times New Roman"/>
              </w:rPr>
            </w:pPr>
            <w:r>
              <w:rPr>
                <w:rFonts w:ascii="Times New Roman" w:hAnsi="Times New Roman" w:cs="Times New Roman"/>
              </w:rPr>
              <w:t>390,459</w:t>
            </w:r>
          </w:p>
        </w:tc>
        <w:tc>
          <w:tcPr>
            <w:tcW w:w="1728" w:type="dxa"/>
          </w:tcPr>
          <w:p w14:paraId="76FAB1DE">
            <w:pPr>
              <w:spacing w:line="240" w:lineRule="auto"/>
              <w:rPr>
                <w:rFonts w:ascii="Times New Roman" w:hAnsi="Times New Roman" w:cs="Times New Roman"/>
              </w:rPr>
            </w:pPr>
            <w:r>
              <w:rPr>
                <w:rFonts w:ascii="Times New Roman" w:hAnsi="Times New Roman" w:cs="Times New Roman"/>
              </w:rPr>
              <w:t>140,181</w:t>
            </w:r>
          </w:p>
        </w:tc>
        <w:tc>
          <w:tcPr>
            <w:tcW w:w="1728" w:type="dxa"/>
          </w:tcPr>
          <w:p w14:paraId="07C7CEE8">
            <w:pPr>
              <w:spacing w:line="240" w:lineRule="auto"/>
              <w:rPr>
                <w:rFonts w:ascii="Times New Roman" w:hAnsi="Times New Roman" w:cs="Times New Roman"/>
              </w:rPr>
            </w:pPr>
            <w:r>
              <w:rPr>
                <w:rFonts w:ascii="Times New Roman" w:hAnsi="Times New Roman" w:cs="Times New Roman"/>
              </w:rPr>
              <w:t>390,459 ÷ 140,181</w:t>
            </w:r>
          </w:p>
        </w:tc>
        <w:tc>
          <w:tcPr>
            <w:tcW w:w="1728" w:type="dxa"/>
          </w:tcPr>
          <w:p w14:paraId="21F1304B">
            <w:pPr>
              <w:spacing w:line="240" w:lineRule="auto"/>
              <w:rPr>
                <w:rFonts w:ascii="Times New Roman" w:hAnsi="Times New Roman" w:cs="Times New Roman"/>
              </w:rPr>
            </w:pPr>
            <w:r>
              <w:rPr>
                <w:rFonts w:ascii="Times New Roman" w:hAnsi="Times New Roman" w:cs="Times New Roman"/>
              </w:rPr>
              <w:t>2.79</w:t>
            </w:r>
          </w:p>
        </w:tc>
      </w:tr>
      <w:tr w14:paraId="42C15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D654988">
            <w:pPr>
              <w:spacing w:line="240" w:lineRule="auto"/>
              <w:rPr>
                <w:rFonts w:ascii="Times New Roman" w:hAnsi="Times New Roman" w:cs="Times New Roman"/>
              </w:rPr>
            </w:pPr>
            <w:r>
              <w:rPr>
                <w:rFonts w:ascii="Times New Roman" w:hAnsi="Times New Roman" w:cs="Times New Roman"/>
              </w:rPr>
              <w:t>2023</w:t>
            </w:r>
          </w:p>
        </w:tc>
        <w:tc>
          <w:tcPr>
            <w:tcW w:w="1728" w:type="dxa"/>
          </w:tcPr>
          <w:p w14:paraId="31EC6B54">
            <w:pPr>
              <w:spacing w:line="240" w:lineRule="auto"/>
              <w:rPr>
                <w:rFonts w:ascii="Times New Roman" w:hAnsi="Times New Roman" w:cs="Times New Roman"/>
              </w:rPr>
            </w:pPr>
            <w:r>
              <w:rPr>
                <w:rFonts w:ascii="Times New Roman" w:hAnsi="Times New Roman" w:cs="Times New Roman"/>
              </w:rPr>
              <w:t>322,897</w:t>
            </w:r>
          </w:p>
        </w:tc>
        <w:tc>
          <w:tcPr>
            <w:tcW w:w="1728" w:type="dxa"/>
          </w:tcPr>
          <w:p w14:paraId="25B98FF0">
            <w:pPr>
              <w:spacing w:line="240" w:lineRule="auto"/>
              <w:rPr>
                <w:rFonts w:ascii="Times New Roman" w:hAnsi="Times New Roman" w:cs="Times New Roman"/>
              </w:rPr>
            </w:pPr>
            <w:r>
              <w:rPr>
                <w:rFonts w:ascii="Times New Roman" w:hAnsi="Times New Roman" w:cs="Times New Roman"/>
              </w:rPr>
              <w:t>88,273</w:t>
            </w:r>
          </w:p>
        </w:tc>
        <w:tc>
          <w:tcPr>
            <w:tcW w:w="1728" w:type="dxa"/>
          </w:tcPr>
          <w:p w14:paraId="0467D4E2">
            <w:pPr>
              <w:spacing w:line="240" w:lineRule="auto"/>
              <w:rPr>
                <w:rFonts w:ascii="Times New Roman" w:hAnsi="Times New Roman" w:cs="Times New Roman"/>
              </w:rPr>
            </w:pPr>
            <w:r>
              <w:rPr>
                <w:rFonts w:ascii="Times New Roman" w:hAnsi="Times New Roman" w:cs="Times New Roman"/>
              </w:rPr>
              <w:t>322,897 ÷ 88,273</w:t>
            </w:r>
          </w:p>
        </w:tc>
        <w:tc>
          <w:tcPr>
            <w:tcW w:w="1728" w:type="dxa"/>
          </w:tcPr>
          <w:p w14:paraId="0E74A387">
            <w:pPr>
              <w:spacing w:line="240" w:lineRule="auto"/>
              <w:rPr>
                <w:rFonts w:ascii="Times New Roman" w:hAnsi="Times New Roman" w:cs="Times New Roman"/>
              </w:rPr>
            </w:pPr>
            <w:r>
              <w:rPr>
                <w:rFonts w:ascii="Times New Roman" w:hAnsi="Times New Roman" w:cs="Times New Roman"/>
              </w:rPr>
              <w:t>3.66</w:t>
            </w:r>
          </w:p>
        </w:tc>
      </w:tr>
      <w:tr w14:paraId="20011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DEC5615">
            <w:pPr>
              <w:spacing w:line="240" w:lineRule="auto"/>
              <w:rPr>
                <w:rFonts w:ascii="Times New Roman" w:hAnsi="Times New Roman" w:cs="Times New Roman"/>
              </w:rPr>
            </w:pPr>
            <w:r>
              <w:rPr>
                <w:rFonts w:ascii="Times New Roman" w:hAnsi="Times New Roman" w:cs="Times New Roman"/>
              </w:rPr>
              <w:t>2024</w:t>
            </w:r>
          </w:p>
        </w:tc>
        <w:tc>
          <w:tcPr>
            <w:tcW w:w="1728" w:type="dxa"/>
          </w:tcPr>
          <w:p w14:paraId="6F991CC9">
            <w:pPr>
              <w:spacing w:line="240" w:lineRule="auto"/>
              <w:rPr>
                <w:rFonts w:ascii="Times New Roman" w:hAnsi="Times New Roman" w:cs="Times New Roman"/>
              </w:rPr>
            </w:pPr>
            <w:r>
              <w:rPr>
                <w:rFonts w:ascii="Times New Roman" w:hAnsi="Times New Roman" w:cs="Times New Roman"/>
              </w:rPr>
              <w:t>280,885</w:t>
            </w:r>
          </w:p>
        </w:tc>
        <w:tc>
          <w:tcPr>
            <w:tcW w:w="1728" w:type="dxa"/>
          </w:tcPr>
          <w:p w14:paraId="456238C9">
            <w:pPr>
              <w:spacing w:line="240" w:lineRule="auto"/>
              <w:rPr>
                <w:rFonts w:ascii="Times New Roman" w:hAnsi="Times New Roman" w:cs="Times New Roman"/>
              </w:rPr>
            </w:pPr>
            <w:r>
              <w:rPr>
                <w:rFonts w:ascii="Times New Roman" w:hAnsi="Times New Roman" w:cs="Times New Roman"/>
              </w:rPr>
              <w:t>79,355</w:t>
            </w:r>
          </w:p>
        </w:tc>
        <w:tc>
          <w:tcPr>
            <w:tcW w:w="1728" w:type="dxa"/>
          </w:tcPr>
          <w:p w14:paraId="7860D827">
            <w:pPr>
              <w:spacing w:line="240" w:lineRule="auto"/>
              <w:rPr>
                <w:rFonts w:ascii="Times New Roman" w:hAnsi="Times New Roman" w:cs="Times New Roman"/>
              </w:rPr>
            </w:pPr>
            <w:r>
              <w:rPr>
                <w:rFonts w:ascii="Times New Roman" w:hAnsi="Times New Roman" w:cs="Times New Roman"/>
              </w:rPr>
              <w:t>280,885 ÷ 79,355</w:t>
            </w:r>
          </w:p>
        </w:tc>
        <w:tc>
          <w:tcPr>
            <w:tcW w:w="1728" w:type="dxa"/>
          </w:tcPr>
          <w:p w14:paraId="73069F56">
            <w:pPr>
              <w:spacing w:line="240" w:lineRule="auto"/>
              <w:rPr>
                <w:rFonts w:ascii="Times New Roman" w:hAnsi="Times New Roman" w:cs="Times New Roman"/>
              </w:rPr>
            </w:pPr>
            <w:r>
              <w:rPr>
                <w:rFonts w:ascii="Times New Roman" w:hAnsi="Times New Roman" w:cs="Times New Roman"/>
              </w:rPr>
              <w:t>3.54</w:t>
            </w:r>
          </w:p>
        </w:tc>
      </w:tr>
    </w:tbl>
    <w:p w14:paraId="3D86F656">
      <w:pPr>
        <w:pStyle w:val="3"/>
        <w:rPr>
          <w:rFonts w:ascii="Times New Roman" w:hAnsi="Times New Roman" w:cs="Times New Roman"/>
          <w:sz w:val="28"/>
          <w:szCs w:val="28"/>
        </w:rPr>
      </w:pPr>
    </w:p>
    <w:p w14:paraId="035D576A">
      <w:pPr>
        <w:rPr>
          <w:rFonts w:ascii="Times New Roman" w:hAnsi="Times New Roman" w:cs="Times New Roman"/>
        </w:rPr>
      </w:pPr>
      <w:r>
        <w:rPr>
          <w:rFonts w:ascii="Times New Roman" w:hAnsi="Times New Roman" w:cs="Times New Roman"/>
        </w:rPr>
        <w:t>Table 10: Days Sales of Inventory (DSI)</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0"/>
        <w:gridCol w:w="2160"/>
        <w:gridCol w:w="2160"/>
        <w:gridCol w:w="2160"/>
      </w:tblGrid>
      <w:tr w14:paraId="03DFD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03B340BD">
            <w:pPr>
              <w:spacing w:line="240" w:lineRule="auto"/>
              <w:rPr>
                <w:rFonts w:ascii="Times New Roman" w:hAnsi="Times New Roman" w:cs="Times New Roman"/>
              </w:rPr>
            </w:pPr>
            <w:r>
              <w:rPr>
                <w:rFonts w:ascii="Times New Roman" w:hAnsi="Times New Roman" w:cs="Times New Roman"/>
              </w:rPr>
              <w:t>Year</w:t>
            </w:r>
          </w:p>
        </w:tc>
        <w:tc>
          <w:tcPr>
            <w:tcW w:w="2160" w:type="dxa"/>
          </w:tcPr>
          <w:p w14:paraId="3A2744DB">
            <w:pPr>
              <w:spacing w:line="240" w:lineRule="auto"/>
              <w:rPr>
                <w:rFonts w:ascii="Times New Roman" w:hAnsi="Times New Roman" w:cs="Times New Roman"/>
              </w:rPr>
            </w:pPr>
            <w:r>
              <w:rPr>
                <w:rFonts w:ascii="Times New Roman" w:hAnsi="Times New Roman" w:cs="Times New Roman"/>
              </w:rPr>
              <w:t>Inventory Turnover</w:t>
            </w:r>
          </w:p>
        </w:tc>
        <w:tc>
          <w:tcPr>
            <w:tcW w:w="2160" w:type="dxa"/>
          </w:tcPr>
          <w:p w14:paraId="449291D1">
            <w:pPr>
              <w:spacing w:line="240" w:lineRule="auto"/>
              <w:rPr>
                <w:rFonts w:ascii="Times New Roman" w:hAnsi="Times New Roman" w:cs="Times New Roman"/>
              </w:rPr>
            </w:pPr>
            <w:r>
              <w:rPr>
                <w:rFonts w:ascii="Times New Roman" w:hAnsi="Times New Roman" w:cs="Times New Roman"/>
              </w:rPr>
              <w:t>Calculation</w:t>
            </w:r>
          </w:p>
        </w:tc>
        <w:tc>
          <w:tcPr>
            <w:tcW w:w="2160" w:type="dxa"/>
          </w:tcPr>
          <w:p w14:paraId="29CD8C1D">
            <w:pPr>
              <w:spacing w:line="240" w:lineRule="auto"/>
              <w:rPr>
                <w:rFonts w:ascii="Times New Roman" w:hAnsi="Times New Roman" w:cs="Times New Roman"/>
              </w:rPr>
            </w:pPr>
            <w:r>
              <w:rPr>
                <w:rFonts w:ascii="Times New Roman" w:hAnsi="Times New Roman" w:cs="Times New Roman"/>
              </w:rPr>
              <w:t>DSI</w:t>
            </w:r>
          </w:p>
        </w:tc>
      </w:tr>
      <w:tr w14:paraId="414E2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16E1AC55">
            <w:pPr>
              <w:spacing w:line="240" w:lineRule="auto"/>
              <w:rPr>
                <w:rFonts w:ascii="Times New Roman" w:hAnsi="Times New Roman" w:cs="Times New Roman"/>
              </w:rPr>
            </w:pPr>
            <w:r>
              <w:rPr>
                <w:rFonts w:ascii="Times New Roman" w:hAnsi="Times New Roman" w:cs="Times New Roman"/>
              </w:rPr>
              <w:t>2020</w:t>
            </w:r>
          </w:p>
        </w:tc>
        <w:tc>
          <w:tcPr>
            <w:tcW w:w="2160" w:type="dxa"/>
          </w:tcPr>
          <w:p w14:paraId="192D1DF5">
            <w:pPr>
              <w:spacing w:line="240" w:lineRule="auto"/>
              <w:rPr>
                <w:rFonts w:ascii="Times New Roman" w:hAnsi="Times New Roman" w:cs="Times New Roman"/>
              </w:rPr>
            </w:pPr>
            <w:r>
              <w:rPr>
                <w:rFonts w:ascii="Times New Roman" w:hAnsi="Times New Roman" w:cs="Times New Roman"/>
              </w:rPr>
              <w:t>3.64</w:t>
            </w:r>
          </w:p>
        </w:tc>
        <w:tc>
          <w:tcPr>
            <w:tcW w:w="2160" w:type="dxa"/>
          </w:tcPr>
          <w:p w14:paraId="4820292C">
            <w:pPr>
              <w:spacing w:line="240" w:lineRule="auto"/>
              <w:rPr>
                <w:rFonts w:ascii="Times New Roman" w:hAnsi="Times New Roman" w:cs="Times New Roman"/>
              </w:rPr>
            </w:pPr>
            <w:r>
              <w:rPr>
                <w:rFonts w:ascii="Times New Roman" w:hAnsi="Times New Roman" w:cs="Times New Roman"/>
              </w:rPr>
              <w:t>365 ÷ 3.64</w:t>
            </w:r>
          </w:p>
        </w:tc>
        <w:tc>
          <w:tcPr>
            <w:tcW w:w="2160" w:type="dxa"/>
          </w:tcPr>
          <w:p w14:paraId="647D8BD7">
            <w:pPr>
              <w:spacing w:line="240" w:lineRule="auto"/>
              <w:rPr>
                <w:rFonts w:ascii="Times New Roman" w:hAnsi="Times New Roman" w:cs="Times New Roman"/>
              </w:rPr>
            </w:pPr>
            <w:r>
              <w:rPr>
                <w:rFonts w:ascii="Times New Roman" w:hAnsi="Times New Roman" w:cs="Times New Roman"/>
              </w:rPr>
              <w:t>100 days</w:t>
            </w:r>
          </w:p>
        </w:tc>
      </w:tr>
      <w:tr w14:paraId="42D9F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005E4FFF">
            <w:pPr>
              <w:spacing w:line="240" w:lineRule="auto"/>
              <w:rPr>
                <w:rFonts w:ascii="Times New Roman" w:hAnsi="Times New Roman" w:cs="Times New Roman"/>
              </w:rPr>
            </w:pPr>
            <w:r>
              <w:rPr>
                <w:rFonts w:ascii="Times New Roman" w:hAnsi="Times New Roman" w:cs="Times New Roman"/>
              </w:rPr>
              <w:t>2021</w:t>
            </w:r>
          </w:p>
        </w:tc>
        <w:tc>
          <w:tcPr>
            <w:tcW w:w="2160" w:type="dxa"/>
          </w:tcPr>
          <w:p w14:paraId="023D2743">
            <w:pPr>
              <w:spacing w:line="240" w:lineRule="auto"/>
              <w:rPr>
                <w:rFonts w:ascii="Times New Roman" w:hAnsi="Times New Roman" w:cs="Times New Roman"/>
              </w:rPr>
            </w:pPr>
            <w:r>
              <w:rPr>
                <w:rFonts w:ascii="Times New Roman" w:hAnsi="Times New Roman" w:cs="Times New Roman"/>
              </w:rPr>
              <w:t>3.19</w:t>
            </w:r>
          </w:p>
        </w:tc>
        <w:tc>
          <w:tcPr>
            <w:tcW w:w="2160" w:type="dxa"/>
          </w:tcPr>
          <w:p w14:paraId="578B66C6">
            <w:pPr>
              <w:spacing w:line="240" w:lineRule="auto"/>
              <w:rPr>
                <w:rFonts w:ascii="Times New Roman" w:hAnsi="Times New Roman" w:cs="Times New Roman"/>
              </w:rPr>
            </w:pPr>
            <w:r>
              <w:rPr>
                <w:rFonts w:ascii="Times New Roman" w:hAnsi="Times New Roman" w:cs="Times New Roman"/>
              </w:rPr>
              <w:t>365 ÷ 3.19</w:t>
            </w:r>
          </w:p>
        </w:tc>
        <w:tc>
          <w:tcPr>
            <w:tcW w:w="2160" w:type="dxa"/>
          </w:tcPr>
          <w:p w14:paraId="7453EE0E">
            <w:pPr>
              <w:spacing w:line="240" w:lineRule="auto"/>
              <w:rPr>
                <w:rFonts w:ascii="Times New Roman" w:hAnsi="Times New Roman" w:cs="Times New Roman"/>
              </w:rPr>
            </w:pPr>
            <w:r>
              <w:rPr>
                <w:rFonts w:ascii="Times New Roman" w:hAnsi="Times New Roman" w:cs="Times New Roman"/>
              </w:rPr>
              <w:t>114 days</w:t>
            </w:r>
          </w:p>
        </w:tc>
      </w:tr>
      <w:tr w14:paraId="528EE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13795A09">
            <w:pPr>
              <w:spacing w:line="240" w:lineRule="auto"/>
              <w:rPr>
                <w:rFonts w:ascii="Times New Roman" w:hAnsi="Times New Roman" w:cs="Times New Roman"/>
              </w:rPr>
            </w:pPr>
            <w:r>
              <w:rPr>
                <w:rFonts w:ascii="Times New Roman" w:hAnsi="Times New Roman" w:cs="Times New Roman"/>
              </w:rPr>
              <w:t>2022</w:t>
            </w:r>
          </w:p>
        </w:tc>
        <w:tc>
          <w:tcPr>
            <w:tcW w:w="2160" w:type="dxa"/>
          </w:tcPr>
          <w:p w14:paraId="36177A92">
            <w:pPr>
              <w:spacing w:line="240" w:lineRule="auto"/>
              <w:rPr>
                <w:rFonts w:ascii="Times New Roman" w:hAnsi="Times New Roman" w:cs="Times New Roman"/>
              </w:rPr>
            </w:pPr>
            <w:r>
              <w:rPr>
                <w:rFonts w:ascii="Times New Roman" w:hAnsi="Times New Roman" w:cs="Times New Roman"/>
              </w:rPr>
              <w:t>2.79</w:t>
            </w:r>
          </w:p>
        </w:tc>
        <w:tc>
          <w:tcPr>
            <w:tcW w:w="2160" w:type="dxa"/>
          </w:tcPr>
          <w:p w14:paraId="3916CC72">
            <w:pPr>
              <w:spacing w:line="240" w:lineRule="auto"/>
              <w:rPr>
                <w:rFonts w:ascii="Times New Roman" w:hAnsi="Times New Roman" w:cs="Times New Roman"/>
              </w:rPr>
            </w:pPr>
            <w:r>
              <w:rPr>
                <w:rFonts w:ascii="Times New Roman" w:hAnsi="Times New Roman" w:cs="Times New Roman"/>
              </w:rPr>
              <w:t>365 ÷ 2.79</w:t>
            </w:r>
          </w:p>
        </w:tc>
        <w:tc>
          <w:tcPr>
            <w:tcW w:w="2160" w:type="dxa"/>
          </w:tcPr>
          <w:p w14:paraId="5BF89DCC">
            <w:pPr>
              <w:spacing w:line="240" w:lineRule="auto"/>
              <w:rPr>
                <w:rFonts w:ascii="Times New Roman" w:hAnsi="Times New Roman" w:cs="Times New Roman"/>
              </w:rPr>
            </w:pPr>
            <w:r>
              <w:rPr>
                <w:rFonts w:ascii="Times New Roman" w:hAnsi="Times New Roman" w:cs="Times New Roman"/>
              </w:rPr>
              <w:t>131 days</w:t>
            </w:r>
          </w:p>
        </w:tc>
      </w:tr>
      <w:tr w14:paraId="2B1A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5186D95E">
            <w:pPr>
              <w:spacing w:line="240" w:lineRule="auto"/>
              <w:rPr>
                <w:rFonts w:ascii="Times New Roman" w:hAnsi="Times New Roman" w:cs="Times New Roman"/>
              </w:rPr>
            </w:pPr>
            <w:r>
              <w:rPr>
                <w:rFonts w:ascii="Times New Roman" w:hAnsi="Times New Roman" w:cs="Times New Roman"/>
              </w:rPr>
              <w:t>2023</w:t>
            </w:r>
          </w:p>
        </w:tc>
        <w:tc>
          <w:tcPr>
            <w:tcW w:w="2160" w:type="dxa"/>
          </w:tcPr>
          <w:p w14:paraId="5A8D5E58">
            <w:pPr>
              <w:spacing w:line="240" w:lineRule="auto"/>
              <w:rPr>
                <w:rFonts w:ascii="Times New Roman" w:hAnsi="Times New Roman" w:cs="Times New Roman"/>
              </w:rPr>
            </w:pPr>
            <w:r>
              <w:rPr>
                <w:rFonts w:ascii="Times New Roman" w:hAnsi="Times New Roman" w:cs="Times New Roman"/>
              </w:rPr>
              <w:t>3.66</w:t>
            </w:r>
          </w:p>
        </w:tc>
        <w:tc>
          <w:tcPr>
            <w:tcW w:w="2160" w:type="dxa"/>
          </w:tcPr>
          <w:p w14:paraId="24E5A234">
            <w:pPr>
              <w:spacing w:line="240" w:lineRule="auto"/>
              <w:rPr>
                <w:rFonts w:ascii="Times New Roman" w:hAnsi="Times New Roman" w:cs="Times New Roman"/>
              </w:rPr>
            </w:pPr>
            <w:r>
              <w:rPr>
                <w:rFonts w:ascii="Times New Roman" w:hAnsi="Times New Roman" w:cs="Times New Roman"/>
              </w:rPr>
              <w:t>365 ÷ 3.66</w:t>
            </w:r>
          </w:p>
        </w:tc>
        <w:tc>
          <w:tcPr>
            <w:tcW w:w="2160" w:type="dxa"/>
          </w:tcPr>
          <w:p w14:paraId="040E3207">
            <w:pPr>
              <w:spacing w:line="240" w:lineRule="auto"/>
              <w:rPr>
                <w:rFonts w:ascii="Times New Roman" w:hAnsi="Times New Roman" w:cs="Times New Roman"/>
              </w:rPr>
            </w:pPr>
            <w:r>
              <w:rPr>
                <w:rFonts w:ascii="Times New Roman" w:hAnsi="Times New Roman" w:cs="Times New Roman"/>
              </w:rPr>
              <w:t>100 days</w:t>
            </w:r>
          </w:p>
        </w:tc>
      </w:tr>
      <w:tr w14:paraId="383C0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313ECED4">
            <w:pPr>
              <w:spacing w:line="240" w:lineRule="auto"/>
              <w:rPr>
                <w:rFonts w:ascii="Times New Roman" w:hAnsi="Times New Roman" w:cs="Times New Roman"/>
              </w:rPr>
            </w:pPr>
            <w:r>
              <w:rPr>
                <w:rFonts w:ascii="Times New Roman" w:hAnsi="Times New Roman" w:cs="Times New Roman"/>
              </w:rPr>
              <w:t>2024</w:t>
            </w:r>
          </w:p>
        </w:tc>
        <w:tc>
          <w:tcPr>
            <w:tcW w:w="2160" w:type="dxa"/>
          </w:tcPr>
          <w:p w14:paraId="71EA4539">
            <w:pPr>
              <w:spacing w:line="240" w:lineRule="auto"/>
              <w:rPr>
                <w:rFonts w:ascii="Times New Roman" w:hAnsi="Times New Roman" w:cs="Times New Roman"/>
              </w:rPr>
            </w:pPr>
            <w:r>
              <w:rPr>
                <w:rFonts w:ascii="Times New Roman" w:hAnsi="Times New Roman" w:cs="Times New Roman"/>
              </w:rPr>
              <w:t>3.54</w:t>
            </w:r>
          </w:p>
        </w:tc>
        <w:tc>
          <w:tcPr>
            <w:tcW w:w="2160" w:type="dxa"/>
          </w:tcPr>
          <w:p w14:paraId="5E2192A7">
            <w:pPr>
              <w:spacing w:line="240" w:lineRule="auto"/>
              <w:rPr>
                <w:rFonts w:ascii="Times New Roman" w:hAnsi="Times New Roman" w:cs="Times New Roman"/>
              </w:rPr>
            </w:pPr>
            <w:r>
              <w:rPr>
                <w:rFonts w:ascii="Times New Roman" w:hAnsi="Times New Roman" w:cs="Times New Roman"/>
              </w:rPr>
              <w:t>365 ÷ 3.54</w:t>
            </w:r>
          </w:p>
        </w:tc>
        <w:tc>
          <w:tcPr>
            <w:tcW w:w="2160" w:type="dxa"/>
          </w:tcPr>
          <w:p w14:paraId="2C5D9D23">
            <w:pPr>
              <w:spacing w:line="240" w:lineRule="auto"/>
              <w:rPr>
                <w:rFonts w:ascii="Times New Roman" w:hAnsi="Times New Roman" w:cs="Times New Roman"/>
              </w:rPr>
            </w:pPr>
            <w:r>
              <w:rPr>
                <w:rFonts w:ascii="Times New Roman" w:hAnsi="Times New Roman" w:cs="Times New Roman"/>
              </w:rPr>
              <w:t>103 days</w:t>
            </w:r>
          </w:p>
        </w:tc>
      </w:tr>
    </w:tbl>
    <w:p w14:paraId="5EB9B327">
      <w:pPr>
        <w:pStyle w:val="3"/>
        <w:rPr>
          <w:rFonts w:ascii="Times New Roman" w:hAnsi="Times New Roman" w:cs="Times New Roman"/>
          <w:sz w:val="28"/>
          <w:szCs w:val="28"/>
        </w:rPr>
      </w:pPr>
    </w:p>
    <w:p w14:paraId="587575DF">
      <w:pPr>
        <w:rPr>
          <w:rFonts w:ascii="Times New Roman" w:hAnsi="Times New Roman" w:cs="Times New Roman"/>
        </w:rPr>
      </w:pPr>
      <w:r>
        <w:rPr>
          <w:rFonts w:ascii="Times New Roman" w:hAnsi="Times New Roman" w:cs="Times New Roman"/>
        </w:rPr>
        <w:t>Table 11: Receivables Turnover</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66728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87DE3A5">
            <w:pPr>
              <w:spacing w:line="240" w:lineRule="auto"/>
              <w:rPr>
                <w:rFonts w:ascii="Times New Roman" w:hAnsi="Times New Roman" w:cs="Times New Roman"/>
              </w:rPr>
            </w:pPr>
            <w:r>
              <w:rPr>
                <w:rFonts w:ascii="Times New Roman" w:hAnsi="Times New Roman" w:cs="Times New Roman"/>
              </w:rPr>
              <w:t>Year</w:t>
            </w:r>
          </w:p>
        </w:tc>
        <w:tc>
          <w:tcPr>
            <w:tcW w:w="1728" w:type="dxa"/>
          </w:tcPr>
          <w:p w14:paraId="04F96A6A">
            <w:pPr>
              <w:spacing w:line="240" w:lineRule="auto"/>
              <w:rPr>
                <w:rFonts w:ascii="Times New Roman" w:hAnsi="Times New Roman" w:cs="Times New Roman"/>
              </w:rPr>
            </w:pPr>
            <w:r>
              <w:rPr>
                <w:rFonts w:ascii="Times New Roman" w:hAnsi="Times New Roman" w:cs="Times New Roman"/>
              </w:rPr>
              <w:t>Sales</w:t>
            </w:r>
          </w:p>
        </w:tc>
        <w:tc>
          <w:tcPr>
            <w:tcW w:w="1728" w:type="dxa"/>
          </w:tcPr>
          <w:p w14:paraId="39C4BC76">
            <w:pPr>
              <w:spacing w:line="240" w:lineRule="auto"/>
              <w:rPr>
                <w:rFonts w:ascii="Times New Roman" w:hAnsi="Times New Roman" w:cs="Times New Roman"/>
              </w:rPr>
            </w:pPr>
            <w:r>
              <w:rPr>
                <w:rFonts w:ascii="Times New Roman" w:hAnsi="Times New Roman" w:cs="Times New Roman"/>
              </w:rPr>
              <w:t>Accounts Receivable</w:t>
            </w:r>
          </w:p>
        </w:tc>
        <w:tc>
          <w:tcPr>
            <w:tcW w:w="1728" w:type="dxa"/>
          </w:tcPr>
          <w:p w14:paraId="0FC934CA">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61A21E9E">
            <w:pPr>
              <w:spacing w:line="240" w:lineRule="auto"/>
              <w:rPr>
                <w:rFonts w:ascii="Times New Roman" w:hAnsi="Times New Roman" w:cs="Times New Roman"/>
              </w:rPr>
            </w:pPr>
            <w:r>
              <w:rPr>
                <w:rFonts w:ascii="Times New Roman" w:hAnsi="Times New Roman" w:cs="Times New Roman"/>
              </w:rPr>
              <w:t>Turnover</w:t>
            </w:r>
          </w:p>
        </w:tc>
      </w:tr>
      <w:tr w14:paraId="1E319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B9CAAE3">
            <w:pPr>
              <w:spacing w:line="240" w:lineRule="auto"/>
              <w:rPr>
                <w:rFonts w:ascii="Times New Roman" w:hAnsi="Times New Roman" w:cs="Times New Roman"/>
              </w:rPr>
            </w:pPr>
            <w:r>
              <w:rPr>
                <w:rFonts w:ascii="Times New Roman" w:hAnsi="Times New Roman" w:cs="Times New Roman"/>
              </w:rPr>
              <w:t>2020</w:t>
            </w:r>
          </w:p>
        </w:tc>
        <w:tc>
          <w:tcPr>
            <w:tcW w:w="1728" w:type="dxa"/>
          </w:tcPr>
          <w:p w14:paraId="5B491F98">
            <w:pPr>
              <w:spacing w:line="240" w:lineRule="auto"/>
              <w:rPr>
                <w:rFonts w:ascii="Times New Roman" w:hAnsi="Times New Roman" w:cs="Times New Roman"/>
              </w:rPr>
            </w:pPr>
            <w:r>
              <w:rPr>
                <w:rFonts w:ascii="Times New Roman" w:hAnsi="Times New Roman" w:cs="Times New Roman"/>
              </w:rPr>
              <w:t>614,680</w:t>
            </w:r>
          </w:p>
        </w:tc>
        <w:tc>
          <w:tcPr>
            <w:tcW w:w="1728" w:type="dxa"/>
          </w:tcPr>
          <w:p w14:paraId="29113F60">
            <w:pPr>
              <w:spacing w:line="240" w:lineRule="auto"/>
              <w:rPr>
                <w:rFonts w:ascii="Times New Roman" w:hAnsi="Times New Roman" w:cs="Times New Roman"/>
              </w:rPr>
            </w:pPr>
            <w:r>
              <w:rPr>
                <w:rFonts w:ascii="Times New Roman" w:hAnsi="Times New Roman" w:cs="Times New Roman"/>
              </w:rPr>
              <w:t>129,433</w:t>
            </w:r>
          </w:p>
        </w:tc>
        <w:tc>
          <w:tcPr>
            <w:tcW w:w="1728" w:type="dxa"/>
          </w:tcPr>
          <w:p w14:paraId="6758FA38">
            <w:pPr>
              <w:spacing w:line="240" w:lineRule="auto"/>
              <w:rPr>
                <w:rFonts w:ascii="Times New Roman" w:hAnsi="Times New Roman" w:cs="Times New Roman"/>
              </w:rPr>
            </w:pPr>
            <w:r>
              <w:rPr>
                <w:rFonts w:ascii="Times New Roman" w:hAnsi="Times New Roman" w:cs="Times New Roman"/>
              </w:rPr>
              <w:t>614,680 ÷ 129,433</w:t>
            </w:r>
          </w:p>
        </w:tc>
        <w:tc>
          <w:tcPr>
            <w:tcW w:w="1728" w:type="dxa"/>
          </w:tcPr>
          <w:p w14:paraId="1F5800E0">
            <w:pPr>
              <w:spacing w:line="240" w:lineRule="auto"/>
              <w:rPr>
                <w:rFonts w:ascii="Times New Roman" w:hAnsi="Times New Roman" w:cs="Times New Roman"/>
              </w:rPr>
            </w:pPr>
            <w:r>
              <w:rPr>
                <w:rFonts w:ascii="Times New Roman" w:hAnsi="Times New Roman" w:cs="Times New Roman"/>
              </w:rPr>
              <w:t>4.75</w:t>
            </w:r>
          </w:p>
        </w:tc>
      </w:tr>
      <w:tr w14:paraId="6F7BD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4389339">
            <w:pPr>
              <w:spacing w:line="240" w:lineRule="auto"/>
              <w:rPr>
                <w:rFonts w:ascii="Times New Roman" w:hAnsi="Times New Roman" w:cs="Times New Roman"/>
              </w:rPr>
            </w:pPr>
            <w:r>
              <w:rPr>
                <w:rFonts w:ascii="Times New Roman" w:hAnsi="Times New Roman" w:cs="Times New Roman"/>
              </w:rPr>
              <w:t>2021</w:t>
            </w:r>
          </w:p>
        </w:tc>
        <w:tc>
          <w:tcPr>
            <w:tcW w:w="1728" w:type="dxa"/>
          </w:tcPr>
          <w:p w14:paraId="0170FB93">
            <w:pPr>
              <w:spacing w:line="240" w:lineRule="auto"/>
              <w:rPr>
                <w:rFonts w:ascii="Times New Roman" w:hAnsi="Times New Roman" w:cs="Times New Roman"/>
              </w:rPr>
            </w:pPr>
            <w:r>
              <w:rPr>
                <w:rFonts w:ascii="Times New Roman" w:hAnsi="Times New Roman" w:cs="Times New Roman"/>
              </w:rPr>
              <w:t>601,602</w:t>
            </w:r>
          </w:p>
        </w:tc>
        <w:tc>
          <w:tcPr>
            <w:tcW w:w="1728" w:type="dxa"/>
          </w:tcPr>
          <w:p w14:paraId="628F958A">
            <w:pPr>
              <w:spacing w:line="240" w:lineRule="auto"/>
              <w:rPr>
                <w:rFonts w:ascii="Times New Roman" w:hAnsi="Times New Roman" w:cs="Times New Roman"/>
              </w:rPr>
            </w:pPr>
            <w:r>
              <w:rPr>
                <w:rFonts w:ascii="Times New Roman" w:hAnsi="Times New Roman" w:cs="Times New Roman"/>
              </w:rPr>
              <w:t>129,215</w:t>
            </w:r>
          </w:p>
        </w:tc>
        <w:tc>
          <w:tcPr>
            <w:tcW w:w="1728" w:type="dxa"/>
          </w:tcPr>
          <w:p w14:paraId="35D5D647">
            <w:pPr>
              <w:spacing w:line="240" w:lineRule="auto"/>
              <w:rPr>
                <w:rFonts w:ascii="Times New Roman" w:hAnsi="Times New Roman" w:cs="Times New Roman"/>
              </w:rPr>
            </w:pPr>
            <w:r>
              <w:rPr>
                <w:rFonts w:ascii="Times New Roman" w:hAnsi="Times New Roman" w:cs="Times New Roman"/>
              </w:rPr>
              <w:t>601,602 ÷ 129,215</w:t>
            </w:r>
          </w:p>
        </w:tc>
        <w:tc>
          <w:tcPr>
            <w:tcW w:w="1728" w:type="dxa"/>
          </w:tcPr>
          <w:p w14:paraId="4916223E">
            <w:pPr>
              <w:spacing w:line="240" w:lineRule="auto"/>
              <w:rPr>
                <w:rFonts w:ascii="Times New Roman" w:hAnsi="Times New Roman" w:cs="Times New Roman"/>
              </w:rPr>
            </w:pPr>
            <w:r>
              <w:rPr>
                <w:rFonts w:ascii="Times New Roman" w:hAnsi="Times New Roman" w:cs="Times New Roman"/>
              </w:rPr>
              <w:t>4.65</w:t>
            </w:r>
          </w:p>
        </w:tc>
      </w:tr>
      <w:tr w14:paraId="6328E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7F7073F">
            <w:pPr>
              <w:spacing w:line="240" w:lineRule="auto"/>
              <w:rPr>
                <w:rFonts w:ascii="Times New Roman" w:hAnsi="Times New Roman" w:cs="Times New Roman"/>
              </w:rPr>
            </w:pPr>
            <w:r>
              <w:rPr>
                <w:rFonts w:ascii="Times New Roman" w:hAnsi="Times New Roman" w:cs="Times New Roman"/>
              </w:rPr>
              <w:t>2022</w:t>
            </w:r>
          </w:p>
        </w:tc>
        <w:tc>
          <w:tcPr>
            <w:tcW w:w="1728" w:type="dxa"/>
          </w:tcPr>
          <w:p w14:paraId="64AF9C9B">
            <w:pPr>
              <w:spacing w:line="240" w:lineRule="auto"/>
              <w:rPr>
                <w:rFonts w:ascii="Times New Roman" w:hAnsi="Times New Roman" w:cs="Times New Roman"/>
              </w:rPr>
            </w:pPr>
            <w:r>
              <w:rPr>
                <w:rFonts w:ascii="Times New Roman" w:hAnsi="Times New Roman" w:cs="Times New Roman"/>
              </w:rPr>
              <w:t>542,751</w:t>
            </w:r>
          </w:p>
        </w:tc>
        <w:tc>
          <w:tcPr>
            <w:tcW w:w="1728" w:type="dxa"/>
          </w:tcPr>
          <w:p w14:paraId="358F9BB8">
            <w:pPr>
              <w:spacing w:line="240" w:lineRule="auto"/>
              <w:rPr>
                <w:rFonts w:ascii="Times New Roman" w:hAnsi="Times New Roman" w:cs="Times New Roman"/>
              </w:rPr>
            </w:pPr>
            <w:r>
              <w:rPr>
                <w:rFonts w:ascii="Times New Roman" w:hAnsi="Times New Roman" w:cs="Times New Roman"/>
              </w:rPr>
              <w:t>112,346</w:t>
            </w:r>
          </w:p>
        </w:tc>
        <w:tc>
          <w:tcPr>
            <w:tcW w:w="1728" w:type="dxa"/>
          </w:tcPr>
          <w:p w14:paraId="2B810868">
            <w:pPr>
              <w:spacing w:line="240" w:lineRule="auto"/>
              <w:rPr>
                <w:rFonts w:ascii="Times New Roman" w:hAnsi="Times New Roman" w:cs="Times New Roman"/>
              </w:rPr>
            </w:pPr>
            <w:r>
              <w:rPr>
                <w:rFonts w:ascii="Times New Roman" w:hAnsi="Times New Roman" w:cs="Times New Roman"/>
              </w:rPr>
              <w:t>542,751 ÷ 112,346</w:t>
            </w:r>
          </w:p>
        </w:tc>
        <w:tc>
          <w:tcPr>
            <w:tcW w:w="1728" w:type="dxa"/>
          </w:tcPr>
          <w:p w14:paraId="1BC1D171">
            <w:pPr>
              <w:spacing w:line="240" w:lineRule="auto"/>
              <w:rPr>
                <w:rFonts w:ascii="Times New Roman" w:hAnsi="Times New Roman" w:cs="Times New Roman"/>
              </w:rPr>
            </w:pPr>
            <w:r>
              <w:rPr>
                <w:rFonts w:ascii="Times New Roman" w:hAnsi="Times New Roman" w:cs="Times New Roman"/>
              </w:rPr>
              <w:t>4.83</w:t>
            </w:r>
          </w:p>
        </w:tc>
      </w:tr>
      <w:tr w14:paraId="76B6B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D78A5E5">
            <w:pPr>
              <w:spacing w:line="240" w:lineRule="auto"/>
              <w:rPr>
                <w:rFonts w:ascii="Times New Roman" w:hAnsi="Times New Roman" w:cs="Times New Roman"/>
              </w:rPr>
            </w:pPr>
            <w:r>
              <w:rPr>
                <w:rFonts w:ascii="Times New Roman" w:hAnsi="Times New Roman" w:cs="Times New Roman"/>
              </w:rPr>
              <w:t>2023</w:t>
            </w:r>
          </w:p>
        </w:tc>
        <w:tc>
          <w:tcPr>
            <w:tcW w:w="1728" w:type="dxa"/>
          </w:tcPr>
          <w:p w14:paraId="01EBA8C8">
            <w:pPr>
              <w:spacing w:line="240" w:lineRule="auto"/>
              <w:rPr>
                <w:rFonts w:ascii="Times New Roman" w:hAnsi="Times New Roman" w:cs="Times New Roman"/>
              </w:rPr>
            </w:pPr>
            <w:r>
              <w:rPr>
                <w:rFonts w:ascii="Times New Roman" w:hAnsi="Times New Roman" w:cs="Times New Roman"/>
              </w:rPr>
              <w:t>420,457</w:t>
            </w:r>
          </w:p>
        </w:tc>
        <w:tc>
          <w:tcPr>
            <w:tcW w:w="1728" w:type="dxa"/>
          </w:tcPr>
          <w:p w14:paraId="2B2F101D">
            <w:pPr>
              <w:spacing w:line="240" w:lineRule="auto"/>
              <w:rPr>
                <w:rFonts w:ascii="Times New Roman" w:hAnsi="Times New Roman" w:cs="Times New Roman"/>
              </w:rPr>
            </w:pPr>
            <w:r>
              <w:rPr>
                <w:rFonts w:ascii="Times New Roman" w:hAnsi="Times New Roman" w:cs="Times New Roman"/>
              </w:rPr>
              <w:t>112,596</w:t>
            </w:r>
          </w:p>
        </w:tc>
        <w:tc>
          <w:tcPr>
            <w:tcW w:w="1728" w:type="dxa"/>
          </w:tcPr>
          <w:p w14:paraId="49584242">
            <w:pPr>
              <w:spacing w:line="240" w:lineRule="auto"/>
              <w:rPr>
                <w:rFonts w:ascii="Times New Roman" w:hAnsi="Times New Roman" w:cs="Times New Roman"/>
              </w:rPr>
            </w:pPr>
            <w:r>
              <w:rPr>
                <w:rFonts w:ascii="Times New Roman" w:hAnsi="Times New Roman" w:cs="Times New Roman"/>
              </w:rPr>
              <w:t>420,457 ÷ 112,596</w:t>
            </w:r>
          </w:p>
        </w:tc>
        <w:tc>
          <w:tcPr>
            <w:tcW w:w="1728" w:type="dxa"/>
          </w:tcPr>
          <w:p w14:paraId="6A4A2529">
            <w:pPr>
              <w:spacing w:line="240" w:lineRule="auto"/>
              <w:rPr>
                <w:rFonts w:ascii="Times New Roman" w:hAnsi="Times New Roman" w:cs="Times New Roman"/>
              </w:rPr>
            </w:pPr>
            <w:r>
              <w:rPr>
                <w:rFonts w:ascii="Times New Roman" w:hAnsi="Times New Roman" w:cs="Times New Roman"/>
              </w:rPr>
              <w:t>3.74</w:t>
            </w:r>
          </w:p>
        </w:tc>
      </w:tr>
      <w:tr w14:paraId="4E8CB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275FB52">
            <w:pPr>
              <w:spacing w:line="240" w:lineRule="auto"/>
              <w:rPr>
                <w:rFonts w:ascii="Times New Roman" w:hAnsi="Times New Roman" w:cs="Times New Roman"/>
              </w:rPr>
            </w:pPr>
            <w:r>
              <w:rPr>
                <w:rFonts w:ascii="Times New Roman" w:hAnsi="Times New Roman" w:cs="Times New Roman"/>
              </w:rPr>
              <w:t>2024</w:t>
            </w:r>
          </w:p>
        </w:tc>
        <w:tc>
          <w:tcPr>
            <w:tcW w:w="1728" w:type="dxa"/>
          </w:tcPr>
          <w:p w14:paraId="53CDFC70">
            <w:pPr>
              <w:spacing w:line="240" w:lineRule="auto"/>
              <w:rPr>
                <w:rFonts w:ascii="Times New Roman" w:hAnsi="Times New Roman" w:cs="Times New Roman"/>
              </w:rPr>
            </w:pPr>
            <w:r>
              <w:rPr>
                <w:rFonts w:ascii="Times New Roman" w:hAnsi="Times New Roman" w:cs="Times New Roman"/>
              </w:rPr>
              <w:t>394,879</w:t>
            </w:r>
          </w:p>
        </w:tc>
        <w:tc>
          <w:tcPr>
            <w:tcW w:w="1728" w:type="dxa"/>
          </w:tcPr>
          <w:p w14:paraId="26292B06">
            <w:pPr>
              <w:spacing w:line="240" w:lineRule="auto"/>
              <w:rPr>
                <w:rFonts w:ascii="Times New Roman" w:hAnsi="Times New Roman" w:cs="Times New Roman"/>
              </w:rPr>
            </w:pPr>
            <w:r>
              <w:rPr>
                <w:rFonts w:ascii="Times New Roman" w:hAnsi="Times New Roman" w:cs="Times New Roman"/>
              </w:rPr>
              <w:t>114,182</w:t>
            </w:r>
          </w:p>
        </w:tc>
        <w:tc>
          <w:tcPr>
            <w:tcW w:w="1728" w:type="dxa"/>
          </w:tcPr>
          <w:p w14:paraId="16459573">
            <w:pPr>
              <w:spacing w:line="240" w:lineRule="auto"/>
              <w:rPr>
                <w:rFonts w:ascii="Times New Roman" w:hAnsi="Times New Roman" w:cs="Times New Roman"/>
              </w:rPr>
            </w:pPr>
            <w:r>
              <w:rPr>
                <w:rFonts w:ascii="Times New Roman" w:hAnsi="Times New Roman" w:cs="Times New Roman"/>
              </w:rPr>
              <w:t>394,879 ÷ 114,182</w:t>
            </w:r>
          </w:p>
        </w:tc>
        <w:tc>
          <w:tcPr>
            <w:tcW w:w="1728" w:type="dxa"/>
          </w:tcPr>
          <w:p w14:paraId="32454A97">
            <w:pPr>
              <w:spacing w:line="240" w:lineRule="auto"/>
              <w:rPr>
                <w:rFonts w:ascii="Times New Roman" w:hAnsi="Times New Roman" w:cs="Times New Roman"/>
              </w:rPr>
            </w:pPr>
            <w:r>
              <w:rPr>
                <w:rFonts w:ascii="Times New Roman" w:hAnsi="Times New Roman" w:cs="Times New Roman"/>
              </w:rPr>
              <w:t>3.46</w:t>
            </w:r>
          </w:p>
        </w:tc>
      </w:tr>
    </w:tbl>
    <w:p w14:paraId="62C4145F">
      <w:pPr>
        <w:pStyle w:val="3"/>
        <w:rPr>
          <w:rFonts w:ascii="Times New Roman" w:hAnsi="Times New Roman" w:cs="Times New Roman"/>
          <w:sz w:val="28"/>
          <w:szCs w:val="28"/>
        </w:rPr>
      </w:pPr>
    </w:p>
    <w:p w14:paraId="50D3E7E4">
      <w:pPr>
        <w:rPr>
          <w:rFonts w:ascii="Times New Roman" w:hAnsi="Times New Roman" w:cs="Times New Roman"/>
        </w:rPr>
      </w:pPr>
      <w:r>
        <w:rPr>
          <w:rFonts w:ascii="Times New Roman" w:hAnsi="Times New Roman" w:cs="Times New Roman"/>
        </w:rPr>
        <w:t>Table 12: Days Sales Outstanding (DSO)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0"/>
        <w:gridCol w:w="2160"/>
        <w:gridCol w:w="2160"/>
        <w:gridCol w:w="2160"/>
      </w:tblGrid>
      <w:tr w14:paraId="7031A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6C9A7EC9">
            <w:pPr>
              <w:spacing w:line="240" w:lineRule="auto"/>
              <w:rPr>
                <w:rFonts w:ascii="Times New Roman" w:hAnsi="Times New Roman" w:cs="Times New Roman"/>
              </w:rPr>
            </w:pPr>
          </w:p>
          <w:p w14:paraId="04A2161E">
            <w:pPr>
              <w:spacing w:line="240" w:lineRule="auto"/>
              <w:rPr>
                <w:rFonts w:ascii="Times New Roman" w:hAnsi="Times New Roman" w:cs="Times New Roman"/>
              </w:rPr>
            </w:pPr>
            <w:r>
              <w:rPr>
                <w:rFonts w:ascii="Times New Roman" w:hAnsi="Times New Roman" w:cs="Times New Roman"/>
              </w:rPr>
              <w:t>Year</w:t>
            </w:r>
          </w:p>
        </w:tc>
        <w:tc>
          <w:tcPr>
            <w:tcW w:w="2160" w:type="dxa"/>
          </w:tcPr>
          <w:p w14:paraId="1D6FFD8C">
            <w:pPr>
              <w:spacing w:line="240" w:lineRule="auto"/>
              <w:rPr>
                <w:rFonts w:ascii="Times New Roman" w:hAnsi="Times New Roman" w:cs="Times New Roman"/>
              </w:rPr>
            </w:pPr>
            <w:r>
              <w:rPr>
                <w:rFonts w:ascii="Times New Roman" w:hAnsi="Times New Roman" w:cs="Times New Roman"/>
              </w:rPr>
              <w:t>Receivables Turnover</w:t>
            </w:r>
          </w:p>
        </w:tc>
        <w:tc>
          <w:tcPr>
            <w:tcW w:w="2160" w:type="dxa"/>
          </w:tcPr>
          <w:p w14:paraId="5B33D880">
            <w:pPr>
              <w:spacing w:line="240" w:lineRule="auto"/>
              <w:rPr>
                <w:rFonts w:ascii="Times New Roman" w:hAnsi="Times New Roman" w:cs="Times New Roman"/>
              </w:rPr>
            </w:pPr>
            <w:r>
              <w:rPr>
                <w:rFonts w:ascii="Times New Roman" w:hAnsi="Times New Roman" w:cs="Times New Roman"/>
              </w:rPr>
              <w:t>Calculation</w:t>
            </w:r>
          </w:p>
        </w:tc>
        <w:tc>
          <w:tcPr>
            <w:tcW w:w="2160" w:type="dxa"/>
          </w:tcPr>
          <w:p w14:paraId="785FFF6A">
            <w:pPr>
              <w:spacing w:line="240" w:lineRule="auto"/>
              <w:rPr>
                <w:rFonts w:ascii="Times New Roman" w:hAnsi="Times New Roman" w:cs="Times New Roman"/>
              </w:rPr>
            </w:pPr>
            <w:r>
              <w:rPr>
                <w:rFonts w:ascii="Times New Roman" w:hAnsi="Times New Roman" w:cs="Times New Roman"/>
              </w:rPr>
              <w:t>DSO</w:t>
            </w:r>
          </w:p>
        </w:tc>
      </w:tr>
      <w:tr w14:paraId="14814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1E2358A3">
            <w:pPr>
              <w:spacing w:line="240" w:lineRule="auto"/>
              <w:rPr>
                <w:rFonts w:ascii="Times New Roman" w:hAnsi="Times New Roman" w:cs="Times New Roman"/>
              </w:rPr>
            </w:pPr>
            <w:r>
              <w:rPr>
                <w:rFonts w:ascii="Times New Roman" w:hAnsi="Times New Roman" w:cs="Times New Roman"/>
              </w:rPr>
              <w:t>2020</w:t>
            </w:r>
          </w:p>
        </w:tc>
        <w:tc>
          <w:tcPr>
            <w:tcW w:w="2160" w:type="dxa"/>
          </w:tcPr>
          <w:p w14:paraId="3DE27615">
            <w:pPr>
              <w:spacing w:line="240" w:lineRule="auto"/>
              <w:rPr>
                <w:rFonts w:ascii="Times New Roman" w:hAnsi="Times New Roman" w:cs="Times New Roman"/>
              </w:rPr>
            </w:pPr>
            <w:r>
              <w:rPr>
                <w:rFonts w:ascii="Times New Roman" w:hAnsi="Times New Roman" w:cs="Times New Roman"/>
              </w:rPr>
              <w:t>4.75</w:t>
            </w:r>
          </w:p>
        </w:tc>
        <w:tc>
          <w:tcPr>
            <w:tcW w:w="2160" w:type="dxa"/>
          </w:tcPr>
          <w:p w14:paraId="18454EC1">
            <w:pPr>
              <w:spacing w:line="240" w:lineRule="auto"/>
              <w:rPr>
                <w:rFonts w:ascii="Times New Roman" w:hAnsi="Times New Roman" w:cs="Times New Roman"/>
              </w:rPr>
            </w:pPr>
            <w:r>
              <w:rPr>
                <w:rFonts w:ascii="Times New Roman" w:hAnsi="Times New Roman" w:cs="Times New Roman"/>
              </w:rPr>
              <w:t>365 ÷ 4.75</w:t>
            </w:r>
          </w:p>
        </w:tc>
        <w:tc>
          <w:tcPr>
            <w:tcW w:w="2160" w:type="dxa"/>
          </w:tcPr>
          <w:p w14:paraId="56555394">
            <w:pPr>
              <w:spacing w:line="240" w:lineRule="auto"/>
              <w:rPr>
                <w:rFonts w:ascii="Times New Roman" w:hAnsi="Times New Roman" w:cs="Times New Roman"/>
              </w:rPr>
            </w:pPr>
            <w:r>
              <w:rPr>
                <w:rFonts w:ascii="Times New Roman" w:hAnsi="Times New Roman" w:cs="Times New Roman"/>
              </w:rPr>
              <w:t>77 days</w:t>
            </w:r>
          </w:p>
        </w:tc>
      </w:tr>
      <w:tr w14:paraId="317C9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7D1FC613">
            <w:pPr>
              <w:spacing w:line="240" w:lineRule="auto"/>
              <w:rPr>
                <w:rFonts w:ascii="Times New Roman" w:hAnsi="Times New Roman" w:cs="Times New Roman"/>
              </w:rPr>
            </w:pPr>
            <w:r>
              <w:rPr>
                <w:rFonts w:ascii="Times New Roman" w:hAnsi="Times New Roman" w:cs="Times New Roman"/>
              </w:rPr>
              <w:t>2021</w:t>
            </w:r>
          </w:p>
        </w:tc>
        <w:tc>
          <w:tcPr>
            <w:tcW w:w="2160" w:type="dxa"/>
          </w:tcPr>
          <w:p w14:paraId="6C721522">
            <w:pPr>
              <w:spacing w:line="240" w:lineRule="auto"/>
              <w:rPr>
                <w:rFonts w:ascii="Times New Roman" w:hAnsi="Times New Roman" w:cs="Times New Roman"/>
              </w:rPr>
            </w:pPr>
            <w:r>
              <w:rPr>
                <w:rFonts w:ascii="Times New Roman" w:hAnsi="Times New Roman" w:cs="Times New Roman"/>
              </w:rPr>
              <w:t>4.65</w:t>
            </w:r>
          </w:p>
        </w:tc>
        <w:tc>
          <w:tcPr>
            <w:tcW w:w="2160" w:type="dxa"/>
          </w:tcPr>
          <w:p w14:paraId="3C44E73D">
            <w:pPr>
              <w:spacing w:line="240" w:lineRule="auto"/>
              <w:rPr>
                <w:rFonts w:ascii="Times New Roman" w:hAnsi="Times New Roman" w:cs="Times New Roman"/>
              </w:rPr>
            </w:pPr>
            <w:r>
              <w:rPr>
                <w:rFonts w:ascii="Times New Roman" w:hAnsi="Times New Roman" w:cs="Times New Roman"/>
              </w:rPr>
              <w:t>365 ÷ 4.65</w:t>
            </w:r>
          </w:p>
        </w:tc>
        <w:tc>
          <w:tcPr>
            <w:tcW w:w="2160" w:type="dxa"/>
          </w:tcPr>
          <w:p w14:paraId="1B9AFF6C">
            <w:pPr>
              <w:spacing w:line="240" w:lineRule="auto"/>
              <w:rPr>
                <w:rFonts w:ascii="Times New Roman" w:hAnsi="Times New Roman" w:cs="Times New Roman"/>
              </w:rPr>
            </w:pPr>
            <w:r>
              <w:rPr>
                <w:rFonts w:ascii="Times New Roman" w:hAnsi="Times New Roman" w:cs="Times New Roman"/>
              </w:rPr>
              <w:t>79 days</w:t>
            </w:r>
          </w:p>
        </w:tc>
      </w:tr>
      <w:tr w14:paraId="0BEF0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10266AB0">
            <w:pPr>
              <w:spacing w:line="240" w:lineRule="auto"/>
              <w:rPr>
                <w:rFonts w:ascii="Times New Roman" w:hAnsi="Times New Roman" w:cs="Times New Roman"/>
              </w:rPr>
            </w:pPr>
            <w:r>
              <w:rPr>
                <w:rFonts w:ascii="Times New Roman" w:hAnsi="Times New Roman" w:cs="Times New Roman"/>
              </w:rPr>
              <w:t>2022</w:t>
            </w:r>
          </w:p>
        </w:tc>
        <w:tc>
          <w:tcPr>
            <w:tcW w:w="2160" w:type="dxa"/>
          </w:tcPr>
          <w:p w14:paraId="72CDCAD6">
            <w:pPr>
              <w:spacing w:line="240" w:lineRule="auto"/>
              <w:rPr>
                <w:rFonts w:ascii="Times New Roman" w:hAnsi="Times New Roman" w:cs="Times New Roman"/>
              </w:rPr>
            </w:pPr>
            <w:r>
              <w:rPr>
                <w:rFonts w:ascii="Times New Roman" w:hAnsi="Times New Roman" w:cs="Times New Roman"/>
              </w:rPr>
              <w:t>4.83</w:t>
            </w:r>
          </w:p>
        </w:tc>
        <w:tc>
          <w:tcPr>
            <w:tcW w:w="2160" w:type="dxa"/>
          </w:tcPr>
          <w:p w14:paraId="24D64B5C">
            <w:pPr>
              <w:spacing w:line="240" w:lineRule="auto"/>
              <w:rPr>
                <w:rFonts w:ascii="Times New Roman" w:hAnsi="Times New Roman" w:cs="Times New Roman"/>
              </w:rPr>
            </w:pPr>
            <w:r>
              <w:rPr>
                <w:rFonts w:ascii="Times New Roman" w:hAnsi="Times New Roman" w:cs="Times New Roman"/>
              </w:rPr>
              <w:t>365 ÷ 4.83</w:t>
            </w:r>
          </w:p>
        </w:tc>
        <w:tc>
          <w:tcPr>
            <w:tcW w:w="2160" w:type="dxa"/>
          </w:tcPr>
          <w:p w14:paraId="663522AB">
            <w:pPr>
              <w:spacing w:line="240" w:lineRule="auto"/>
              <w:rPr>
                <w:rFonts w:ascii="Times New Roman" w:hAnsi="Times New Roman" w:cs="Times New Roman"/>
              </w:rPr>
            </w:pPr>
            <w:r>
              <w:rPr>
                <w:rFonts w:ascii="Times New Roman" w:hAnsi="Times New Roman" w:cs="Times New Roman"/>
              </w:rPr>
              <w:t>76 days</w:t>
            </w:r>
          </w:p>
        </w:tc>
      </w:tr>
      <w:tr w14:paraId="7ADB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526ACDEB">
            <w:pPr>
              <w:spacing w:line="240" w:lineRule="auto"/>
              <w:rPr>
                <w:rFonts w:ascii="Times New Roman" w:hAnsi="Times New Roman" w:cs="Times New Roman"/>
              </w:rPr>
            </w:pPr>
            <w:r>
              <w:rPr>
                <w:rFonts w:ascii="Times New Roman" w:hAnsi="Times New Roman" w:cs="Times New Roman"/>
              </w:rPr>
              <w:t>2023</w:t>
            </w:r>
          </w:p>
        </w:tc>
        <w:tc>
          <w:tcPr>
            <w:tcW w:w="2160" w:type="dxa"/>
          </w:tcPr>
          <w:p w14:paraId="7D19AC91">
            <w:pPr>
              <w:spacing w:line="240" w:lineRule="auto"/>
              <w:rPr>
                <w:rFonts w:ascii="Times New Roman" w:hAnsi="Times New Roman" w:cs="Times New Roman"/>
              </w:rPr>
            </w:pPr>
            <w:r>
              <w:rPr>
                <w:rFonts w:ascii="Times New Roman" w:hAnsi="Times New Roman" w:cs="Times New Roman"/>
              </w:rPr>
              <w:t>3.74</w:t>
            </w:r>
          </w:p>
        </w:tc>
        <w:tc>
          <w:tcPr>
            <w:tcW w:w="2160" w:type="dxa"/>
          </w:tcPr>
          <w:p w14:paraId="29820962">
            <w:pPr>
              <w:spacing w:line="240" w:lineRule="auto"/>
              <w:rPr>
                <w:rFonts w:ascii="Times New Roman" w:hAnsi="Times New Roman" w:cs="Times New Roman"/>
              </w:rPr>
            </w:pPr>
            <w:r>
              <w:rPr>
                <w:rFonts w:ascii="Times New Roman" w:hAnsi="Times New Roman" w:cs="Times New Roman"/>
              </w:rPr>
              <w:t>365 ÷ 3.74</w:t>
            </w:r>
          </w:p>
        </w:tc>
        <w:tc>
          <w:tcPr>
            <w:tcW w:w="2160" w:type="dxa"/>
          </w:tcPr>
          <w:p w14:paraId="27EA52EB">
            <w:pPr>
              <w:spacing w:line="240" w:lineRule="auto"/>
              <w:rPr>
                <w:rFonts w:ascii="Times New Roman" w:hAnsi="Times New Roman" w:cs="Times New Roman"/>
              </w:rPr>
            </w:pPr>
            <w:r>
              <w:rPr>
                <w:rFonts w:ascii="Times New Roman" w:hAnsi="Times New Roman" w:cs="Times New Roman"/>
              </w:rPr>
              <w:t>98 days</w:t>
            </w:r>
          </w:p>
        </w:tc>
      </w:tr>
      <w:tr w14:paraId="020F0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25D35374">
            <w:pPr>
              <w:spacing w:line="240" w:lineRule="auto"/>
              <w:rPr>
                <w:rFonts w:ascii="Times New Roman" w:hAnsi="Times New Roman" w:cs="Times New Roman"/>
              </w:rPr>
            </w:pPr>
            <w:r>
              <w:rPr>
                <w:rFonts w:ascii="Times New Roman" w:hAnsi="Times New Roman" w:cs="Times New Roman"/>
              </w:rPr>
              <w:t>2024</w:t>
            </w:r>
          </w:p>
        </w:tc>
        <w:tc>
          <w:tcPr>
            <w:tcW w:w="2160" w:type="dxa"/>
          </w:tcPr>
          <w:p w14:paraId="27631E82">
            <w:pPr>
              <w:spacing w:line="240" w:lineRule="auto"/>
              <w:rPr>
                <w:rFonts w:ascii="Times New Roman" w:hAnsi="Times New Roman" w:cs="Times New Roman"/>
              </w:rPr>
            </w:pPr>
            <w:r>
              <w:rPr>
                <w:rFonts w:ascii="Times New Roman" w:hAnsi="Times New Roman" w:cs="Times New Roman"/>
              </w:rPr>
              <w:t>3.46</w:t>
            </w:r>
          </w:p>
        </w:tc>
        <w:tc>
          <w:tcPr>
            <w:tcW w:w="2160" w:type="dxa"/>
          </w:tcPr>
          <w:p w14:paraId="172CB559">
            <w:pPr>
              <w:spacing w:line="240" w:lineRule="auto"/>
              <w:rPr>
                <w:rFonts w:ascii="Times New Roman" w:hAnsi="Times New Roman" w:cs="Times New Roman"/>
              </w:rPr>
            </w:pPr>
            <w:r>
              <w:rPr>
                <w:rFonts w:ascii="Times New Roman" w:hAnsi="Times New Roman" w:cs="Times New Roman"/>
              </w:rPr>
              <w:t>365 ÷ 3.46</w:t>
            </w:r>
          </w:p>
        </w:tc>
        <w:tc>
          <w:tcPr>
            <w:tcW w:w="2160" w:type="dxa"/>
          </w:tcPr>
          <w:p w14:paraId="7147718D">
            <w:pPr>
              <w:spacing w:line="240" w:lineRule="auto"/>
              <w:rPr>
                <w:rFonts w:ascii="Times New Roman" w:hAnsi="Times New Roman" w:cs="Times New Roman"/>
              </w:rPr>
            </w:pPr>
            <w:r>
              <w:rPr>
                <w:rFonts w:ascii="Times New Roman" w:hAnsi="Times New Roman" w:cs="Times New Roman"/>
              </w:rPr>
              <w:t>105 days</w:t>
            </w:r>
          </w:p>
        </w:tc>
      </w:tr>
    </w:tbl>
    <w:p w14:paraId="1F223DF7">
      <w:pPr>
        <w:pStyle w:val="3"/>
        <w:rPr>
          <w:rFonts w:ascii="Times New Roman" w:hAnsi="Times New Roman" w:cs="Times New Roman"/>
          <w:sz w:val="28"/>
          <w:szCs w:val="28"/>
        </w:rPr>
      </w:pPr>
    </w:p>
    <w:p w14:paraId="0CEA5402">
      <w:pPr>
        <w:rPr>
          <w:rFonts w:ascii="Times New Roman" w:hAnsi="Times New Roman" w:cs="Times New Roman"/>
        </w:rPr>
      </w:pPr>
      <w:r>
        <w:rPr>
          <w:rFonts w:ascii="Times New Roman" w:hAnsi="Times New Roman" w:cs="Times New Roman"/>
        </w:rPr>
        <w:t>Table 13: Debt-to-Equity Ratio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7B917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tcPr>
          <w:p w14:paraId="0F62294C">
            <w:pPr>
              <w:spacing w:line="240" w:lineRule="auto"/>
              <w:rPr>
                <w:rFonts w:ascii="Times New Roman" w:hAnsi="Times New Roman" w:cs="Times New Roman"/>
              </w:rPr>
            </w:pPr>
            <w:r>
              <w:rPr>
                <w:rFonts w:ascii="Times New Roman" w:hAnsi="Times New Roman" w:cs="Times New Roman"/>
              </w:rPr>
              <w:t>Year</w:t>
            </w:r>
          </w:p>
        </w:tc>
        <w:tc>
          <w:tcPr>
            <w:tcW w:w="1728" w:type="dxa"/>
          </w:tcPr>
          <w:p w14:paraId="728CF8CC">
            <w:pPr>
              <w:spacing w:line="240" w:lineRule="auto"/>
              <w:rPr>
                <w:rFonts w:ascii="Times New Roman" w:hAnsi="Times New Roman" w:cs="Times New Roman"/>
              </w:rPr>
            </w:pPr>
            <w:r>
              <w:rPr>
                <w:rFonts w:ascii="Times New Roman" w:hAnsi="Times New Roman" w:cs="Times New Roman"/>
              </w:rPr>
              <w:t>Total Liabilities</w:t>
            </w:r>
          </w:p>
        </w:tc>
        <w:tc>
          <w:tcPr>
            <w:tcW w:w="1728" w:type="dxa"/>
          </w:tcPr>
          <w:p w14:paraId="7B33E88E">
            <w:pPr>
              <w:spacing w:line="240" w:lineRule="auto"/>
              <w:rPr>
                <w:rFonts w:ascii="Times New Roman" w:hAnsi="Times New Roman" w:cs="Times New Roman"/>
              </w:rPr>
            </w:pPr>
            <w:r>
              <w:rPr>
                <w:rFonts w:ascii="Times New Roman" w:hAnsi="Times New Roman" w:cs="Times New Roman"/>
              </w:rPr>
              <w:t>Equity</w:t>
            </w:r>
          </w:p>
        </w:tc>
        <w:tc>
          <w:tcPr>
            <w:tcW w:w="1728" w:type="dxa"/>
          </w:tcPr>
          <w:p w14:paraId="404F271D">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59AA59A0">
            <w:pPr>
              <w:spacing w:line="240" w:lineRule="auto"/>
              <w:rPr>
                <w:rFonts w:ascii="Times New Roman" w:hAnsi="Times New Roman" w:cs="Times New Roman"/>
              </w:rPr>
            </w:pPr>
            <w:r>
              <w:rPr>
                <w:rFonts w:ascii="Times New Roman" w:hAnsi="Times New Roman" w:cs="Times New Roman"/>
              </w:rPr>
              <w:t>Ratio</w:t>
            </w:r>
          </w:p>
        </w:tc>
      </w:tr>
      <w:tr w14:paraId="2C579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FC4D127">
            <w:pPr>
              <w:spacing w:line="240" w:lineRule="auto"/>
              <w:rPr>
                <w:rFonts w:ascii="Times New Roman" w:hAnsi="Times New Roman" w:cs="Times New Roman"/>
              </w:rPr>
            </w:pPr>
            <w:r>
              <w:rPr>
                <w:rFonts w:ascii="Times New Roman" w:hAnsi="Times New Roman" w:cs="Times New Roman"/>
              </w:rPr>
              <w:t>2020</w:t>
            </w:r>
          </w:p>
        </w:tc>
        <w:tc>
          <w:tcPr>
            <w:tcW w:w="1728" w:type="dxa"/>
          </w:tcPr>
          <w:p w14:paraId="45812D2D">
            <w:pPr>
              <w:spacing w:line="240" w:lineRule="auto"/>
              <w:rPr>
                <w:rFonts w:ascii="Times New Roman" w:hAnsi="Times New Roman" w:cs="Times New Roman"/>
              </w:rPr>
            </w:pPr>
            <w:r>
              <w:rPr>
                <w:rFonts w:ascii="Times New Roman" w:hAnsi="Times New Roman" w:cs="Times New Roman"/>
              </w:rPr>
              <w:t>196,989</w:t>
            </w:r>
          </w:p>
        </w:tc>
        <w:tc>
          <w:tcPr>
            <w:tcW w:w="1728" w:type="dxa"/>
          </w:tcPr>
          <w:p w14:paraId="5A3AE8B8">
            <w:pPr>
              <w:spacing w:line="240" w:lineRule="auto"/>
              <w:rPr>
                <w:rFonts w:ascii="Times New Roman" w:hAnsi="Times New Roman" w:cs="Times New Roman"/>
              </w:rPr>
            </w:pPr>
            <w:r>
              <w:rPr>
                <w:rFonts w:ascii="Times New Roman" w:hAnsi="Times New Roman" w:cs="Times New Roman"/>
              </w:rPr>
              <w:t>313,301</w:t>
            </w:r>
          </w:p>
        </w:tc>
        <w:tc>
          <w:tcPr>
            <w:tcW w:w="1728" w:type="dxa"/>
          </w:tcPr>
          <w:p w14:paraId="494B117D">
            <w:pPr>
              <w:spacing w:line="240" w:lineRule="auto"/>
              <w:rPr>
                <w:rFonts w:ascii="Times New Roman" w:hAnsi="Times New Roman" w:cs="Times New Roman"/>
              </w:rPr>
            </w:pPr>
            <w:r>
              <w:rPr>
                <w:rFonts w:ascii="Times New Roman" w:hAnsi="Times New Roman" w:cs="Times New Roman"/>
              </w:rPr>
              <w:t>196,989 ÷ 313,301</w:t>
            </w:r>
          </w:p>
        </w:tc>
        <w:tc>
          <w:tcPr>
            <w:tcW w:w="1728" w:type="dxa"/>
          </w:tcPr>
          <w:p w14:paraId="3D82BA42">
            <w:pPr>
              <w:spacing w:line="240" w:lineRule="auto"/>
              <w:rPr>
                <w:rFonts w:ascii="Times New Roman" w:hAnsi="Times New Roman" w:cs="Times New Roman"/>
              </w:rPr>
            </w:pPr>
            <w:r>
              <w:rPr>
                <w:rFonts w:ascii="Times New Roman" w:hAnsi="Times New Roman" w:cs="Times New Roman"/>
              </w:rPr>
              <w:t>0.63</w:t>
            </w:r>
          </w:p>
        </w:tc>
      </w:tr>
      <w:tr w14:paraId="43B8F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D2C931A">
            <w:pPr>
              <w:spacing w:line="240" w:lineRule="auto"/>
              <w:rPr>
                <w:rFonts w:ascii="Times New Roman" w:hAnsi="Times New Roman" w:cs="Times New Roman"/>
              </w:rPr>
            </w:pPr>
            <w:r>
              <w:rPr>
                <w:rFonts w:ascii="Times New Roman" w:hAnsi="Times New Roman" w:cs="Times New Roman"/>
              </w:rPr>
              <w:t>2021</w:t>
            </w:r>
          </w:p>
        </w:tc>
        <w:tc>
          <w:tcPr>
            <w:tcW w:w="1728" w:type="dxa"/>
          </w:tcPr>
          <w:p w14:paraId="570002B0">
            <w:pPr>
              <w:spacing w:line="240" w:lineRule="auto"/>
              <w:rPr>
                <w:rFonts w:ascii="Times New Roman" w:hAnsi="Times New Roman" w:cs="Times New Roman"/>
              </w:rPr>
            </w:pPr>
            <w:r>
              <w:rPr>
                <w:rFonts w:ascii="Times New Roman" w:hAnsi="Times New Roman" w:cs="Times New Roman"/>
              </w:rPr>
              <w:t>234,399</w:t>
            </w:r>
          </w:p>
        </w:tc>
        <w:tc>
          <w:tcPr>
            <w:tcW w:w="1728" w:type="dxa"/>
          </w:tcPr>
          <w:p w14:paraId="37C22E3C">
            <w:pPr>
              <w:spacing w:line="240" w:lineRule="auto"/>
              <w:rPr>
                <w:rFonts w:ascii="Times New Roman" w:hAnsi="Times New Roman" w:cs="Times New Roman"/>
              </w:rPr>
            </w:pPr>
            <w:r>
              <w:rPr>
                <w:rFonts w:ascii="Times New Roman" w:hAnsi="Times New Roman" w:cs="Times New Roman"/>
              </w:rPr>
              <w:t>275,949</w:t>
            </w:r>
          </w:p>
        </w:tc>
        <w:tc>
          <w:tcPr>
            <w:tcW w:w="1728" w:type="dxa"/>
          </w:tcPr>
          <w:p w14:paraId="0F95A0E1">
            <w:pPr>
              <w:spacing w:line="240" w:lineRule="auto"/>
              <w:rPr>
                <w:rFonts w:ascii="Times New Roman" w:hAnsi="Times New Roman" w:cs="Times New Roman"/>
              </w:rPr>
            </w:pPr>
            <w:r>
              <w:rPr>
                <w:rFonts w:ascii="Times New Roman" w:hAnsi="Times New Roman" w:cs="Times New Roman"/>
              </w:rPr>
              <w:t>234,399 ÷ 275,949</w:t>
            </w:r>
          </w:p>
        </w:tc>
        <w:tc>
          <w:tcPr>
            <w:tcW w:w="1728" w:type="dxa"/>
          </w:tcPr>
          <w:p w14:paraId="1A0136CB">
            <w:pPr>
              <w:spacing w:line="240" w:lineRule="auto"/>
              <w:rPr>
                <w:rFonts w:ascii="Times New Roman" w:hAnsi="Times New Roman" w:cs="Times New Roman"/>
              </w:rPr>
            </w:pPr>
            <w:r>
              <w:rPr>
                <w:rFonts w:ascii="Times New Roman" w:hAnsi="Times New Roman" w:cs="Times New Roman"/>
              </w:rPr>
              <w:t>0.85</w:t>
            </w:r>
          </w:p>
        </w:tc>
      </w:tr>
      <w:tr w14:paraId="174E8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08E2508">
            <w:pPr>
              <w:spacing w:line="240" w:lineRule="auto"/>
              <w:rPr>
                <w:rFonts w:ascii="Times New Roman" w:hAnsi="Times New Roman" w:cs="Times New Roman"/>
              </w:rPr>
            </w:pPr>
            <w:r>
              <w:rPr>
                <w:rFonts w:ascii="Times New Roman" w:hAnsi="Times New Roman" w:cs="Times New Roman"/>
              </w:rPr>
              <w:t>2022</w:t>
            </w:r>
          </w:p>
        </w:tc>
        <w:tc>
          <w:tcPr>
            <w:tcW w:w="1728" w:type="dxa"/>
          </w:tcPr>
          <w:p w14:paraId="52C3CE88">
            <w:pPr>
              <w:spacing w:line="240" w:lineRule="auto"/>
              <w:rPr>
                <w:rFonts w:ascii="Times New Roman" w:hAnsi="Times New Roman" w:cs="Times New Roman"/>
              </w:rPr>
            </w:pPr>
            <w:r>
              <w:rPr>
                <w:rFonts w:ascii="Times New Roman" w:hAnsi="Times New Roman" w:cs="Times New Roman"/>
              </w:rPr>
              <w:t>235,757</w:t>
            </w:r>
          </w:p>
        </w:tc>
        <w:tc>
          <w:tcPr>
            <w:tcW w:w="1728" w:type="dxa"/>
          </w:tcPr>
          <w:p w14:paraId="3AC1003E">
            <w:pPr>
              <w:spacing w:line="240" w:lineRule="auto"/>
              <w:rPr>
                <w:rFonts w:ascii="Times New Roman" w:hAnsi="Times New Roman" w:cs="Times New Roman"/>
              </w:rPr>
            </w:pPr>
            <w:r>
              <w:rPr>
                <w:rFonts w:ascii="Times New Roman" w:hAnsi="Times New Roman" w:cs="Times New Roman"/>
              </w:rPr>
              <w:t>268,406</w:t>
            </w:r>
          </w:p>
        </w:tc>
        <w:tc>
          <w:tcPr>
            <w:tcW w:w="1728" w:type="dxa"/>
          </w:tcPr>
          <w:p w14:paraId="59737625">
            <w:pPr>
              <w:spacing w:line="240" w:lineRule="auto"/>
              <w:rPr>
                <w:rFonts w:ascii="Times New Roman" w:hAnsi="Times New Roman" w:cs="Times New Roman"/>
              </w:rPr>
            </w:pPr>
            <w:r>
              <w:rPr>
                <w:rFonts w:ascii="Times New Roman" w:hAnsi="Times New Roman" w:cs="Times New Roman"/>
              </w:rPr>
              <w:t>235,757 ÷ 268,406</w:t>
            </w:r>
          </w:p>
        </w:tc>
        <w:tc>
          <w:tcPr>
            <w:tcW w:w="1728" w:type="dxa"/>
          </w:tcPr>
          <w:p w14:paraId="0D268A95">
            <w:pPr>
              <w:spacing w:line="240" w:lineRule="auto"/>
              <w:rPr>
                <w:rFonts w:ascii="Times New Roman" w:hAnsi="Times New Roman" w:cs="Times New Roman"/>
              </w:rPr>
            </w:pPr>
            <w:r>
              <w:rPr>
                <w:rFonts w:ascii="Times New Roman" w:hAnsi="Times New Roman" w:cs="Times New Roman"/>
              </w:rPr>
              <w:t>0.88</w:t>
            </w:r>
          </w:p>
        </w:tc>
      </w:tr>
      <w:tr w14:paraId="430A4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A390A71">
            <w:pPr>
              <w:spacing w:line="240" w:lineRule="auto"/>
              <w:rPr>
                <w:rFonts w:ascii="Times New Roman" w:hAnsi="Times New Roman" w:cs="Times New Roman"/>
              </w:rPr>
            </w:pPr>
            <w:r>
              <w:rPr>
                <w:rFonts w:ascii="Times New Roman" w:hAnsi="Times New Roman" w:cs="Times New Roman"/>
              </w:rPr>
              <w:t>2023</w:t>
            </w:r>
          </w:p>
        </w:tc>
        <w:tc>
          <w:tcPr>
            <w:tcW w:w="1728" w:type="dxa"/>
          </w:tcPr>
          <w:p w14:paraId="1CCE5760">
            <w:pPr>
              <w:spacing w:line="240" w:lineRule="auto"/>
              <w:rPr>
                <w:rFonts w:ascii="Times New Roman" w:hAnsi="Times New Roman" w:cs="Times New Roman"/>
              </w:rPr>
            </w:pPr>
            <w:r>
              <w:rPr>
                <w:rFonts w:ascii="Times New Roman" w:hAnsi="Times New Roman" w:cs="Times New Roman"/>
              </w:rPr>
              <w:t>176,952</w:t>
            </w:r>
          </w:p>
        </w:tc>
        <w:tc>
          <w:tcPr>
            <w:tcW w:w="1728" w:type="dxa"/>
          </w:tcPr>
          <w:p w14:paraId="002E50A2">
            <w:pPr>
              <w:spacing w:line="240" w:lineRule="auto"/>
              <w:rPr>
                <w:rFonts w:ascii="Times New Roman" w:hAnsi="Times New Roman" w:cs="Times New Roman"/>
              </w:rPr>
            </w:pPr>
            <w:r>
              <w:rPr>
                <w:rFonts w:ascii="Times New Roman" w:hAnsi="Times New Roman" w:cs="Times New Roman"/>
              </w:rPr>
              <w:t>178,920</w:t>
            </w:r>
          </w:p>
        </w:tc>
        <w:tc>
          <w:tcPr>
            <w:tcW w:w="1728" w:type="dxa"/>
          </w:tcPr>
          <w:p w14:paraId="4B691124">
            <w:pPr>
              <w:spacing w:line="240" w:lineRule="auto"/>
              <w:rPr>
                <w:rFonts w:ascii="Times New Roman" w:hAnsi="Times New Roman" w:cs="Times New Roman"/>
              </w:rPr>
            </w:pPr>
            <w:r>
              <w:rPr>
                <w:rFonts w:ascii="Times New Roman" w:hAnsi="Times New Roman" w:cs="Times New Roman"/>
              </w:rPr>
              <w:t>176,952 ÷ 178,920</w:t>
            </w:r>
          </w:p>
        </w:tc>
        <w:tc>
          <w:tcPr>
            <w:tcW w:w="1728" w:type="dxa"/>
          </w:tcPr>
          <w:p w14:paraId="45902177">
            <w:pPr>
              <w:spacing w:line="240" w:lineRule="auto"/>
              <w:rPr>
                <w:rFonts w:ascii="Times New Roman" w:hAnsi="Times New Roman" w:cs="Times New Roman"/>
              </w:rPr>
            </w:pPr>
            <w:r>
              <w:rPr>
                <w:rFonts w:ascii="Times New Roman" w:hAnsi="Times New Roman" w:cs="Times New Roman"/>
              </w:rPr>
              <w:t>0.99</w:t>
            </w:r>
          </w:p>
        </w:tc>
      </w:tr>
      <w:tr w14:paraId="1111A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08DB440">
            <w:pPr>
              <w:spacing w:line="240" w:lineRule="auto"/>
              <w:rPr>
                <w:rFonts w:ascii="Times New Roman" w:hAnsi="Times New Roman" w:cs="Times New Roman"/>
              </w:rPr>
            </w:pPr>
            <w:r>
              <w:rPr>
                <w:rFonts w:ascii="Times New Roman" w:hAnsi="Times New Roman" w:cs="Times New Roman"/>
              </w:rPr>
              <w:t>2024</w:t>
            </w:r>
          </w:p>
        </w:tc>
        <w:tc>
          <w:tcPr>
            <w:tcW w:w="1728" w:type="dxa"/>
          </w:tcPr>
          <w:p w14:paraId="73E8F522">
            <w:pPr>
              <w:spacing w:line="240" w:lineRule="auto"/>
              <w:rPr>
                <w:rFonts w:ascii="Times New Roman" w:hAnsi="Times New Roman" w:cs="Times New Roman"/>
              </w:rPr>
            </w:pPr>
            <w:r>
              <w:rPr>
                <w:rFonts w:ascii="Times New Roman" w:hAnsi="Times New Roman" w:cs="Times New Roman"/>
              </w:rPr>
              <w:t>170,249</w:t>
            </w:r>
          </w:p>
        </w:tc>
        <w:tc>
          <w:tcPr>
            <w:tcW w:w="1728" w:type="dxa"/>
          </w:tcPr>
          <w:p w14:paraId="12B7B7B8">
            <w:pPr>
              <w:spacing w:line="240" w:lineRule="auto"/>
              <w:rPr>
                <w:rFonts w:ascii="Times New Roman" w:hAnsi="Times New Roman" w:cs="Times New Roman"/>
              </w:rPr>
            </w:pPr>
            <w:r>
              <w:rPr>
                <w:rFonts w:ascii="Times New Roman" w:hAnsi="Times New Roman" w:cs="Times New Roman"/>
              </w:rPr>
              <w:t>153,105</w:t>
            </w:r>
          </w:p>
        </w:tc>
        <w:tc>
          <w:tcPr>
            <w:tcW w:w="1728" w:type="dxa"/>
          </w:tcPr>
          <w:p w14:paraId="69C683C9">
            <w:pPr>
              <w:spacing w:line="240" w:lineRule="auto"/>
              <w:rPr>
                <w:rFonts w:ascii="Times New Roman" w:hAnsi="Times New Roman" w:cs="Times New Roman"/>
              </w:rPr>
            </w:pPr>
            <w:r>
              <w:rPr>
                <w:rFonts w:ascii="Times New Roman" w:hAnsi="Times New Roman" w:cs="Times New Roman"/>
              </w:rPr>
              <w:t>170,249 ÷ 153,105</w:t>
            </w:r>
          </w:p>
        </w:tc>
        <w:tc>
          <w:tcPr>
            <w:tcW w:w="1728" w:type="dxa"/>
          </w:tcPr>
          <w:p w14:paraId="0469C291">
            <w:pPr>
              <w:spacing w:line="240" w:lineRule="auto"/>
              <w:rPr>
                <w:rFonts w:ascii="Times New Roman" w:hAnsi="Times New Roman" w:cs="Times New Roman"/>
              </w:rPr>
            </w:pPr>
            <w:r>
              <w:rPr>
                <w:rFonts w:ascii="Times New Roman" w:hAnsi="Times New Roman" w:cs="Times New Roman"/>
              </w:rPr>
              <w:t>1.11</w:t>
            </w:r>
          </w:p>
        </w:tc>
      </w:tr>
    </w:tbl>
    <w:p w14:paraId="542D0340">
      <w:pPr>
        <w:pStyle w:val="3"/>
        <w:rPr>
          <w:rFonts w:ascii="Times New Roman" w:hAnsi="Times New Roman" w:cs="Times New Roman"/>
          <w:sz w:val="28"/>
          <w:szCs w:val="28"/>
        </w:rPr>
      </w:pPr>
    </w:p>
    <w:p w14:paraId="1B07E8CE">
      <w:pPr>
        <w:rPr>
          <w:rFonts w:ascii="Times New Roman" w:hAnsi="Times New Roman" w:cs="Times New Roman"/>
        </w:rPr>
      </w:pPr>
      <w:r>
        <w:rPr>
          <w:rFonts w:ascii="Times New Roman" w:hAnsi="Times New Roman" w:cs="Times New Roman"/>
        </w:rPr>
        <w:t>Table 14: Debt Ratio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6C656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tcPr>
          <w:p w14:paraId="0EDAC4FD">
            <w:pPr>
              <w:spacing w:line="240" w:lineRule="auto"/>
              <w:rPr>
                <w:rFonts w:ascii="Times New Roman" w:hAnsi="Times New Roman" w:cs="Times New Roman"/>
              </w:rPr>
            </w:pPr>
            <w:r>
              <w:rPr>
                <w:rFonts w:ascii="Times New Roman" w:hAnsi="Times New Roman" w:cs="Times New Roman"/>
              </w:rPr>
              <w:t>Year</w:t>
            </w:r>
          </w:p>
        </w:tc>
        <w:tc>
          <w:tcPr>
            <w:tcW w:w="1728" w:type="dxa"/>
          </w:tcPr>
          <w:p w14:paraId="55B42AD6">
            <w:pPr>
              <w:spacing w:line="240" w:lineRule="auto"/>
              <w:rPr>
                <w:rFonts w:ascii="Times New Roman" w:hAnsi="Times New Roman" w:cs="Times New Roman"/>
              </w:rPr>
            </w:pPr>
            <w:r>
              <w:rPr>
                <w:rFonts w:ascii="Times New Roman" w:hAnsi="Times New Roman" w:cs="Times New Roman"/>
              </w:rPr>
              <w:t>Total Liabilities</w:t>
            </w:r>
          </w:p>
        </w:tc>
        <w:tc>
          <w:tcPr>
            <w:tcW w:w="1728" w:type="dxa"/>
          </w:tcPr>
          <w:p w14:paraId="3187512D">
            <w:pPr>
              <w:spacing w:line="240" w:lineRule="auto"/>
              <w:rPr>
                <w:rFonts w:ascii="Times New Roman" w:hAnsi="Times New Roman" w:cs="Times New Roman"/>
              </w:rPr>
            </w:pPr>
            <w:r>
              <w:rPr>
                <w:rFonts w:ascii="Times New Roman" w:hAnsi="Times New Roman" w:cs="Times New Roman"/>
              </w:rPr>
              <w:t>Total Assets</w:t>
            </w:r>
          </w:p>
        </w:tc>
        <w:tc>
          <w:tcPr>
            <w:tcW w:w="1728" w:type="dxa"/>
          </w:tcPr>
          <w:p w14:paraId="67530ED8">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05D632A5">
            <w:pPr>
              <w:spacing w:line="240" w:lineRule="auto"/>
              <w:rPr>
                <w:rFonts w:ascii="Times New Roman" w:hAnsi="Times New Roman" w:cs="Times New Roman"/>
              </w:rPr>
            </w:pPr>
            <w:r>
              <w:rPr>
                <w:rFonts w:ascii="Times New Roman" w:hAnsi="Times New Roman" w:cs="Times New Roman"/>
              </w:rPr>
              <w:t>Ratio</w:t>
            </w:r>
          </w:p>
        </w:tc>
      </w:tr>
      <w:tr w14:paraId="7815A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7E1EBBB">
            <w:pPr>
              <w:spacing w:line="240" w:lineRule="auto"/>
              <w:rPr>
                <w:rFonts w:ascii="Times New Roman" w:hAnsi="Times New Roman" w:cs="Times New Roman"/>
              </w:rPr>
            </w:pPr>
            <w:r>
              <w:rPr>
                <w:rFonts w:ascii="Times New Roman" w:hAnsi="Times New Roman" w:cs="Times New Roman"/>
              </w:rPr>
              <w:t>2020</w:t>
            </w:r>
          </w:p>
        </w:tc>
        <w:tc>
          <w:tcPr>
            <w:tcW w:w="1728" w:type="dxa"/>
          </w:tcPr>
          <w:p w14:paraId="73FBF9A6">
            <w:pPr>
              <w:spacing w:line="240" w:lineRule="auto"/>
              <w:rPr>
                <w:rFonts w:ascii="Times New Roman" w:hAnsi="Times New Roman" w:cs="Times New Roman"/>
              </w:rPr>
            </w:pPr>
            <w:r>
              <w:rPr>
                <w:rFonts w:ascii="Times New Roman" w:hAnsi="Times New Roman" w:cs="Times New Roman"/>
              </w:rPr>
              <w:t>196,989</w:t>
            </w:r>
          </w:p>
        </w:tc>
        <w:tc>
          <w:tcPr>
            <w:tcW w:w="1728" w:type="dxa"/>
          </w:tcPr>
          <w:p w14:paraId="1B64AE52">
            <w:pPr>
              <w:spacing w:line="240" w:lineRule="auto"/>
              <w:rPr>
                <w:rFonts w:ascii="Times New Roman" w:hAnsi="Times New Roman" w:cs="Times New Roman"/>
              </w:rPr>
            </w:pPr>
            <w:r>
              <w:rPr>
                <w:rFonts w:ascii="Times New Roman" w:hAnsi="Times New Roman" w:cs="Times New Roman"/>
              </w:rPr>
              <w:t>510,290</w:t>
            </w:r>
          </w:p>
        </w:tc>
        <w:tc>
          <w:tcPr>
            <w:tcW w:w="1728" w:type="dxa"/>
          </w:tcPr>
          <w:p w14:paraId="21FDA5E7">
            <w:pPr>
              <w:spacing w:line="240" w:lineRule="auto"/>
              <w:rPr>
                <w:rFonts w:ascii="Times New Roman" w:hAnsi="Times New Roman" w:cs="Times New Roman"/>
              </w:rPr>
            </w:pPr>
            <w:r>
              <w:rPr>
                <w:rFonts w:ascii="Times New Roman" w:hAnsi="Times New Roman" w:cs="Times New Roman"/>
              </w:rPr>
              <w:t>196,989 ÷ 510,290</w:t>
            </w:r>
          </w:p>
        </w:tc>
        <w:tc>
          <w:tcPr>
            <w:tcW w:w="1728" w:type="dxa"/>
          </w:tcPr>
          <w:p w14:paraId="7E0AC5C9">
            <w:pPr>
              <w:spacing w:line="240" w:lineRule="auto"/>
              <w:rPr>
                <w:rFonts w:ascii="Times New Roman" w:hAnsi="Times New Roman" w:cs="Times New Roman"/>
              </w:rPr>
            </w:pPr>
            <w:r>
              <w:rPr>
                <w:rFonts w:ascii="Times New Roman" w:hAnsi="Times New Roman" w:cs="Times New Roman"/>
              </w:rPr>
              <w:t>0.39</w:t>
            </w:r>
          </w:p>
        </w:tc>
      </w:tr>
      <w:tr w14:paraId="6A747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3AD40E1">
            <w:pPr>
              <w:spacing w:line="240" w:lineRule="auto"/>
              <w:rPr>
                <w:rFonts w:ascii="Times New Roman" w:hAnsi="Times New Roman" w:cs="Times New Roman"/>
              </w:rPr>
            </w:pPr>
            <w:r>
              <w:rPr>
                <w:rFonts w:ascii="Times New Roman" w:hAnsi="Times New Roman" w:cs="Times New Roman"/>
              </w:rPr>
              <w:t>2021</w:t>
            </w:r>
          </w:p>
        </w:tc>
        <w:tc>
          <w:tcPr>
            <w:tcW w:w="1728" w:type="dxa"/>
          </w:tcPr>
          <w:p w14:paraId="768632DD">
            <w:pPr>
              <w:spacing w:line="240" w:lineRule="auto"/>
              <w:rPr>
                <w:rFonts w:ascii="Times New Roman" w:hAnsi="Times New Roman" w:cs="Times New Roman"/>
              </w:rPr>
            </w:pPr>
            <w:r>
              <w:rPr>
                <w:rFonts w:ascii="Times New Roman" w:hAnsi="Times New Roman" w:cs="Times New Roman"/>
              </w:rPr>
              <w:t>234,399</w:t>
            </w:r>
          </w:p>
        </w:tc>
        <w:tc>
          <w:tcPr>
            <w:tcW w:w="1728" w:type="dxa"/>
          </w:tcPr>
          <w:p w14:paraId="2CF4B8A5">
            <w:pPr>
              <w:spacing w:line="240" w:lineRule="auto"/>
              <w:rPr>
                <w:rFonts w:ascii="Times New Roman" w:hAnsi="Times New Roman" w:cs="Times New Roman"/>
              </w:rPr>
            </w:pPr>
            <w:r>
              <w:rPr>
                <w:rFonts w:ascii="Times New Roman" w:hAnsi="Times New Roman" w:cs="Times New Roman"/>
              </w:rPr>
              <w:t>510,348</w:t>
            </w:r>
          </w:p>
        </w:tc>
        <w:tc>
          <w:tcPr>
            <w:tcW w:w="1728" w:type="dxa"/>
          </w:tcPr>
          <w:p w14:paraId="22D46203">
            <w:pPr>
              <w:spacing w:line="240" w:lineRule="auto"/>
              <w:rPr>
                <w:rFonts w:ascii="Times New Roman" w:hAnsi="Times New Roman" w:cs="Times New Roman"/>
              </w:rPr>
            </w:pPr>
            <w:r>
              <w:rPr>
                <w:rFonts w:ascii="Times New Roman" w:hAnsi="Times New Roman" w:cs="Times New Roman"/>
              </w:rPr>
              <w:t>234,399 ÷ 510,348</w:t>
            </w:r>
          </w:p>
        </w:tc>
        <w:tc>
          <w:tcPr>
            <w:tcW w:w="1728" w:type="dxa"/>
          </w:tcPr>
          <w:p w14:paraId="34B85A05">
            <w:pPr>
              <w:spacing w:line="240" w:lineRule="auto"/>
              <w:rPr>
                <w:rFonts w:ascii="Times New Roman" w:hAnsi="Times New Roman" w:cs="Times New Roman"/>
              </w:rPr>
            </w:pPr>
            <w:r>
              <w:rPr>
                <w:rFonts w:ascii="Times New Roman" w:hAnsi="Times New Roman" w:cs="Times New Roman"/>
              </w:rPr>
              <w:t>0.46</w:t>
            </w:r>
          </w:p>
        </w:tc>
      </w:tr>
      <w:tr w14:paraId="49A37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3442320">
            <w:pPr>
              <w:spacing w:line="240" w:lineRule="auto"/>
              <w:rPr>
                <w:rFonts w:ascii="Times New Roman" w:hAnsi="Times New Roman" w:cs="Times New Roman"/>
              </w:rPr>
            </w:pPr>
            <w:r>
              <w:rPr>
                <w:rFonts w:ascii="Times New Roman" w:hAnsi="Times New Roman" w:cs="Times New Roman"/>
              </w:rPr>
              <w:t>2022</w:t>
            </w:r>
          </w:p>
        </w:tc>
        <w:tc>
          <w:tcPr>
            <w:tcW w:w="1728" w:type="dxa"/>
          </w:tcPr>
          <w:p w14:paraId="5D559141">
            <w:pPr>
              <w:spacing w:line="240" w:lineRule="auto"/>
              <w:rPr>
                <w:rFonts w:ascii="Times New Roman" w:hAnsi="Times New Roman" w:cs="Times New Roman"/>
              </w:rPr>
            </w:pPr>
            <w:r>
              <w:rPr>
                <w:rFonts w:ascii="Times New Roman" w:hAnsi="Times New Roman" w:cs="Times New Roman"/>
              </w:rPr>
              <w:t>235,757</w:t>
            </w:r>
          </w:p>
        </w:tc>
        <w:tc>
          <w:tcPr>
            <w:tcW w:w="1728" w:type="dxa"/>
          </w:tcPr>
          <w:p w14:paraId="27E4C9AE">
            <w:pPr>
              <w:spacing w:line="240" w:lineRule="auto"/>
              <w:rPr>
                <w:rFonts w:ascii="Times New Roman" w:hAnsi="Times New Roman" w:cs="Times New Roman"/>
              </w:rPr>
            </w:pPr>
            <w:r>
              <w:rPr>
                <w:rFonts w:ascii="Times New Roman" w:hAnsi="Times New Roman" w:cs="Times New Roman"/>
              </w:rPr>
              <w:t>504,163</w:t>
            </w:r>
          </w:p>
        </w:tc>
        <w:tc>
          <w:tcPr>
            <w:tcW w:w="1728" w:type="dxa"/>
          </w:tcPr>
          <w:p w14:paraId="55E56F0F">
            <w:pPr>
              <w:spacing w:line="240" w:lineRule="auto"/>
              <w:rPr>
                <w:rFonts w:ascii="Times New Roman" w:hAnsi="Times New Roman" w:cs="Times New Roman"/>
              </w:rPr>
            </w:pPr>
            <w:r>
              <w:rPr>
                <w:rFonts w:ascii="Times New Roman" w:hAnsi="Times New Roman" w:cs="Times New Roman"/>
              </w:rPr>
              <w:t>235,757 ÷ 504,163</w:t>
            </w:r>
          </w:p>
        </w:tc>
        <w:tc>
          <w:tcPr>
            <w:tcW w:w="1728" w:type="dxa"/>
          </w:tcPr>
          <w:p w14:paraId="7C5AF921">
            <w:pPr>
              <w:spacing w:line="240" w:lineRule="auto"/>
              <w:rPr>
                <w:rFonts w:ascii="Times New Roman" w:hAnsi="Times New Roman" w:cs="Times New Roman"/>
              </w:rPr>
            </w:pPr>
            <w:r>
              <w:rPr>
                <w:rFonts w:ascii="Times New Roman" w:hAnsi="Times New Roman" w:cs="Times New Roman"/>
              </w:rPr>
              <w:t>0.47</w:t>
            </w:r>
          </w:p>
        </w:tc>
      </w:tr>
      <w:tr w14:paraId="3FC7E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A108DE5">
            <w:pPr>
              <w:spacing w:line="240" w:lineRule="auto"/>
              <w:rPr>
                <w:rFonts w:ascii="Times New Roman" w:hAnsi="Times New Roman" w:cs="Times New Roman"/>
              </w:rPr>
            </w:pPr>
            <w:r>
              <w:rPr>
                <w:rFonts w:ascii="Times New Roman" w:hAnsi="Times New Roman" w:cs="Times New Roman"/>
              </w:rPr>
              <w:t>2023</w:t>
            </w:r>
          </w:p>
        </w:tc>
        <w:tc>
          <w:tcPr>
            <w:tcW w:w="1728" w:type="dxa"/>
          </w:tcPr>
          <w:p w14:paraId="246C91C2">
            <w:pPr>
              <w:spacing w:line="240" w:lineRule="auto"/>
              <w:rPr>
                <w:rFonts w:ascii="Times New Roman" w:hAnsi="Times New Roman" w:cs="Times New Roman"/>
              </w:rPr>
            </w:pPr>
            <w:r>
              <w:rPr>
                <w:rFonts w:ascii="Times New Roman" w:hAnsi="Times New Roman" w:cs="Times New Roman"/>
              </w:rPr>
              <w:t>176,952</w:t>
            </w:r>
          </w:p>
        </w:tc>
        <w:tc>
          <w:tcPr>
            <w:tcW w:w="1728" w:type="dxa"/>
          </w:tcPr>
          <w:p w14:paraId="5C85CE31">
            <w:pPr>
              <w:spacing w:line="240" w:lineRule="auto"/>
              <w:rPr>
                <w:rFonts w:ascii="Times New Roman" w:hAnsi="Times New Roman" w:cs="Times New Roman"/>
              </w:rPr>
            </w:pPr>
            <w:r>
              <w:rPr>
                <w:rFonts w:ascii="Times New Roman" w:hAnsi="Times New Roman" w:cs="Times New Roman"/>
              </w:rPr>
              <w:t>355,872</w:t>
            </w:r>
          </w:p>
        </w:tc>
        <w:tc>
          <w:tcPr>
            <w:tcW w:w="1728" w:type="dxa"/>
          </w:tcPr>
          <w:p w14:paraId="52276720">
            <w:pPr>
              <w:spacing w:line="240" w:lineRule="auto"/>
              <w:rPr>
                <w:rFonts w:ascii="Times New Roman" w:hAnsi="Times New Roman" w:cs="Times New Roman"/>
              </w:rPr>
            </w:pPr>
            <w:r>
              <w:rPr>
                <w:rFonts w:ascii="Times New Roman" w:hAnsi="Times New Roman" w:cs="Times New Roman"/>
              </w:rPr>
              <w:t>176,952 ÷ 355,872</w:t>
            </w:r>
          </w:p>
        </w:tc>
        <w:tc>
          <w:tcPr>
            <w:tcW w:w="1728" w:type="dxa"/>
          </w:tcPr>
          <w:p w14:paraId="090E27E1">
            <w:pPr>
              <w:spacing w:line="240" w:lineRule="auto"/>
              <w:rPr>
                <w:rFonts w:ascii="Times New Roman" w:hAnsi="Times New Roman" w:cs="Times New Roman"/>
              </w:rPr>
            </w:pPr>
            <w:r>
              <w:rPr>
                <w:rFonts w:ascii="Times New Roman" w:hAnsi="Times New Roman" w:cs="Times New Roman"/>
              </w:rPr>
              <w:t>0.50</w:t>
            </w:r>
          </w:p>
        </w:tc>
      </w:tr>
      <w:tr w14:paraId="27B92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F70D645">
            <w:pPr>
              <w:spacing w:line="240" w:lineRule="auto"/>
              <w:rPr>
                <w:rFonts w:ascii="Times New Roman" w:hAnsi="Times New Roman" w:cs="Times New Roman"/>
              </w:rPr>
            </w:pPr>
            <w:r>
              <w:rPr>
                <w:rFonts w:ascii="Times New Roman" w:hAnsi="Times New Roman" w:cs="Times New Roman"/>
              </w:rPr>
              <w:t>2024</w:t>
            </w:r>
          </w:p>
        </w:tc>
        <w:tc>
          <w:tcPr>
            <w:tcW w:w="1728" w:type="dxa"/>
          </w:tcPr>
          <w:p w14:paraId="13031036">
            <w:pPr>
              <w:spacing w:line="240" w:lineRule="auto"/>
              <w:rPr>
                <w:rFonts w:ascii="Times New Roman" w:hAnsi="Times New Roman" w:cs="Times New Roman"/>
              </w:rPr>
            </w:pPr>
            <w:r>
              <w:rPr>
                <w:rFonts w:ascii="Times New Roman" w:hAnsi="Times New Roman" w:cs="Times New Roman"/>
              </w:rPr>
              <w:t>170,249</w:t>
            </w:r>
          </w:p>
        </w:tc>
        <w:tc>
          <w:tcPr>
            <w:tcW w:w="1728" w:type="dxa"/>
          </w:tcPr>
          <w:p w14:paraId="5EB87439">
            <w:pPr>
              <w:spacing w:line="240" w:lineRule="auto"/>
              <w:rPr>
                <w:rFonts w:ascii="Times New Roman" w:hAnsi="Times New Roman" w:cs="Times New Roman"/>
              </w:rPr>
            </w:pPr>
            <w:r>
              <w:rPr>
                <w:rFonts w:ascii="Times New Roman" w:hAnsi="Times New Roman" w:cs="Times New Roman"/>
              </w:rPr>
              <w:t>323,354</w:t>
            </w:r>
          </w:p>
        </w:tc>
        <w:tc>
          <w:tcPr>
            <w:tcW w:w="1728" w:type="dxa"/>
          </w:tcPr>
          <w:p w14:paraId="01BA30FB">
            <w:pPr>
              <w:spacing w:line="240" w:lineRule="auto"/>
              <w:rPr>
                <w:rFonts w:ascii="Times New Roman" w:hAnsi="Times New Roman" w:cs="Times New Roman"/>
              </w:rPr>
            </w:pPr>
            <w:r>
              <w:rPr>
                <w:rFonts w:ascii="Times New Roman" w:hAnsi="Times New Roman" w:cs="Times New Roman"/>
              </w:rPr>
              <w:t>170,249 ÷ 323,354</w:t>
            </w:r>
          </w:p>
        </w:tc>
        <w:tc>
          <w:tcPr>
            <w:tcW w:w="1728" w:type="dxa"/>
          </w:tcPr>
          <w:p w14:paraId="12E6DADF">
            <w:pPr>
              <w:spacing w:line="240" w:lineRule="auto"/>
              <w:rPr>
                <w:rFonts w:ascii="Times New Roman" w:hAnsi="Times New Roman" w:cs="Times New Roman"/>
              </w:rPr>
            </w:pPr>
            <w:r>
              <w:rPr>
                <w:rFonts w:ascii="Times New Roman" w:hAnsi="Times New Roman" w:cs="Times New Roman"/>
              </w:rPr>
              <w:t>0.53</w:t>
            </w:r>
          </w:p>
        </w:tc>
      </w:tr>
    </w:tbl>
    <w:p w14:paraId="6AEB92EC">
      <w:pPr>
        <w:pStyle w:val="3"/>
        <w:rPr>
          <w:rFonts w:ascii="Times New Roman" w:hAnsi="Times New Roman" w:cs="Times New Roman"/>
          <w:sz w:val="28"/>
          <w:szCs w:val="28"/>
        </w:rPr>
      </w:pPr>
    </w:p>
    <w:p w14:paraId="7EE47992">
      <w:pPr>
        <w:rPr>
          <w:rFonts w:ascii="Times New Roman" w:hAnsi="Times New Roman" w:cs="Times New Roman"/>
        </w:rPr>
      </w:pPr>
      <w:r>
        <w:rPr>
          <w:rFonts w:ascii="Times New Roman" w:hAnsi="Times New Roman" w:cs="Times New Roman"/>
        </w:rPr>
        <w:t>Table 15: Interest Coverage Ratio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64B7E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875E629">
            <w:pPr>
              <w:spacing w:line="240" w:lineRule="auto"/>
              <w:rPr>
                <w:rFonts w:ascii="Times New Roman" w:hAnsi="Times New Roman" w:cs="Times New Roman"/>
              </w:rPr>
            </w:pPr>
            <w:r>
              <w:rPr>
                <w:rFonts w:ascii="Times New Roman" w:hAnsi="Times New Roman" w:cs="Times New Roman"/>
              </w:rPr>
              <w:t>Year</w:t>
            </w:r>
          </w:p>
        </w:tc>
        <w:tc>
          <w:tcPr>
            <w:tcW w:w="1728" w:type="dxa"/>
          </w:tcPr>
          <w:p w14:paraId="26BB4BEF">
            <w:pPr>
              <w:spacing w:line="240" w:lineRule="auto"/>
              <w:rPr>
                <w:rFonts w:ascii="Times New Roman" w:hAnsi="Times New Roman" w:cs="Times New Roman"/>
              </w:rPr>
            </w:pPr>
            <w:r>
              <w:rPr>
                <w:rFonts w:ascii="Times New Roman" w:hAnsi="Times New Roman" w:cs="Times New Roman"/>
              </w:rPr>
              <w:t>Operating Income</w:t>
            </w:r>
          </w:p>
        </w:tc>
        <w:tc>
          <w:tcPr>
            <w:tcW w:w="1728" w:type="dxa"/>
          </w:tcPr>
          <w:p w14:paraId="7AE349D0">
            <w:pPr>
              <w:spacing w:line="240" w:lineRule="auto"/>
              <w:rPr>
                <w:rFonts w:ascii="Times New Roman" w:hAnsi="Times New Roman" w:cs="Times New Roman"/>
              </w:rPr>
            </w:pPr>
            <w:r>
              <w:rPr>
                <w:rFonts w:ascii="Times New Roman" w:hAnsi="Times New Roman" w:cs="Times New Roman"/>
              </w:rPr>
              <w:t>Interest Expense</w:t>
            </w:r>
          </w:p>
        </w:tc>
        <w:tc>
          <w:tcPr>
            <w:tcW w:w="1728" w:type="dxa"/>
          </w:tcPr>
          <w:p w14:paraId="63171FED">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4032A43C">
            <w:pPr>
              <w:spacing w:line="240" w:lineRule="auto"/>
              <w:rPr>
                <w:rFonts w:ascii="Times New Roman" w:hAnsi="Times New Roman" w:cs="Times New Roman"/>
              </w:rPr>
            </w:pPr>
            <w:r>
              <w:rPr>
                <w:rFonts w:ascii="Times New Roman" w:hAnsi="Times New Roman" w:cs="Times New Roman"/>
              </w:rPr>
              <w:t>ICR</w:t>
            </w:r>
          </w:p>
        </w:tc>
      </w:tr>
      <w:tr w14:paraId="1F3C0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16F5207">
            <w:pPr>
              <w:spacing w:line="240" w:lineRule="auto"/>
              <w:rPr>
                <w:rFonts w:ascii="Times New Roman" w:hAnsi="Times New Roman" w:cs="Times New Roman"/>
              </w:rPr>
            </w:pPr>
            <w:r>
              <w:rPr>
                <w:rFonts w:ascii="Times New Roman" w:hAnsi="Times New Roman" w:cs="Times New Roman"/>
              </w:rPr>
              <w:t>2020</w:t>
            </w:r>
          </w:p>
        </w:tc>
        <w:tc>
          <w:tcPr>
            <w:tcW w:w="1728" w:type="dxa"/>
          </w:tcPr>
          <w:p w14:paraId="2EAAFCBE">
            <w:pPr>
              <w:spacing w:line="240" w:lineRule="auto"/>
              <w:rPr>
                <w:rFonts w:ascii="Times New Roman" w:hAnsi="Times New Roman" w:cs="Times New Roman"/>
              </w:rPr>
            </w:pPr>
            <w:r>
              <w:rPr>
                <w:rFonts w:ascii="Times New Roman" w:hAnsi="Times New Roman" w:cs="Times New Roman"/>
              </w:rPr>
              <w:t>37,267</w:t>
            </w:r>
          </w:p>
        </w:tc>
        <w:tc>
          <w:tcPr>
            <w:tcW w:w="1728" w:type="dxa"/>
          </w:tcPr>
          <w:p w14:paraId="63D4FE5A">
            <w:pPr>
              <w:spacing w:line="240" w:lineRule="auto"/>
              <w:rPr>
                <w:rFonts w:ascii="Times New Roman" w:hAnsi="Times New Roman" w:cs="Times New Roman"/>
              </w:rPr>
            </w:pPr>
            <w:r>
              <w:rPr>
                <w:rFonts w:ascii="Times New Roman" w:hAnsi="Times New Roman" w:cs="Times New Roman"/>
              </w:rPr>
              <w:t>1,422</w:t>
            </w:r>
          </w:p>
        </w:tc>
        <w:tc>
          <w:tcPr>
            <w:tcW w:w="1728" w:type="dxa"/>
          </w:tcPr>
          <w:p w14:paraId="09DAF6FA">
            <w:pPr>
              <w:spacing w:line="240" w:lineRule="auto"/>
              <w:rPr>
                <w:rFonts w:ascii="Times New Roman" w:hAnsi="Times New Roman" w:cs="Times New Roman"/>
              </w:rPr>
            </w:pPr>
            <w:r>
              <w:rPr>
                <w:rFonts w:ascii="Times New Roman" w:hAnsi="Times New Roman" w:cs="Times New Roman"/>
              </w:rPr>
              <w:t>37,267 ÷ 1,422</w:t>
            </w:r>
          </w:p>
        </w:tc>
        <w:tc>
          <w:tcPr>
            <w:tcW w:w="1728" w:type="dxa"/>
          </w:tcPr>
          <w:p w14:paraId="5CA7F10A">
            <w:pPr>
              <w:spacing w:line="240" w:lineRule="auto"/>
              <w:rPr>
                <w:rFonts w:ascii="Times New Roman" w:hAnsi="Times New Roman" w:cs="Times New Roman"/>
              </w:rPr>
            </w:pPr>
            <w:r>
              <w:rPr>
                <w:rFonts w:ascii="Times New Roman" w:hAnsi="Times New Roman" w:cs="Times New Roman"/>
              </w:rPr>
              <w:t>26.2×</w:t>
            </w:r>
          </w:p>
        </w:tc>
      </w:tr>
      <w:tr w14:paraId="7596A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52BE3D0">
            <w:pPr>
              <w:spacing w:line="240" w:lineRule="auto"/>
              <w:rPr>
                <w:rFonts w:ascii="Times New Roman" w:hAnsi="Times New Roman" w:cs="Times New Roman"/>
              </w:rPr>
            </w:pPr>
            <w:r>
              <w:rPr>
                <w:rFonts w:ascii="Times New Roman" w:hAnsi="Times New Roman" w:cs="Times New Roman"/>
              </w:rPr>
              <w:t>2021</w:t>
            </w:r>
          </w:p>
        </w:tc>
        <w:tc>
          <w:tcPr>
            <w:tcW w:w="1728" w:type="dxa"/>
          </w:tcPr>
          <w:p w14:paraId="40D4BF19">
            <w:pPr>
              <w:spacing w:line="240" w:lineRule="auto"/>
              <w:rPr>
                <w:rFonts w:ascii="Times New Roman" w:hAnsi="Times New Roman" w:cs="Times New Roman"/>
              </w:rPr>
            </w:pPr>
            <w:r>
              <w:rPr>
                <w:rFonts w:ascii="Times New Roman" w:hAnsi="Times New Roman" w:cs="Times New Roman"/>
              </w:rPr>
              <w:t>23,253</w:t>
            </w:r>
          </w:p>
        </w:tc>
        <w:tc>
          <w:tcPr>
            <w:tcW w:w="1728" w:type="dxa"/>
          </w:tcPr>
          <w:p w14:paraId="45FB8C76">
            <w:pPr>
              <w:spacing w:line="240" w:lineRule="auto"/>
              <w:rPr>
                <w:rFonts w:ascii="Times New Roman" w:hAnsi="Times New Roman" w:cs="Times New Roman"/>
              </w:rPr>
            </w:pPr>
            <w:r>
              <w:rPr>
                <w:rFonts w:ascii="Times New Roman" w:hAnsi="Times New Roman" w:cs="Times New Roman"/>
              </w:rPr>
              <w:t>566</w:t>
            </w:r>
          </w:p>
        </w:tc>
        <w:tc>
          <w:tcPr>
            <w:tcW w:w="1728" w:type="dxa"/>
          </w:tcPr>
          <w:p w14:paraId="0595E33D">
            <w:pPr>
              <w:spacing w:line="240" w:lineRule="auto"/>
              <w:rPr>
                <w:rFonts w:ascii="Times New Roman" w:hAnsi="Times New Roman" w:cs="Times New Roman"/>
              </w:rPr>
            </w:pPr>
            <w:r>
              <w:rPr>
                <w:rFonts w:ascii="Times New Roman" w:hAnsi="Times New Roman" w:cs="Times New Roman"/>
              </w:rPr>
              <w:t>23,253 ÷ 566</w:t>
            </w:r>
          </w:p>
        </w:tc>
        <w:tc>
          <w:tcPr>
            <w:tcW w:w="1728" w:type="dxa"/>
          </w:tcPr>
          <w:p w14:paraId="1F3ED985">
            <w:pPr>
              <w:spacing w:line="240" w:lineRule="auto"/>
              <w:rPr>
                <w:rFonts w:ascii="Times New Roman" w:hAnsi="Times New Roman" w:cs="Times New Roman"/>
              </w:rPr>
            </w:pPr>
            <w:r>
              <w:rPr>
                <w:rFonts w:ascii="Times New Roman" w:hAnsi="Times New Roman" w:cs="Times New Roman"/>
              </w:rPr>
              <w:t>41.1×</w:t>
            </w:r>
          </w:p>
        </w:tc>
      </w:tr>
      <w:tr w14:paraId="291FF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B8CF6CC">
            <w:pPr>
              <w:spacing w:line="240" w:lineRule="auto"/>
              <w:rPr>
                <w:rFonts w:ascii="Times New Roman" w:hAnsi="Times New Roman" w:cs="Times New Roman"/>
              </w:rPr>
            </w:pPr>
            <w:r>
              <w:rPr>
                <w:rFonts w:ascii="Times New Roman" w:hAnsi="Times New Roman" w:cs="Times New Roman"/>
              </w:rPr>
              <w:t>2022</w:t>
            </w:r>
          </w:p>
        </w:tc>
        <w:tc>
          <w:tcPr>
            <w:tcW w:w="1728" w:type="dxa"/>
          </w:tcPr>
          <w:p w14:paraId="016DAA19">
            <w:pPr>
              <w:spacing w:line="240" w:lineRule="auto"/>
              <w:rPr>
                <w:rFonts w:ascii="Times New Roman" w:hAnsi="Times New Roman" w:cs="Times New Roman"/>
              </w:rPr>
            </w:pPr>
            <w:r>
              <w:rPr>
                <w:rFonts w:ascii="Times New Roman" w:hAnsi="Times New Roman" w:cs="Times New Roman"/>
              </w:rPr>
              <w:t>14,548</w:t>
            </w:r>
          </w:p>
        </w:tc>
        <w:tc>
          <w:tcPr>
            <w:tcW w:w="1728" w:type="dxa"/>
          </w:tcPr>
          <w:p w14:paraId="4D380547">
            <w:pPr>
              <w:spacing w:line="240" w:lineRule="auto"/>
              <w:rPr>
                <w:rFonts w:ascii="Times New Roman" w:hAnsi="Times New Roman" w:cs="Times New Roman"/>
              </w:rPr>
            </w:pPr>
            <w:r>
              <w:rPr>
                <w:rFonts w:ascii="Times New Roman" w:hAnsi="Times New Roman" w:cs="Times New Roman"/>
              </w:rPr>
              <w:t>2,200</w:t>
            </w:r>
          </w:p>
        </w:tc>
        <w:tc>
          <w:tcPr>
            <w:tcW w:w="1728" w:type="dxa"/>
          </w:tcPr>
          <w:p w14:paraId="00AF45CA">
            <w:pPr>
              <w:spacing w:line="240" w:lineRule="auto"/>
              <w:rPr>
                <w:rFonts w:ascii="Times New Roman" w:hAnsi="Times New Roman" w:cs="Times New Roman"/>
              </w:rPr>
            </w:pPr>
            <w:r>
              <w:rPr>
                <w:rFonts w:ascii="Times New Roman" w:hAnsi="Times New Roman" w:cs="Times New Roman"/>
              </w:rPr>
              <w:t>14,548 ÷ 2,200</w:t>
            </w:r>
          </w:p>
        </w:tc>
        <w:tc>
          <w:tcPr>
            <w:tcW w:w="1728" w:type="dxa"/>
          </w:tcPr>
          <w:p w14:paraId="25281BC5">
            <w:pPr>
              <w:spacing w:line="240" w:lineRule="auto"/>
              <w:rPr>
                <w:rFonts w:ascii="Times New Roman" w:hAnsi="Times New Roman" w:cs="Times New Roman"/>
              </w:rPr>
            </w:pPr>
            <w:r>
              <w:rPr>
                <w:rFonts w:ascii="Times New Roman" w:hAnsi="Times New Roman" w:cs="Times New Roman"/>
              </w:rPr>
              <w:t>6.6×</w:t>
            </w:r>
          </w:p>
        </w:tc>
      </w:tr>
      <w:tr w14:paraId="37D4B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DE82ED3">
            <w:pPr>
              <w:spacing w:line="240" w:lineRule="auto"/>
              <w:rPr>
                <w:rFonts w:ascii="Times New Roman" w:hAnsi="Times New Roman" w:cs="Times New Roman"/>
              </w:rPr>
            </w:pPr>
            <w:r>
              <w:rPr>
                <w:rFonts w:ascii="Times New Roman" w:hAnsi="Times New Roman" w:cs="Times New Roman"/>
              </w:rPr>
              <w:t>2023</w:t>
            </w:r>
          </w:p>
        </w:tc>
        <w:tc>
          <w:tcPr>
            <w:tcW w:w="1728" w:type="dxa"/>
          </w:tcPr>
          <w:p w14:paraId="55C4E132">
            <w:pPr>
              <w:spacing w:line="240" w:lineRule="auto"/>
              <w:rPr>
                <w:rFonts w:ascii="Times New Roman" w:hAnsi="Times New Roman" w:cs="Times New Roman"/>
              </w:rPr>
            </w:pPr>
            <w:r>
              <w:rPr>
                <w:rFonts w:ascii="Times New Roman" w:hAnsi="Times New Roman" w:cs="Times New Roman"/>
              </w:rPr>
              <w:t>-85,301</w:t>
            </w:r>
          </w:p>
        </w:tc>
        <w:tc>
          <w:tcPr>
            <w:tcW w:w="1728" w:type="dxa"/>
          </w:tcPr>
          <w:p w14:paraId="03D37AC9">
            <w:pPr>
              <w:spacing w:line="240" w:lineRule="auto"/>
              <w:rPr>
                <w:rFonts w:ascii="Times New Roman" w:hAnsi="Times New Roman" w:cs="Times New Roman"/>
              </w:rPr>
            </w:pPr>
            <w:r>
              <w:rPr>
                <w:rFonts w:ascii="Times New Roman" w:hAnsi="Times New Roman" w:cs="Times New Roman"/>
              </w:rPr>
              <w:t>4,332</w:t>
            </w:r>
          </w:p>
        </w:tc>
        <w:tc>
          <w:tcPr>
            <w:tcW w:w="1728" w:type="dxa"/>
          </w:tcPr>
          <w:p w14:paraId="305C6513">
            <w:pPr>
              <w:spacing w:line="240" w:lineRule="auto"/>
              <w:rPr>
                <w:rFonts w:ascii="Times New Roman" w:hAnsi="Times New Roman" w:cs="Times New Roman"/>
              </w:rPr>
            </w:pPr>
            <w:r>
              <w:rPr>
                <w:rFonts w:ascii="Times New Roman" w:hAnsi="Times New Roman" w:cs="Times New Roman"/>
              </w:rPr>
              <w:t>-85,301 ÷ 4,332</w:t>
            </w:r>
          </w:p>
        </w:tc>
        <w:tc>
          <w:tcPr>
            <w:tcW w:w="1728" w:type="dxa"/>
          </w:tcPr>
          <w:p w14:paraId="05FED2A2">
            <w:pPr>
              <w:spacing w:line="240" w:lineRule="auto"/>
              <w:rPr>
                <w:rFonts w:ascii="Times New Roman" w:hAnsi="Times New Roman" w:cs="Times New Roman"/>
              </w:rPr>
            </w:pPr>
            <w:r>
              <w:rPr>
                <w:rFonts w:ascii="Times New Roman" w:hAnsi="Times New Roman" w:cs="Times New Roman"/>
              </w:rPr>
              <w:t>-19.7×</w:t>
            </w:r>
          </w:p>
        </w:tc>
      </w:tr>
      <w:tr w14:paraId="0D114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2D150C7">
            <w:pPr>
              <w:spacing w:line="240" w:lineRule="auto"/>
              <w:rPr>
                <w:rFonts w:ascii="Times New Roman" w:hAnsi="Times New Roman" w:cs="Times New Roman"/>
              </w:rPr>
            </w:pPr>
            <w:r>
              <w:rPr>
                <w:rFonts w:ascii="Times New Roman" w:hAnsi="Times New Roman" w:cs="Times New Roman"/>
              </w:rPr>
              <w:t>2024</w:t>
            </w:r>
          </w:p>
        </w:tc>
        <w:tc>
          <w:tcPr>
            <w:tcW w:w="1728" w:type="dxa"/>
          </w:tcPr>
          <w:p w14:paraId="2C067B16">
            <w:pPr>
              <w:spacing w:line="240" w:lineRule="auto"/>
              <w:rPr>
                <w:rFonts w:ascii="Times New Roman" w:hAnsi="Times New Roman" w:cs="Times New Roman"/>
              </w:rPr>
            </w:pPr>
            <w:r>
              <w:rPr>
                <w:rFonts w:ascii="Times New Roman" w:hAnsi="Times New Roman" w:cs="Times New Roman"/>
              </w:rPr>
              <w:t>-15,297</w:t>
            </w:r>
          </w:p>
        </w:tc>
        <w:tc>
          <w:tcPr>
            <w:tcW w:w="1728" w:type="dxa"/>
          </w:tcPr>
          <w:p w14:paraId="10583A14">
            <w:pPr>
              <w:spacing w:line="240" w:lineRule="auto"/>
              <w:rPr>
                <w:rFonts w:ascii="Times New Roman" w:hAnsi="Times New Roman" w:cs="Times New Roman"/>
              </w:rPr>
            </w:pPr>
            <w:r>
              <w:rPr>
                <w:rFonts w:ascii="Times New Roman" w:hAnsi="Times New Roman" w:cs="Times New Roman"/>
              </w:rPr>
              <w:t>3,361</w:t>
            </w:r>
          </w:p>
        </w:tc>
        <w:tc>
          <w:tcPr>
            <w:tcW w:w="1728" w:type="dxa"/>
          </w:tcPr>
          <w:p w14:paraId="00744C72">
            <w:pPr>
              <w:spacing w:line="240" w:lineRule="auto"/>
              <w:rPr>
                <w:rFonts w:ascii="Times New Roman" w:hAnsi="Times New Roman" w:cs="Times New Roman"/>
              </w:rPr>
            </w:pPr>
            <w:r>
              <w:rPr>
                <w:rFonts w:ascii="Times New Roman" w:hAnsi="Times New Roman" w:cs="Times New Roman"/>
              </w:rPr>
              <w:t>-15,297 ÷ 3,361</w:t>
            </w:r>
          </w:p>
        </w:tc>
        <w:tc>
          <w:tcPr>
            <w:tcW w:w="1728" w:type="dxa"/>
          </w:tcPr>
          <w:p w14:paraId="01E81E32">
            <w:pPr>
              <w:spacing w:line="240" w:lineRule="auto"/>
              <w:rPr>
                <w:rFonts w:ascii="Times New Roman" w:hAnsi="Times New Roman" w:cs="Times New Roman"/>
              </w:rPr>
            </w:pPr>
            <w:r>
              <w:rPr>
                <w:rFonts w:ascii="Times New Roman" w:hAnsi="Times New Roman" w:cs="Times New Roman"/>
              </w:rPr>
              <w:t>-4.6×</w:t>
            </w:r>
          </w:p>
        </w:tc>
      </w:tr>
    </w:tbl>
    <w:p w14:paraId="586D5DC5">
      <w:pPr>
        <w:pStyle w:val="3"/>
        <w:rPr>
          <w:rFonts w:ascii="Times New Roman" w:hAnsi="Times New Roman" w:cs="Times New Roman"/>
          <w:sz w:val="28"/>
          <w:szCs w:val="28"/>
        </w:rPr>
      </w:pPr>
    </w:p>
    <w:p w14:paraId="11AA19BC">
      <w:pPr>
        <w:rPr>
          <w:rFonts w:ascii="Times New Roman" w:hAnsi="Times New Roman" w:cs="Times New Roman"/>
        </w:rPr>
      </w:pPr>
    </w:p>
    <w:p w14:paraId="0D432041">
      <w:pPr>
        <w:rPr>
          <w:rFonts w:ascii="Times New Roman" w:hAnsi="Times New Roman" w:cs="Times New Roman"/>
        </w:rPr>
      </w:pPr>
    </w:p>
    <w:p w14:paraId="79001CA6">
      <w:pPr>
        <w:rPr>
          <w:rFonts w:ascii="Times New Roman" w:hAnsi="Times New Roman" w:cs="Times New Roman"/>
        </w:rPr>
      </w:pPr>
    </w:p>
    <w:p w14:paraId="33E96DCB">
      <w:pPr>
        <w:rPr>
          <w:rFonts w:ascii="Times New Roman" w:hAnsi="Times New Roman" w:cs="Times New Roman"/>
        </w:rPr>
      </w:pPr>
      <w:r>
        <w:rPr>
          <w:rFonts w:ascii="Times New Roman" w:hAnsi="Times New Roman" w:cs="Times New Roman"/>
        </w:rPr>
        <w:t>Table 16: Earnings Per Share (EPS)</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22013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9D5EC27">
            <w:pPr>
              <w:spacing w:line="240" w:lineRule="auto"/>
              <w:rPr>
                <w:rFonts w:ascii="Times New Roman" w:hAnsi="Times New Roman" w:cs="Times New Roman"/>
              </w:rPr>
            </w:pPr>
            <w:r>
              <w:rPr>
                <w:rFonts w:ascii="Times New Roman" w:hAnsi="Times New Roman" w:cs="Times New Roman"/>
              </w:rPr>
              <w:t>Year</w:t>
            </w:r>
          </w:p>
        </w:tc>
        <w:tc>
          <w:tcPr>
            <w:tcW w:w="1728" w:type="dxa"/>
          </w:tcPr>
          <w:p w14:paraId="684D56A0">
            <w:pPr>
              <w:spacing w:line="240" w:lineRule="auto"/>
              <w:rPr>
                <w:rFonts w:ascii="Times New Roman" w:hAnsi="Times New Roman" w:cs="Times New Roman"/>
              </w:rPr>
            </w:pPr>
            <w:r>
              <w:rPr>
                <w:rFonts w:ascii="Times New Roman" w:hAnsi="Times New Roman" w:cs="Times New Roman"/>
              </w:rPr>
              <w:t>Net Income</w:t>
            </w:r>
          </w:p>
        </w:tc>
        <w:tc>
          <w:tcPr>
            <w:tcW w:w="1728" w:type="dxa"/>
          </w:tcPr>
          <w:p w14:paraId="0F134B2F">
            <w:pPr>
              <w:spacing w:line="240" w:lineRule="auto"/>
              <w:rPr>
                <w:rFonts w:ascii="Times New Roman" w:hAnsi="Times New Roman" w:cs="Times New Roman"/>
              </w:rPr>
            </w:pPr>
            <w:r>
              <w:rPr>
                <w:rFonts w:ascii="Times New Roman" w:hAnsi="Times New Roman" w:cs="Times New Roman"/>
              </w:rPr>
              <w:t>Shares Outstanding</w:t>
            </w:r>
          </w:p>
        </w:tc>
        <w:tc>
          <w:tcPr>
            <w:tcW w:w="1728" w:type="dxa"/>
          </w:tcPr>
          <w:p w14:paraId="5C7E4AFE">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0EAB62E3">
            <w:pPr>
              <w:spacing w:line="240" w:lineRule="auto"/>
              <w:rPr>
                <w:rFonts w:ascii="Times New Roman" w:hAnsi="Times New Roman" w:cs="Times New Roman"/>
              </w:rPr>
            </w:pPr>
            <w:r>
              <w:rPr>
                <w:rFonts w:ascii="Times New Roman" w:hAnsi="Times New Roman" w:cs="Times New Roman"/>
              </w:rPr>
              <w:t>EPS</w:t>
            </w:r>
          </w:p>
        </w:tc>
      </w:tr>
      <w:tr w14:paraId="65E21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90F5349">
            <w:pPr>
              <w:spacing w:line="240" w:lineRule="auto"/>
              <w:rPr>
                <w:rFonts w:ascii="Times New Roman" w:hAnsi="Times New Roman" w:cs="Times New Roman"/>
              </w:rPr>
            </w:pPr>
            <w:r>
              <w:rPr>
                <w:rFonts w:ascii="Times New Roman" w:hAnsi="Times New Roman" w:cs="Times New Roman"/>
              </w:rPr>
              <w:t>2020</w:t>
            </w:r>
          </w:p>
        </w:tc>
        <w:tc>
          <w:tcPr>
            <w:tcW w:w="1728" w:type="dxa"/>
          </w:tcPr>
          <w:p w14:paraId="1FC4E6F7">
            <w:pPr>
              <w:spacing w:line="240" w:lineRule="auto"/>
              <w:rPr>
                <w:rFonts w:ascii="Times New Roman" w:hAnsi="Times New Roman" w:cs="Times New Roman"/>
              </w:rPr>
            </w:pPr>
            <w:r>
              <w:rPr>
                <w:rFonts w:ascii="Times New Roman" w:hAnsi="Times New Roman" w:cs="Times New Roman"/>
              </w:rPr>
              <w:t>38,572</w:t>
            </w:r>
          </w:p>
        </w:tc>
        <w:tc>
          <w:tcPr>
            <w:tcW w:w="1728" w:type="dxa"/>
          </w:tcPr>
          <w:p w14:paraId="0693853C">
            <w:pPr>
              <w:spacing w:line="240" w:lineRule="auto"/>
              <w:rPr>
                <w:rFonts w:ascii="Times New Roman" w:hAnsi="Times New Roman" w:cs="Times New Roman"/>
              </w:rPr>
            </w:pPr>
            <w:r>
              <w:rPr>
                <w:rFonts w:ascii="Times New Roman" w:hAnsi="Times New Roman" w:cs="Times New Roman"/>
              </w:rPr>
              <w:t>13,893</w:t>
            </w:r>
          </w:p>
        </w:tc>
        <w:tc>
          <w:tcPr>
            <w:tcW w:w="1728" w:type="dxa"/>
          </w:tcPr>
          <w:p w14:paraId="49CAFE96">
            <w:pPr>
              <w:spacing w:line="240" w:lineRule="auto"/>
              <w:rPr>
                <w:rFonts w:ascii="Times New Roman" w:hAnsi="Times New Roman" w:cs="Times New Roman"/>
              </w:rPr>
            </w:pPr>
            <w:r>
              <w:rPr>
                <w:rFonts w:ascii="Times New Roman" w:hAnsi="Times New Roman" w:cs="Times New Roman"/>
              </w:rPr>
              <w:t>38,572 ÷ 13,893</w:t>
            </w:r>
          </w:p>
        </w:tc>
        <w:tc>
          <w:tcPr>
            <w:tcW w:w="1728" w:type="dxa"/>
          </w:tcPr>
          <w:p w14:paraId="7806B779">
            <w:pPr>
              <w:spacing w:line="240" w:lineRule="auto"/>
              <w:rPr>
                <w:rFonts w:ascii="Times New Roman" w:hAnsi="Times New Roman" w:cs="Times New Roman"/>
              </w:rPr>
            </w:pPr>
            <w:r>
              <w:rPr>
                <w:rFonts w:ascii="Times New Roman" w:hAnsi="Times New Roman" w:cs="Times New Roman"/>
              </w:rPr>
              <w:t>£2.78</w:t>
            </w:r>
          </w:p>
        </w:tc>
      </w:tr>
      <w:tr w14:paraId="35B1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524EC2C">
            <w:pPr>
              <w:spacing w:line="240" w:lineRule="auto"/>
              <w:rPr>
                <w:rFonts w:ascii="Times New Roman" w:hAnsi="Times New Roman" w:cs="Times New Roman"/>
              </w:rPr>
            </w:pPr>
            <w:r>
              <w:rPr>
                <w:rFonts w:ascii="Times New Roman" w:hAnsi="Times New Roman" w:cs="Times New Roman"/>
              </w:rPr>
              <w:t>2021</w:t>
            </w:r>
          </w:p>
        </w:tc>
        <w:tc>
          <w:tcPr>
            <w:tcW w:w="1728" w:type="dxa"/>
          </w:tcPr>
          <w:p w14:paraId="4ACC1AD8">
            <w:pPr>
              <w:spacing w:line="240" w:lineRule="auto"/>
              <w:rPr>
                <w:rFonts w:ascii="Times New Roman" w:hAnsi="Times New Roman" w:cs="Times New Roman"/>
              </w:rPr>
            </w:pPr>
            <w:r>
              <w:rPr>
                <w:rFonts w:ascii="Times New Roman" w:hAnsi="Times New Roman" w:cs="Times New Roman"/>
              </w:rPr>
              <w:t>5,301</w:t>
            </w:r>
          </w:p>
        </w:tc>
        <w:tc>
          <w:tcPr>
            <w:tcW w:w="1728" w:type="dxa"/>
          </w:tcPr>
          <w:p w14:paraId="18882A15">
            <w:pPr>
              <w:spacing w:line="240" w:lineRule="auto"/>
              <w:rPr>
                <w:rFonts w:ascii="Times New Roman" w:hAnsi="Times New Roman" w:cs="Times New Roman"/>
              </w:rPr>
            </w:pPr>
            <w:r>
              <w:rPr>
                <w:rFonts w:ascii="Times New Roman" w:hAnsi="Times New Roman" w:cs="Times New Roman"/>
              </w:rPr>
              <w:t>13,465</w:t>
            </w:r>
          </w:p>
        </w:tc>
        <w:tc>
          <w:tcPr>
            <w:tcW w:w="1728" w:type="dxa"/>
          </w:tcPr>
          <w:p w14:paraId="5AEC2E0B">
            <w:pPr>
              <w:spacing w:line="240" w:lineRule="auto"/>
              <w:rPr>
                <w:rFonts w:ascii="Times New Roman" w:hAnsi="Times New Roman" w:cs="Times New Roman"/>
              </w:rPr>
            </w:pPr>
            <w:r>
              <w:rPr>
                <w:rFonts w:ascii="Times New Roman" w:hAnsi="Times New Roman" w:cs="Times New Roman"/>
              </w:rPr>
              <w:t>5,301 ÷ 13,465</w:t>
            </w:r>
          </w:p>
        </w:tc>
        <w:tc>
          <w:tcPr>
            <w:tcW w:w="1728" w:type="dxa"/>
          </w:tcPr>
          <w:p w14:paraId="77D85381">
            <w:pPr>
              <w:spacing w:line="240" w:lineRule="auto"/>
              <w:rPr>
                <w:rFonts w:ascii="Times New Roman" w:hAnsi="Times New Roman" w:cs="Times New Roman"/>
              </w:rPr>
            </w:pPr>
            <w:r>
              <w:rPr>
                <w:rFonts w:ascii="Times New Roman" w:hAnsi="Times New Roman" w:cs="Times New Roman"/>
              </w:rPr>
              <w:t>£0.39</w:t>
            </w:r>
          </w:p>
        </w:tc>
      </w:tr>
      <w:tr w14:paraId="298A4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91D046B">
            <w:pPr>
              <w:spacing w:line="240" w:lineRule="auto"/>
              <w:rPr>
                <w:rFonts w:ascii="Times New Roman" w:hAnsi="Times New Roman" w:cs="Times New Roman"/>
              </w:rPr>
            </w:pPr>
            <w:r>
              <w:rPr>
                <w:rFonts w:ascii="Times New Roman" w:hAnsi="Times New Roman" w:cs="Times New Roman"/>
              </w:rPr>
              <w:t>2022</w:t>
            </w:r>
          </w:p>
        </w:tc>
        <w:tc>
          <w:tcPr>
            <w:tcW w:w="1728" w:type="dxa"/>
          </w:tcPr>
          <w:p w14:paraId="10F8671D">
            <w:pPr>
              <w:spacing w:line="240" w:lineRule="auto"/>
              <w:rPr>
                <w:rFonts w:ascii="Times New Roman" w:hAnsi="Times New Roman" w:cs="Times New Roman"/>
              </w:rPr>
            </w:pPr>
            <w:r>
              <w:rPr>
                <w:rFonts w:ascii="Times New Roman" w:hAnsi="Times New Roman" w:cs="Times New Roman"/>
              </w:rPr>
              <w:t>407</w:t>
            </w:r>
          </w:p>
        </w:tc>
        <w:tc>
          <w:tcPr>
            <w:tcW w:w="1728" w:type="dxa"/>
          </w:tcPr>
          <w:p w14:paraId="4A1524EC">
            <w:pPr>
              <w:spacing w:line="240" w:lineRule="auto"/>
              <w:rPr>
                <w:rFonts w:ascii="Times New Roman" w:hAnsi="Times New Roman" w:cs="Times New Roman"/>
              </w:rPr>
            </w:pPr>
            <w:r>
              <w:rPr>
                <w:rFonts w:ascii="Times New Roman" w:hAnsi="Times New Roman" w:cs="Times New Roman"/>
              </w:rPr>
              <w:t>12,703</w:t>
            </w:r>
          </w:p>
        </w:tc>
        <w:tc>
          <w:tcPr>
            <w:tcW w:w="1728" w:type="dxa"/>
          </w:tcPr>
          <w:p w14:paraId="72266737">
            <w:pPr>
              <w:spacing w:line="240" w:lineRule="auto"/>
              <w:rPr>
                <w:rFonts w:ascii="Times New Roman" w:hAnsi="Times New Roman" w:cs="Times New Roman"/>
              </w:rPr>
            </w:pPr>
            <w:r>
              <w:rPr>
                <w:rFonts w:ascii="Times New Roman" w:hAnsi="Times New Roman" w:cs="Times New Roman"/>
              </w:rPr>
              <w:t>407 ÷ 12,703</w:t>
            </w:r>
          </w:p>
        </w:tc>
        <w:tc>
          <w:tcPr>
            <w:tcW w:w="1728" w:type="dxa"/>
          </w:tcPr>
          <w:p w14:paraId="39E84C90">
            <w:pPr>
              <w:spacing w:line="240" w:lineRule="auto"/>
              <w:rPr>
                <w:rFonts w:ascii="Times New Roman" w:hAnsi="Times New Roman" w:cs="Times New Roman"/>
              </w:rPr>
            </w:pPr>
            <w:r>
              <w:rPr>
                <w:rFonts w:ascii="Times New Roman" w:hAnsi="Times New Roman" w:cs="Times New Roman"/>
              </w:rPr>
              <w:t>£0.03</w:t>
            </w:r>
          </w:p>
        </w:tc>
      </w:tr>
      <w:tr w14:paraId="51886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6DCA488">
            <w:pPr>
              <w:spacing w:line="240" w:lineRule="auto"/>
              <w:rPr>
                <w:rFonts w:ascii="Times New Roman" w:hAnsi="Times New Roman" w:cs="Times New Roman"/>
              </w:rPr>
            </w:pPr>
            <w:r>
              <w:rPr>
                <w:rFonts w:ascii="Times New Roman" w:hAnsi="Times New Roman" w:cs="Times New Roman"/>
              </w:rPr>
              <w:t>2023</w:t>
            </w:r>
          </w:p>
        </w:tc>
        <w:tc>
          <w:tcPr>
            <w:tcW w:w="1728" w:type="dxa"/>
          </w:tcPr>
          <w:p w14:paraId="514C2E78">
            <w:pPr>
              <w:spacing w:line="240" w:lineRule="auto"/>
              <w:rPr>
                <w:rFonts w:ascii="Times New Roman" w:hAnsi="Times New Roman" w:cs="Times New Roman"/>
              </w:rPr>
            </w:pPr>
            <w:r>
              <w:rPr>
                <w:rFonts w:ascii="Times New Roman" w:hAnsi="Times New Roman" w:cs="Times New Roman"/>
              </w:rPr>
              <w:t>-98,238</w:t>
            </w:r>
          </w:p>
        </w:tc>
        <w:tc>
          <w:tcPr>
            <w:tcW w:w="1728" w:type="dxa"/>
          </w:tcPr>
          <w:p w14:paraId="32014229">
            <w:pPr>
              <w:spacing w:line="240" w:lineRule="auto"/>
              <w:rPr>
                <w:rFonts w:ascii="Times New Roman" w:hAnsi="Times New Roman" w:cs="Times New Roman"/>
              </w:rPr>
            </w:pPr>
            <w:r>
              <w:rPr>
                <w:rFonts w:ascii="Times New Roman" w:hAnsi="Times New Roman" w:cs="Times New Roman"/>
              </w:rPr>
              <w:t>12,855</w:t>
            </w:r>
          </w:p>
        </w:tc>
        <w:tc>
          <w:tcPr>
            <w:tcW w:w="1728" w:type="dxa"/>
          </w:tcPr>
          <w:p w14:paraId="38B20FA8">
            <w:pPr>
              <w:spacing w:line="240" w:lineRule="auto"/>
              <w:rPr>
                <w:rFonts w:ascii="Times New Roman" w:hAnsi="Times New Roman" w:cs="Times New Roman"/>
              </w:rPr>
            </w:pPr>
            <w:r>
              <w:rPr>
                <w:rFonts w:ascii="Times New Roman" w:hAnsi="Times New Roman" w:cs="Times New Roman"/>
              </w:rPr>
              <w:t>-98,238 ÷ 12,855</w:t>
            </w:r>
          </w:p>
        </w:tc>
        <w:tc>
          <w:tcPr>
            <w:tcW w:w="1728" w:type="dxa"/>
          </w:tcPr>
          <w:p w14:paraId="57EB15F5">
            <w:pPr>
              <w:spacing w:line="240" w:lineRule="auto"/>
              <w:rPr>
                <w:rFonts w:ascii="Times New Roman" w:hAnsi="Times New Roman" w:cs="Times New Roman"/>
              </w:rPr>
            </w:pPr>
            <w:r>
              <w:rPr>
                <w:rFonts w:ascii="Times New Roman" w:hAnsi="Times New Roman" w:cs="Times New Roman"/>
              </w:rPr>
              <w:t>-£7.64</w:t>
            </w:r>
          </w:p>
        </w:tc>
      </w:tr>
      <w:tr w14:paraId="5A76E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8A6B4D3">
            <w:pPr>
              <w:spacing w:line="240" w:lineRule="auto"/>
              <w:rPr>
                <w:rFonts w:ascii="Times New Roman" w:hAnsi="Times New Roman" w:cs="Times New Roman"/>
              </w:rPr>
            </w:pPr>
            <w:r>
              <w:rPr>
                <w:rFonts w:ascii="Times New Roman" w:hAnsi="Times New Roman" w:cs="Times New Roman"/>
              </w:rPr>
              <w:t>2024</w:t>
            </w:r>
          </w:p>
        </w:tc>
        <w:tc>
          <w:tcPr>
            <w:tcW w:w="1728" w:type="dxa"/>
          </w:tcPr>
          <w:p w14:paraId="00582966">
            <w:pPr>
              <w:spacing w:line="240" w:lineRule="auto"/>
              <w:rPr>
                <w:rFonts w:ascii="Times New Roman" w:hAnsi="Times New Roman" w:cs="Times New Roman"/>
              </w:rPr>
            </w:pPr>
            <w:r>
              <w:rPr>
                <w:rFonts w:ascii="Times New Roman" w:hAnsi="Times New Roman" w:cs="Times New Roman"/>
              </w:rPr>
              <w:t>-24,029</w:t>
            </w:r>
          </w:p>
        </w:tc>
        <w:tc>
          <w:tcPr>
            <w:tcW w:w="1728" w:type="dxa"/>
          </w:tcPr>
          <w:p w14:paraId="45403D91">
            <w:pPr>
              <w:spacing w:line="240" w:lineRule="auto"/>
              <w:rPr>
                <w:rFonts w:ascii="Times New Roman" w:hAnsi="Times New Roman" w:cs="Times New Roman"/>
              </w:rPr>
            </w:pPr>
            <w:r>
              <w:rPr>
                <w:rFonts w:ascii="Times New Roman" w:hAnsi="Times New Roman" w:cs="Times New Roman"/>
              </w:rPr>
              <w:t>12,959</w:t>
            </w:r>
          </w:p>
        </w:tc>
        <w:tc>
          <w:tcPr>
            <w:tcW w:w="1728" w:type="dxa"/>
          </w:tcPr>
          <w:p w14:paraId="269B6780">
            <w:pPr>
              <w:spacing w:line="240" w:lineRule="auto"/>
              <w:rPr>
                <w:rFonts w:ascii="Times New Roman" w:hAnsi="Times New Roman" w:cs="Times New Roman"/>
              </w:rPr>
            </w:pPr>
            <w:r>
              <w:rPr>
                <w:rFonts w:ascii="Times New Roman" w:hAnsi="Times New Roman" w:cs="Times New Roman"/>
              </w:rPr>
              <w:t>-24,029 ÷ 12,959</w:t>
            </w:r>
          </w:p>
        </w:tc>
        <w:tc>
          <w:tcPr>
            <w:tcW w:w="1728" w:type="dxa"/>
          </w:tcPr>
          <w:p w14:paraId="5F6F2213">
            <w:pPr>
              <w:spacing w:line="240" w:lineRule="auto"/>
              <w:rPr>
                <w:rFonts w:ascii="Times New Roman" w:hAnsi="Times New Roman" w:cs="Times New Roman"/>
              </w:rPr>
            </w:pPr>
            <w:r>
              <w:rPr>
                <w:rFonts w:ascii="Times New Roman" w:hAnsi="Times New Roman" w:cs="Times New Roman"/>
              </w:rPr>
              <w:t>-£1.85</w:t>
            </w:r>
          </w:p>
        </w:tc>
      </w:tr>
    </w:tbl>
    <w:p w14:paraId="2BFE09A9">
      <w:pPr>
        <w:pStyle w:val="3"/>
        <w:rPr>
          <w:rFonts w:ascii="Times New Roman" w:hAnsi="Times New Roman" w:cs="Times New Roman"/>
          <w:sz w:val="28"/>
          <w:szCs w:val="28"/>
        </w:rPr>
      </w:pPr>
    </w:p>
    <w:p w14:paraId="1FFB2E70">
      <w:pPr>
        <w:rPr>
          <w:rFonts w:ascii="Times New Roman" w:hAnsi="Times New Roman" w:cs="Times New Roman"/>
        </w:rPr>
      </w:pPr>
      <w:r>
        <w:rPr>
          <w:rFonts w:ascii="Times New Roman" w:hAnsi="Times New Roman" w:cs="Times New Roman"/>
        </w:rPr>
        <w:t>Table 17: Operating Cash Flow to Sales</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1B389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E06B60F">
            <w:pPr>
              <w:spacing w:line="240" w:lineRule="auto"/>
              <w:rPr>
                <w:rFonts w:ascii="Times New Roman" w:hAnsi="Times New Roman" w:cs="Times New Roman"/>
              </w:rPr>
            </w:pPr>
            <w:r>
              <w:rPr>
                <w:rFonts w:ascii="Times New Roman" w:hAnsi="Times New Roman" w:cs="Times New Roman"/>
              </w:rPr>
              <w:t>Year</w:t>
            </w:r>
          </w:p>
        </w:tc>
        <w:tc>
          <w:tcPr>
            <w:tcW w:w="1728" w:type="dxa"/>
          </w:tcPr>
          <w:p w14:paraId="353ED6C3">
            <w:pPr>
              <w:spacing w:line="240" w:lineRule="auto"/>
              <w:rPr>
                <w:rFonts w:ascii="Times New Roman" w:hAnsi="Times New Roman" w:cs="Times New Roman"/>
              </w:rPr>
            </w:pPr>
            <w:r>
              <w:rPr>
                <w:rFonts w:ascii="Times New Roman" w:hAnsi="Times New Roman" w:cs="Times New Roman"/>
              </w:rPr>
              <w:t>OCF</w:t>
            </w:r>
          </w:p>
        </w:tc>
        <w:tc>
          <w:tcPr>
            <w:tcW w:w="1728" w:type="dxa"/>
          </w:tcPr>
          <w:p w14:paraId="412E21EE">
            <w:pPr>
              <w:spacing w:line="240" w:lineRule="auto"/>
              <w:rPr>
                <w:rFonts w:ascii="Times New Roman" w:hAnsi="Times New Roman" w:cs="Times New Roman"/>
              </w:rPr>
            </w:pPr>
            <w:r>
              <w:rPr>
                <w:rFonts w:ascii="Times New Roman" w:hAnsi="Times New Roman" w:cs="Times New Roman"/>
              </w:rPr>
              <w:t>Sales</w:t>
            </w:r>
          </w:p>
        </w:tc>
        <w:tc>
          <w:tcPr>
            <w:tcW w:w="1728" w:type="dxa"/>
          </w:tcPr>
          <w:p w14:paraId="547C8545">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740684BB">
            <w:pPr>
              <w:spacing w:line="240" w:lineRule="auto"/>
              <w:rPr>
                <w:rFonts w:ascii="Times New Roman" w:hAnsi="Times New Roman" w:cs="Times New Roman"/>
              </w:rPr>
            </w:pPr>
            <w:r>
              <w:rPr>
                <w:rFonts w:ascii="Times New Roman" w:hAnsi="Times New Roman" w:cs="Times New Roman"/>
              </w:rPr>
              <w:t>Ratio</w:t>
            </w:r>
          </w:p>
        </w:tc>
      </w:tr>
      <w:tr w14:paraId="2CAA0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C3CD2FB">
            <w:pPr>
              <w:spacing w:line="240" w:lineRule="auto"/>
              <w:rPr>
                <w:rFonts w:ascii="Times New Roman" w:hAnsi="Times New Roman" w:cs="Times New Roman"/>
              </w:rPr>
            </w:pPr>
            <w:r>
              <w:rPr>
                <w:rFonts w:ascii="Times New Roman" w:hAnsi="Times New Roman" w:cs="Times New Roman"/>
              </w:rPr>
              <w:t>2020</w:t>
            </w:r>
          </w:p>
        </w:tc>
        <w:tc>
          <w:tcPr>
            <w:tcW w:w="1728" w:type="dxa"/>
          </w:tcPr>
          <w:p w14:paraId="2E6A3F81">
            <w:pPr>
              <w:spacing w:line="240" w:lineRule="auto"/>
              <w:rPr>
                <w:rFonts w:ascii="Times New Roman" w:hAnsi="Times New Roman" w:cs="Times New Roman"/>
              </w:rPr>
            </w:pPr>
            <w:r>
              <w:rPr>
                <w:rFonts w:ascii="Times New Roman" w:hAnsi="Times New Roman" w:cs="Times New Roman"/>
              </w:rPr>
              <w:t>73,392</w:t>
            </w:r>
          </w:p>
        </w:tc>
        <w:tc>
          <w:tcPr>
            <w:tcW w:w="1728" w:type="dxa"/>
          </w:tcPr>
          <w:p w14:paraId="6FFBE083">
            <w:pPr>
              <w:spacing w:line="240" w:lineRule="auto"/>
              <w:rPr>
                <w:rFonts w:ascii="Times New Roman" w:hAnsi="Times New Roman" w:cs="Times New Roman"/>
              </w:rPr>
            </w:pPr>
            <w:r>
              <w:rPr>
                <w:rFonts w:ascii="Times New Roman" w:hAnsi="Times New Roman" w:cs="Times New Roman"/>
              </w:rPr>
              <w:t>614,680</w:t>
            </w:r>
          </w:p>
        </w:tc>
        <w:tc>
          <w:tcPr>
            <w:tcW w:w="1728" w:type="dxa"/>
          </w:tcPr>
          <w:p w14:paraId="0F98D629">
            <w:pPr>
              <w:spacing w:line="240" w:lineRule="auto"/>
              <w:rPr>
                <w:rFonts w:ascii="Times New Roman" w:hAnsi="Times New Roman" w:cs="Times New Roman"/>
              </w:rPr>
            </w:pPr>
            <w:r>
              <w:rPr>
                <w:rFonts w:ascii="Times New Roman" w:hAnsi="Times New Roman" w:cs="Times New Roman"/>
              </w:rPr>
              <w:t>73,392 ÷ 614,680</w:t>
            </w:r>
          </w:p>
        </w:tc>
        <w:tc>
          <w:tcPr>
            <w:tcW w:w="1728" w:type="dxa"/>
          </w:tcPr>
          <w:p w14:paraId="26C5229D">
            <w:pPr>
              <w:spacing w:line="240" w:lineRule="auto"/>
              <w:rPr>
                <w:rFonts w:ascii="Times New Roman" w:hAnsi="Times New Roman" w:cs="Times New Roman"/>
              </w:rPr>
            </w:pPr>
            <w:r>
              <w:rPr>
                <w:rFonts w:ascii="Times New Roman" w:hAnsi="Times New Roman" w:cs="Times New Roman"/>
              </w:rPr>
              <w:t>11.9%</w:t>
            </w:r>
          </w:p>
        </w:tc>
      </w:tr>
      <w:tr w14:paraId="434F2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766B10C">
            <w:pPr>
              <w:spacing w:line="240" w:lineRule="auto"/>
              <w:rPr>
                <w:rFonts w:ascii="Times New Roman" w:hAnsi="Times New Roman" w:cs="Times New Roman"/>
              </w:rPr>
            </w:pPr>
            <w:r>
              <w:rPr>
                <w:rFonts w:ascii="Times New Roman" w:hAnsi="Times New Roman" w:cs="Times New Roman"/>
              </w:rPr>
              <w:t>2021</w:t>
            </w:r>
          </w:p>
        </w:tc>
        <w:tc>
          <w:tcPr>
            <w:tcW w:w="1728" w:type="dxa"/>
          </w:tcPr>
          <w:p w14:paraId="4CA963AA">
            <w:pPr>
              <w:spacing w:line="240" w:lineRule="auto"/>
              <w:rPr>
                <w:rFonts w:ascii="Times New Roman" w:hAnsi="Times New Roman" w:cs="Times New Roman"/>
              </w:rPr>
            </w:pPr>
            <w:r>
              <w:rPr>
                <w:rFonts w:ascii="Times New Roman" w:hAnsi="Times New Roman" w:cs="Times New Roman"/>
              </w:rPr>
              <w:t>40,283</w:t>
            </w:r>
          </w:p>
        </w:tc>
        <w:tc>
          <w:tcPr>
            <w:tcW w:w="1728" w:type="dxa"/>
          </w:tcPr>
          <w:p w14:paraId="6CB21ADF">
            <w:pPr>
              <w:spacing w:line="240" w:lineRule="auto"/>
              <w:rPr>
                <w:rFonts w:ascii="Times New Roman" w:hAnsi="Times New Roman" w:cs="Times New Roman"/>
              </w:rPr>
            </w:pPr>
            <w:r>
              <w:rPr>
                <w:rFonts w:ascii="Times New Roman" w:hAnsi="Times New Roman" w:cs="Times New Roman"/>
              </w:rPr>
              <w:t>601,602</w:t>
            </w:r>
          </w:p>
        </w:tc>
        <w:tc>
          <w:tcPr>
            <w:tcW w:w="1728" w:type="dxa"/>
          </w:tcPr>
          <w:p w14:paraId="3BE384F1">
            <w:pPr>
              <w:spacing w:line="240" w:lineRule="auto"/>
              <w:rPr>
                <w:rFonts w:ascii="Times New Roman" w:hAnsi="Times New Roman" w:cs="Times New Roman"/>
              </w:rPr>
            </w:pPr>
            <w:r>
              <w:rPr>
                <w:rFonts w:ascii="Times New Roman" w:hAnsi="Times New Roman" w:cs="Times New Roman"/>
              </w:rPr>
              <w:t>40,283 ÷ 601,602</w:t>
            </w:r>
          </w:p>
        </w:tc>
        <w:tc>
          <w:tcPr>
            <w:tcW w:w="1728" w:type="dxa"/>
          </w:tcPr>
          <w:p w14:paraId="6140584F">
            <w:pPr>
              <w:spacing w:line="240" w:lineRule="auto"/>
              <w:rPr>
                <w:rFonts w:ascii="Times New Roman" w:hAnsi="Times New Roman" w:cs="Times New Roman"/>
              </w:rPr>
            </w:pPr>
            <w:r>
              <w:rPr>
                <w:rFonts w:ascii="Times New Roman" w:hAnsi="Times New Roman" w:cs="Times New Roman"/>
              </w:rPr>
              <w:t>6.7%</w:t>
            </w:r>
          </w:p>
        </w:tc>
      </w:tr>
      <w:tr w14:paraId="0E142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E750C9C">
            <w:pPr>
              <w:spacing w:line="240" w:lineRule="auto"/>
              <w:rPr>
                <w:rFonts w:ascii="Times New Roman" w:hAnsi="Times New Roman" w:cs="Times New Roman"/>
              </w:rPr>
            </w:pPr>
            <w:r>
              <w:rPr>
                <w:rFonts w:ascii="Times New Roman" w:hAnsi="Times New Roman" w:cs="Times New Roman"/>
              </w:rPr>
              <w:t>2022</w:t>
            </w:r>
          </w:p>
        </w:tc>
        <w:tc>
          <w:tcPr>
            <w:tcW w:w="1728" w:type="dxa"/>
          </w:tcPr>
          <w:p w14:paraId="46518E79">
            <w:pPr>
              <w:spacing w:line="240" w:lineRule="auto"/>
              <w:rPr>
                <w:rFonts w:ascii="Times New Roman" w:hAnsi="Times New Roman" w:cs="Times New Roman"/>
              </w:rPr>
            </w:pPr>
            <w:r>
              <w:rPr>
                <w:rFonts w:ascii="Times New Roman" w:hAnsi="Times New Roman" w:cs="Times New Roman"/>
              </w:rPr>
              <w:t>10,926</w:t>
            </w:r>
          </w:p>
        </w:tc>
        <w:tc>
          <w:tcPr>
            <w:tcW w:w="1728" w:type="dxa"/>
          </w:tcPr>
          <w:p w14:paraId="7966D4CB">
            <w:pPr>
              <w:spacing w:line="240" w:lineRule="auto"/>
              <w:rPr>
                <w:rFonts w:ascii="Times New Roman" w:hAnsi="Times New Roman" w:cs="Times New Roman"/>
              </w:rPr>
            </w:pPr>
            <w:r>
              <w:rPr>
                <w:rFonts w:ascii="Times New Roman" w:hAnsi="Times New Roman" w:cs="Times New Roman"/>
              </w:rPr>
              <w:t>542,751</w:t>
            </w:r>
          </w:p>
        </w:tc>
        <w:tc>
          <w:tcPr>
            <w:tcW w:w="1728" w:type="dxa"/>
          </w:tcPr>
          <w:p w14:paraId="4F4FBD4B">
            <w:pPr>
              <w:spacing w:line="240" w:lineRule="auto"/>
              <w:rPr>
                <w:rFonts w:ascii="Times New Roman" w:hAnsi="Times New Roman" w:cs="Times New Roman"/>
              </w:rPr>
            </w:pPr>
            <w:r>
              <w:rPr>
                <w:rFonts w:ascii="Times New Roman" w:hAnsi="Times New Roman" w:cs="Times New Roman"/>
              </w:rPr>
              <w:t>10,926 ÷ 542,751</w:t>
            </w:r>
          </w:p>
        </w:tc>
        <w:tc>
          <w:tcPr>
            <w:tcW w:w="1728" w:type="dxa"/>
          </w:tcPr>
          <w:p w14:paraId="0EC77142">
            <w:pPr>
              <w:spacing w:line="240" w:lineRule="auto"/>
              <w:rPr>
                <w:rFonts w:ascii="Times New Roman" w:hAnsi="Times New Roman" w:cs="Times New Roman"/>
              </w:rPr>
            </w:pPr>
            <w:r>
              <w:rPr>
                <w:rFonts w:ascii="Times New Roman" w:hAnsi="Times New Roman" w:cs="Times New Roman"/>
              </w:rPr>
              <w:t>2.0%</w:t>
            </w:r>
          </w:p>
        </w:tc>
      </w:tr>
      <w:tr w14:paraId="3EB3C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130533B">
            <w:pPr>
              <w:spacing w:line="240" w:lineRule="auto"/>
              <w:rPr>
                <w:rFonts w:ascii="Times New Roman" w:hAnsi="Times New Roman" w:cs="Times New Roman"/>
              </w:rPr>
            </w:pPr>
            <w:r>
              <w:rPr>
                <w:rFonts w:ascii="Times New Roman" w:hAnsi="Times New Roman" w:cs="Times New Roman"/>
              </w:rPr>
              <w:t>2023</w:t>
            </w:r>
          </w:p>
        </w:tc>
        <w:tc>
          <w:tcPr>
            <w:tcW w:w="1728" w:type="dxa"/>
          </w:tcPr>
          <w:p w14:paraId="2D3DBD69">
            <w:pPr>
              <w:spacing w:line="240" w:lineRule="auto"/>
              <w:rPr>
                <w:rFonts w:ascii="Times New Roman" w:hAnsi="Times New Roman" w:cs="Times New Roman"/>
              </w:rPr>
            </w:pPr>
            <w:r>
              <w:rPr>
                <w:rFonts w:ascii="Times New Roman" w:hAnsi="Times New Roman" w:cs="Times New Roman"/>
              </w:rPr>
              <w:t>25,190</w:t>
            </w:r>
          </w:p>
        </w:tc>
        <w:tc>
          <w:tcPr>
            <w:tcW w:w="1728" w:type="dxa"/>
          </w:tcPr>
          <w:p w14:paraId="0E6D8921">
            <w:pPr>
              <w:spacing w:line="240" w:lineRule="auto"/>
              <w:rPr>
                <w:rFonts w:ascii="Times New Roman" w:hAnsi="Times New Roman" w:cs="Times New Roman"/>
              </w:rPr>
            </w:pPr>
            <w:r>
              <w:rPr>
                <w:rFonts w:ascii="Times New Roman" w:hAnsi="Times New Roman" w:cs="Times New Roman"/>
              </w:rPr>
              <w:t>420,457</w:t>
            </w:r>
          </w:p>
        </w:tc>
        <w:tc>
          <w:tcPr>
            <w:tcW w:w="1728" w:type="dxa"/>
          </w:tcPr>
          <w:p w14:paraId="5AA569BC">
            <w:pPr>
              <w:spacing w:line="240" w:lineRule="auto"/>
              <w:rPr>
                <w:rFonts w:ascii="Times New Roman" w:hAnsi="Times New Roman" w:cs="Times New Roman"/>
              </w:rPr>
            </w:pPr>
            <w:r>
              <w:rPr>
                <w:rFonts w:ascii="Times New Roman" w:hAnsi="Times New Roman" w:cs="Times New Roman"/>
              </w:rPr>
              <w:t>25,190 ÷ 420,457</w:t>
            </w:r>
          </w:p>
        </w:tc>
        <w:tc>
          <w:tcPr>
            <w:tcW w:w="1728" w:type="dxa"/>
          </w:tcPr>
          <w:p w14:paraId="18510F6A">
            <w:pPr>
              <w:spacing w:line="240" w:lineRule="auto"/>
              <w:rPr>
                <w:rFonts w:ascii="Times New Roman" w:hAnsi="Times New Roman" w:cs="Times New Roman"/>
              </w:rPr>
            </w:pPr>
            <w:r>
              <w:rPr>
                <w:rFonts w:ascii="Times New Roman" w:hAnsi="Times New Roman" w:cs="Times New Roman"/>
              </w:rPr>
              <w:t>6.0%</w:t>
            </w:r>
          </w:p>
        </w:tc>
      </w:tr>
      <w:tr w14:paraId="2C95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EF8355A">
            <w:pPr>
              <w:spacing w:line="240" w:lineRule="auto"/>
              <w:rPr>
                <w:rFonts w:ascii="Times New Roman" w:hAnsi="Times New Roman" w:cs="Times New Roman"/>
              </w:rPr>
            </w:pPr>
            <w:r>
              <w:rPr>
                <w:rFonts w:ascii="Times New Roman" w:hAnsi="Times New Roman" w:cs="Times New Roman"/>
              </w:rPr>
              <w:t>2024</w:t>
            </w:r>
          </w:p>
        </w:tc>
        <w:tc>
          <w:tcPr>
            <w:tcW w:w="1728" w:type="dxa"/>
          </w:tcPr>
          <w:p w14:paraId="2EFDE486">
            <w:pPr>
              <w:spacing w:line="240" w:lineRule="auto"/>
              <w:rPr>
                <w:rFonts w:ascii="Times New Roman" w:hAnsi="Times New Roman" w:cs="Times New Roman"/>
              </w:rPr>
            </w:pPr>
            <w:r>
              <w:rPr>
                <w:rFonts w:ascii="Times New Roman" w:hAnsi="Times New Roman" w:cs="Times New Roman"/>
              </w:rPr>
              <w:t>14,822</w:t>
            </w:r>
          </w:p>
        </w:tc>
        <w:tc>
          <w:tcPr>
            <w:tcW w:w="1728" w:type="dxa"/>
          </w:tcPr>
          <w:p w14:paraId="31DA606D">
            <w:pPr>
              <w:spacing w:line="240" w:lineRule="auto"/>
              <w:rPr>
                <w:rFonts w:ascii="Times New Roman" w:hAnsi="Times New Roman" w:cs="Times New Roman"/>
              </w:rPr>
            </w:pPr>
            <w:r>
              <w:rPr>
                <w:rFonts w:ascii="Times New Roman" w:hAnsi="Times New Roman" w:cs="Times New Roman"/>
              </w:rPr>
              <w:t>394,879</w:t>
            </w:r>
          </w:p>
        </w:tc>
        <w:tc>
          <w:tcPr>
            <w:tcW w:w="1728" w:type="dxa"/>
          </w:tcPr>
          <w:p w14:paraId="588B4AEC">
            <w:pPr>
              <w:spacing w:line="240" w:lineRule="auto"/>
              <w:rPr>
                <w:rFonts w:ascii="Times New Roman" w:hAnsi="Times New Roman" w:cs="Times New Roman"/>
              </w:rPr>
            </w:pPr>
            <w:r>
              <w:rPr>
                <w:rFonts w:ascii="Times New Roman" w:hAnsi="Times New Roman" w:cs="Times New Roman"/>
              </w:rPr>
              <w:t>14,822 ÷ 394,879</w:t>
            </w:r>
          </w:p>
        </w:tc>
        <w:tc>
          <w:tcPr>
            <w:tcW w:w="1728" w:type="dxa"/>
          </w:tcPr>
          <w:p w14:paraId="0C941B1B">
            <w:pPr>
              <w:spacing w:line="240" w:lineRule="auto"/>
              <w:rPr>
                <w:rFonts w:ascii="Times New Roman" w:hAnsi="Times New Roman" w:cs="Times New Roman"/>
              </w:rPr>
            </w:pPr>
            <w:r>
              <w:rPr>
                <w:rFonts w:ascii="Times New Roman" w:hAnsi="Times New Roman" w:cs="Times New Roman"/>
              </w:rPr>
              <w:t>3.8%</w:t>
            </w:r>
          </w:p>
        </w:tc>
      </w:tr>
    </w:tbl>
    <w:p w14:paraId="3C4F4B1D">
      <w:pPr>
        <w:pStyle w:val="3"/>
        <w:rPr>
          <w:rFonts w:ascii="Times New Roman" w:hAnsi="Times New Roman" w:cs="Times New Roman"/>
          <w:sz w:val="28"/>
          <w:szCs w:val="28"/>
        </w:rPr>
      </w:pPr>
    </w:p>
    <w:p w14:paraId="06AC0DE5">
      <w:pPr>
        <w:rPr>
          <w:rFonts w:ascii="Times New Roman" w:hAnsi="Times New Roman" w:cs="Times New Roman"/>
        </w:rPr>
      </w:pPr>
      <w:r>
        <w:rPr>
          <w:rFonts w:ascii="Times New Roman" w:hAnsi="Times New Roman" w:cs="Times New Roman"/>
        </w:rPr>
        <w:t>Table 18: Free Cash Flow (FCF)</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57E27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tcPr>
          <w:p w14:paraId="4AE52C48">
            <w:pPr>
              <w:spacing w:line="240" w:lineRule="auto"/>
              <w:rPr>
                <w:rFonts w:ascii="Times New Roman" w:hAnsi="Times New Roman" w:cs="Times New Roman"/>
              </w:rPr>
            </w:pPr>
            <w:r>
              <w:rPr>
                <w:rFonts w:ascii="Times New Roman" w:hAnsi="Times New Roman" w:cs="Times New Roman"/>
              </w:rPr>
              <w:t>Year</w:t>
            </w:r>
          </w:p>
        </w:tc>
        <w:tc>
          <w:tcPr>
            <w:tcW w:w="1728" w:type="dxa"/>
          </w:tcPr>
          <w:p w14:paraId="34639F24">
            <w:pPr>
              <w:spacing w:line="240" w:lineRule="auto"/>
              <w:rPr>
                <w:rFonts w:ascii="Times New Roman" w:hAnsi="Times New Roman" w:cs="Times New Roman"/>
              </w:rPr>
            </w:pPr>
            <w:r>
              <w:rPr>
                <w:rFonts w:ascii="Times New Roman" w:hAnsi="Times New Roman" w:cs="Times New Roman"/>
              </w:rPr>
              <w:t>Operating Cash Flow</w:t>
            </w:r>
          </w:p>
        </w:tc>
        <w:tc>
          <w:tcPr>
            <w:tcW w:w="1728" w:type="dxa"/>
          </w:tcPr>
          <w:p w14:paraId="2B082B96">
            <w:pPr>
              <w:spacing w:line="240" w:lineRule="auto"/>
              <w:rPr>
                <w:rFonts w:ascii="Times New Roman" w:hAnsi="Times New Roman" w:cs="Times New Roman"/>
              </w:rPr>
            </w:pPr>
            <w:r>
              <w:rPr>
                <w:rFonts w:ascii="Times New Roman" w:hAnsi="Times New Roman" w:cs="Times New Roman"/>
              </w:rPr>
              <w:t>CapEx</w:t>
            </w:r>
          </w:p>
        </w:tc>
        <w:tc>
          <w:tcPr>
            <w:tcW w:w="1728" w:type="dxa"/>
          </w:tcPr>
          <w:p w14:paraId="69D98975">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4DC35B93">
            <w:pPr>
              <w:spacing w:line="240" w:lineRule="auto"/>
              <w:rPr>
                <w:rFonts w:ascii="Times New Roman" w:hAnsi="Times New Roman" w:cs="Times New Roman"/>
              </w:rPr>
            </w:pPr>
            <w:r>
              <w:rPr>
                <w:rFonts w:ascii="Times New Roman" w:hAnsi="Times New Roman" w:cs="Times New Roman"/>
              </w:rPr>
              <w:t>FCF</w:t>
            </w:r>
          </w:p>
        </w:tc>
      </w:tr>
      <w:tr w14:paraId="6BCF5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4D50E93">
            <w:pPr>
              <w:spacing w:line="240" w:lineRule="auto"/>
              <w:rPr>
                <w:rFonts w:ascii="Times New Roman" w:hAnsi="Times New Roman" w:cs="Times New Roman"/>
              </w:rPr>
            </w:pPr>
            <w:r>
              <w:rPr>
                <w:rFonts w:ascii="Times New Roman" w:hAnsi="Times New Roman" w:cs="Times New Roman"/>
              </w:rPr>
              <w:t>2020</w:t>
            </w:r>
          </w:p>
        </w:tc>
        <w:tc>
          <w:tcPr>
            <w:tcW w:w="1728" w:type="dxa"/>
          </w:tcPr>
          <w:p w14:paraId="5F1B41D2">
            <w:pPr>
              <w:spacing w:line="240" w:lineRule="auto"/>
              <w:rPr>
                <w:rFonts w:ascii="Times New Roman" w:hAnsi="Times New Roman" w:cs="Times New Roman"/>
              </w:rPr>
            </w:pPr>
            <w:r>
              <w:rPr>
                <w:rFonts w:ascii="Times New Roman" w:hAnsi="Times New Roman" w:cs="Times New Roman"/>
              </w:rPr>
              <w:t>73,392</w:t>
            </w:r>
          </w:p>
        </w:tc>
        <w:tc>
          <w:tcPr>
            <w:tcW w:w="1728" w:type="dxa"/>
          </w:tcPr>
          <w:p w14:paraId="15627B36">
            <w:pPr>
              <w:spacing w:line="240" w:lineRule="auto"/>
              <w:rPr>
                <w:rFonts w:ascii="Times New Roman" w:hAnsi="Times New Roman" w:cs="Times New Roman"/>
              </w:rPr>
            </w:pPr>
            <w:r>
              <w:rPr>
                <w:rFonts w:ascii="Times New Roman" w:hAnsi="Times New Roman" w:cs="Times New Roman"/>
              </w:rPr>
              <w:t>16,862</w:t>
            </w:r>
          </w:p>
        </w:tc>
        <w:tc>
          <w:tcPr>
            <w:tcW w:w="1728" w:type="dxa"/>
          </w:tcPr>
          <w:p w14:paraId="1EDE0382">
            <w:pPr>
              <w:spacing w:line="240" w:lineRule="auto"/>
              <w:rPr>
                <w:rFonts w:ascii="Times New Roman" w:hAnsi="Times New Roman" w:cs="Times New Roman"/>
              </w:rPr>
            </w:pPr>
            <w:r>
              <w:rPr>
                <w:rFonts w:ascii="Times New Roman" w:hAnsi="Times New Roman" w:cs="Times New Roman"/>
              </w:rPr>
              <w:t>73,392 − 16,862</w:t>
            </w:r>
          </w:p>
        </w:tc>
        <w:tc>
          <w:tcPr>
            <w:tcW w:w="1728" w:type="dxa"/>
          </w:tcPr>
          <w:p w14:paraId="5C122151">
            <w:pPr>
              <w:spacing w:line="240" w:lineRule="auto"/>
              <w:rPr>
                <w:rFonts w:ascii="Times New Roman" w:hAnsi="Times New Roman" w:cs="Times New Roman"/>
              </w:rPr>
            </w:pPr>
            <w:r>
              <w:rPr>
                <w:rFonts w:ascii="Times New Roman" w:hAnsi="Times New Roman" w:cs="Times New Roman"/>
              </w:rPr>
              <w:t>56,530</w:t>
            </w:r>
          </w:p>
        </w:tc>
      </w:tr>
      <w:tr w14:paraId="60529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C298674">
            <w:pPr>
              <w:spacing w:line="240" w:lineRule="auto"/>
              <w:rPr>
                <w:rFonts w:ascii="Times New Roman" w:hAnsi="Times New Roman" w:cs="Times New Roman"/>
              </w:rPr>
            </w:pPr>
            <w:r>
              <w:rPr>
                <w:rFonts w:ascii="Times New Roman" w:hAnsi="Times New Roman" w:cs="Times New Roman"/>
              </w:rPr>
              <w:t>2021</w:t>
            </w:r>
          </w:p>
        </w:tc>
        <w:tc>
          <w:tcPr>
            <w:tcW w:w="1728" w:type="dxa"/>
          </w:tcPr>
          <w:p w14:paraId="5D71F8C3">
            <w:pPr>
              <w:spacing w:line="240" w:lineRule="auto"/>
              <w:rPr>
                <w:rFonts w:ascii="Times New Roman" w:hAnsi="Times New Roman" w:cs="Times New Roman"/>
              </w:rPr>
            </w:pPr>
            <w:r>
              <w:rPr>
                <w:rFonts w:ascii="Times New Roman" w:hAnsi="Times New Roman" w:cs="Times New Roman"/>
              </w:rPr>
              <w:t>40,283</w:t>
            </w:r>
          </w:p>
        </w:tc>
        <w:tc>
          <w:tcPr>
            <w:tcW w:w="1728" w:type="dxa"/>
          </w:tcPr>
          <w:p w14:paraId="742F887F">
            <w:pPr>
              <w:spacing w:line="240" w:lineRule="auto"/>
              <w:rPr>
                <w:rFonts w:ascii="Times New Roman" w:hAnsi="Times New Roman" w:cs="Times New Roman"/>
              </w:rPr>
            </w:pPr>
            <w:r>
              <w:rPr>
                <w:rFonts w:ascii="Times New Roman" w:hAnsi="Times New Roman" w:cs="Times New Roman"/>
              </w:rPr>
              <w:t>12,586</w:t>
            </w:r>
          </w:p>
        </w:tc>
        <w:tc>
          <w:tcPr>
            <w:tcW w:w="1728" w:type="dxa"/>
          </w:tcPr>
          <w:p w14:paraId="6D3ED1EE">
            <w:pPr>
              <w:spacing w:line="240" w:lineRule="auto"/>
              <w:rPr>
                <w:rFonts w:ascii="Times New Roman" w:hAnsi="Times New Roman" w:cs="Times New Roman"/>
              </w:rPr>
            </w:pPr>
            <w:r>
              <w:rPr>
                <w:rFonts w:ascii="Times New Roman" w:hAnsi="Times New Roman" w:cs="Times New Roman"/>
              </w:rPr>
              <w:t>40,283 − 12,586</w:t>
            </w:r>
          </w:p>
        </w:tc>
        <w:tc>
          <w:tcPr>
            <w:tcW w:w="1728" w:type="dxa"/>
          </w:tcPr>
          <w:p w14:paraId="1BC43AA3">
            <w:pPr>
              <w:spacing w:line="240" w:lineRule="auto"/>
              <w:rPr>
                <w:rFonts w:ascii="Times New Roman" w:hAnsi="Times New Roman" w:cs="Times New Roman"/>
              </w:rPr>
            </w:pPr>
            <w:r>
              <w:rPr>
                <w:rFonts w:ascii="Times New Roman" w:hAnsi="Times New Roman" w:cs="Times New Roman"/>
              </w:rPr>
              <w:t>27,697</w:t>
            </w:r>
          </w:p>
        </w:tc>
      </w:tr>
      <w:tr w14:paraId="5BBE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E5AC973">
            <w:pPr>
              <w:spacing w:line="240" w:lineRule="auto"/>
              <w:rPr>
                <w:rFonts w:ascii="Times New Roman" w:hAnsi="Times New Roman" w:cs="Times New Roman"/>
              </w:rPr>
            </w:pPr>
            <w:r>
              <w:rPr>
                <w:rFonts w:ascii="Times New Roman" w:hAnsi="Times New Roman" w:cs="Times New Roman"/>
              </w:rPr>
              <w:t>2022</w:t>
            </w:r>
          </w:p>
        </w:tc>
        <w:tc>
          <w:tcPr>
            <w:tcW w:w="1728" w:type="dxa"/>
          </w:tcPr>
          <w:p w14:paraId="280778E6">
            <w:pPr>
              <w:spacing w:line="240" w:lineRule="auto"/>
              <w:rPr>
                <w:rFonts w:ascii="Times New Roman" w:hAnsi="Times New Roman" w:cs="Times New Roman"/>
              </w:rPr>
            </w:pPr>
            <w:r>
              <w:rPr>
                <w:rFonts w:ascii="Times New Roman" w:hAnsi="Times New Roman" w:cs="Times New Roman"/>
              </w:rPr>
              <w:t>10,926</w:t>
            </w:r>
          </w:p>
        </w:tc>
        <w:tc>
          <w:tcPr>
            <w:tcW w:w="1728" w:type="dxa"/>
          </w:tcPr>
          <w:p w14:paraId="3A8CC4A9">
            <w:pPr>
              <w:spacing w:line="240" w:lineRule="auto"/>
              <w:rPr>
                <w:rFonts w:ascii="Times New Roman" w:hAnsi="Times New Roman" w:cs="Times New Roman"/>
              </w:rPr>
            </w:pPr>
            <w:r>
              <w:rPr>
                <w:rFonts w:ascii="Times New Roman" w:hAnsi="Times New Roman" w:cs="Times New Roman"/>
              </w:rPr>
              <w:t>14,006</w:t>
            </w:r>
          </w:p>
        </w:tc>
        <w:tc>
          <w:tcPr>
            <w:tcW w:w="1728" w:type="dxa"/>
          </w:tcPr>
          <w:p w14:paraId="3B13A0EC">
            <w:pPr>
              <w:spacing w:line="240" w:lineRule="auto"/>
              <w:rPr>
                <w:rFonts w:ascii="Times New Roman" w:hAnsi="Times New Roman" w:cs="Times New Roman"/>
              </w:rPr>
            </w:pPr>
            <w:r>
              <w:rPr>
                <w:rFonts w:ascii="Times New Roman" w:hAnsi="Times New Roman" w:cs="Times New Roman"/>
              </w:rPr>
              <w:t>10,926 − 14,006</w:t>
            </w:r>
          </w:p>
        </w:tc>
        <w:tc>
          <w:tcPr>
            <w:tcW w:w="1728" w:type="dxa"/>
          </w:tcPr>
          <w:p w14:paraId="1645B045">
            <w:pPr>
              <w:spacing w:line="240" w:lineRule="auto"/>
              <w:rPr>
                <w:rFonts w:ascii="Times New Roman" w:hAnsi="Times New Roman" w:cs="Times New Roman"/>
              </w:rPr>
            </w:pPr>
            <w:r>
              <w:rPr>
                <w:rFonts w:ascii="Times New Roman" w:hAnsi="Times New Roman" w:cs="Times New Roman"/>
              </w:rPr>
              <w:t>-3,080</w:t>
            </w:r>
          </w:p>
        </w:tc>
      </w:tr>
      <w:tr w14:paraId="197F2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13E6EAC">
            <w:pPr>
              <w:spacing w:line="240" w:lineRule="auto"/>
              <w:rPr>
                <w:rFonts w:ascii="Times New Roman" w:hAnsi="Times New Roman" w:cs="Times New Roman"/>
              </w:rPr>
            </w:pPr>
            <w:r>
              <w:rPr>
                <w:rFonts w:ascii="Times New Roman" w:hAnsi="Times New Roman" w:cs="Times New Roman"/>
              </w:rPr>
              <w:t>2023</w:t>
            </w:r>
          </w:p>
        </w:tc>
        <w:tc>
          <w:tcPr>
            <w:tcW w:w="1728" w:type="dxa"/>
          </w:tcPr>
          <w:p w14:paraId="0FBC5C11">
            <w:pPr>
              <w:spacing w:line="240" w:lineRule="auto"/>
              <w:rPr>
                <w:rFonts w:ascii="Times New Roman" w:hAnsi="Times New Roman" w:cs="Times New Roman"/>
              </w:rPr>
            </w:pPr>
            <w:r>
              <w:rPr>
                <w:rFonts w:ascii="Times New Roman" w:hAnsi="Times New Roman" w:cs="Times New Roman"/>
              </w:rPr>
              <w:t>25,190</w:t>
            </w:r>
          </w:p>
        </w:tc>
        <w:tc>
          <w:tcPr>
            <w:tcW w:w="1728" w:type="dxa"/>
          </w:tcPr>
          <w:p w14:paraId="7EF36EA3">
            <w:pPr>
              <w:spacing w:line="240" w:lineRule="auto"/>
              <w:rPr>
                <w:rFonts w:ascii="Times New Roman" w:hAnsi="Times New Roman" w:cs="Times New Roman"/>
              </w:rPr>
            </w:pPr>
            <w:r>
              <w:rPr>
                <w:rFonts w:ascii="Times New Roman" w:hAnsi="Times New Roman" w:cs="Times New Roman"/>
              </w:rPr>
              <w:t>8,116</w:t>
            </w:r>
          </w:p>
        </w:tc>
        <w:tc>
          <w:tcPr>
            <w:tcW w:w="1728" w:type="dxa"/>
          </w:tcPr>
          <w:p w14:paraId="6BE6C419">
            <w:pPr>
              <w:spacing w:line="240" w:lineRule="auto"/>
              <w:rPr>
                <w:rFonts w:ascii="Times New Roman" w:hAnsi="Times New Roman" w:cs="Times New Roman"/>
              </w:rPr>
            </w:pPr>
            <w:r>
              <w:rPr>
                <w:rFonts w:ascii="Times New Roman" w:hAnsi="Times New Roman" w:cs="Times New Roman"/>
              </w:rPr>
              <w:t>25,190 − 8,116</w:t>
            </w:r>
          </w:p>
        </w:tc>
        <w:tc>
          <w:tcPr>
            <w:tcW w:w="1728" w:type="dxa"/>
          </w:tcPr>
          <w:p w14:paraId="1D349AF1">
            <w:pPr>
              <w:spacing w:line="240" w:lineRule="auto"/>
              <w:rPr>
                <w:rFonts w:ascii="Times New Roman" w:hAnsi="Times New Roman" w:cs="Times New Roman"/>
              </w:rPr>
            </w:pPr>
            <w:r>
              <w:rPr>
                <w:rFonts w:ascii="Times New Roman" w:hAnsi="Times New Roman" w:cs="Times New Roman"/>
              </w:rPr>
              <w:t>17,074</w:t>
            </w:r>
          </w:p>
        </w:tc>
      </w:tr>
      <w:tr w14:paraId="1B133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671F97A">
            <w:pPr>
              <w:spacing w:line="240" w:lineRule="auto"/>
              <w:rPr>
                <w:rFonts w:ascii="Times New Roman" w:hAnsi="Times New Roman" w:cs="Times New Roman"/>
              </w:rPr>
            </w:pPr>
            <w:r>
              <w:rPr>
                <w:rFonts w:ascii="Times New Roman" w:hAnsi="Times New Roman" w:cs="Times New Roman"/>
              </w:rPr>
              <w:t>2024</w:t>
            </w:r>
          </w:p>
        </w:tc>
        <w:tc>
          <w:tcPr>
            <w:tcW w:w="1728" w:type="dxa"/>
          </w:tcPr>
          <w:p w14:paraId="10A2F49D">
            <w:pPr>
              <w:spacing w:line="240" w:lineRule="auto"/>
              <w:rPr>
                <w:rFonts w:ascii="Times New Roman" w:hAnsi="Times New Roman" w:cs="Times New Roman"/>
              </w:rPr>
            </w:pPr>
            <w:r>
              <w:rPr>
                <w:rFonts w:ascii="Times New Roman" w:hAnsi="Times New Roman" w:cs="Times New Roman"/>
              </w:rPr>
              <w:t>14,822</w:t>
            </w:r>
          </w:p>
        </w:tc>
        <w:tc>
          <w:tcPr>
            <w:tcW w:w="1728" w:type="dxa"/>
          </w:tcPr>
          <w:p w14:paraId="1755677B">
            <w:pPr>
              <w:spacing w:line="240" w:lineRule="auto"/>
              <w:rPr>
                <w:rFonts w:ascii="Times New Roman" w:hAnsi="Times New Roman" w:cs="Times New Roman"/>
              </w:rPr>
            </w:pPr>
            <w:r>
              <w:rPr>
                <w:rFonts w:ascii="Times New Roman" w:hAnsi="Times New Roman" w:cs="Times New Roman"/>
              </w:rPr>
              <w:t>4,572</w:t>
            </w:r>
          </w:p>
        </w:tc>
        <w:tc>
          <w:tcPr>
            <w:tcW w:w="1728" w:type="dxa"/>
          </w:tcPr>
          <w:p w14:paraId="0ABC8A3E">
            <w:pPr>
              <w:spacing w:line="240" w:lineRule="auto"/>
              <w:rPr>
                <w:rFonts w:ascii="Times New Roman" w:hAnsi="Times New Roman" w:cs="Times New Roman"/>
              </w:rPr>
            </w:pPr>
            <w:r>
              <w:rPr>
                <w:rFonts w:ascii="Times New Roman" w:hAnsi="Times New Roman" w:cs="Times New Roman"/>
              </w:rPr>
              <w:t>14,822 − 4,572</w:t>
            </w:r>
          </w:p>
        </w:tc>
        <w:tc>
          <w:tcPr>
            <w:tcW w:w="1728" w:type="dxa"/>
          </w:tcPr>
          <w:p w14:paraId="424C381F">
            <w:pPr>
              <w:spacing w:line="240" w:lineRule="auto"/>
              <w:rPr>
                <w:rFonts w:ascii="Times New Roman" w:hAnsi="Times New Roman" w:cs="Times New Roman"/>
              </w:rPr>
            </w:pPr>
            <w:r>
              <w:rPr>
                <w:rFonts w:ascii="Times New Roman" w:hAnsi="Times New Roman" w:cs="Times New Roman"/>
              </w:rPr>
              <w:t>10,250</w:t>
            </w:r>
          </w:p>
        </w:tc>
      </w:tr>
    </w:tbl>
    <w:p w14:paraId="22F7068D">
      <w:pPr>
        <w:pStyle w:val="3"/>
        <w:rPr>
          <w:rFonts w:ascii="Times New Roman" w:hAnsi="Times New Roman" w:cs="Times New Roman"/>
          <w:sz w:val="28"/>
          <w:szCs w:val="28"/>
        </w:rPr>
      </w:pPr>
    </w:p>
    <w:p w14:paraId="60678C81">
      <w:pPr>
        <w:rPr>
          <w:rFonts w:ascii="Times New Roman" w:hAnsi="Times New Roman" w:cs="Times New Roman"/>
        </w:rPr>
      </w:pPr>
    </w:p>
    <w:p w14:paraId="691D8B31">
      <w:pPr>
        <w:rPr>
          <w:rFonts w:ascii="Times New Roman" w:hAnsi="Times New Roman" w:cs="Times New Roman"/>
        </w:rPr>
      </w:pPr>
    </w:p>
    <w:p w14:paraId="5F5D8F3A">
      <w:pPr>
        <w:rPr>
          <w:rFonts w:ascii="Times New Roman" w:hAnsi="Times New Roman" w:cs="Times New Roman"/>
        </w:rPr>
      </w:pPr>
    </w:p>
    <w:p w14:paraId="60F10FD0">
      <w:pPr>
        <w:rPr>
          <w:rFonts w:ascii="Times New Roman" w:hAnsi="Times New Roman" w:cs="Times New Roman"/>
        </w:rPr>
      </w:pPr>
    </w:p>
    <w:p w14:paraId="26D0A3D2">
      <w:pPr>
        <w:rPr>
          <w:rFonts w:ascii="Times New Roman" w:hAnsi="Times New Roman" w:cs="Times New Roman"/>
        </w:rPr>
      </w:pPr>
      <w:r>
        <w:rPr>
          <w:rFonts w:ascii="Times New Roman" w:hAnsi="Times New Roman" w:cs="Times New Roman"/>
        </w:rPr>
        <w:t>Table 19: Altman Z-Score Components (2024)</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0"/>
        <w:gridCol w:w="2160"/>
        <w:gridCol w:w="2160"/>
        <w:gridCol w:w="2160"/>
      </w:tblGrid>
      <w:tr w14:paraId="3362D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7F89E2E1">
            <w:pPr>
              <w:spacing w:line="240" w:lineRule="auto"/>
              <w:rPr>
                <w:rFonts w:ascii="Times New Roman" w:hAnsi="Times New Roman" w:cs="Times New Roman"/>
              </w:rPr>
            </w:pPr>
            <w:r>
              <w:rPr>
                <w:rFonts w:ascii="Times New Roman" w:hAnsi="Times New Roman" w:cs="Times New Roman"/>
              </w:rPr>
              <w:t>Component</w:t>
            </w:r>
          </w:p>
        </w:tc>
        <w:tc>
          <w:tcPr>
            <w:tcW w:w="2160" w:type="dxa"/>
          </w:tcPr>
          <w:p w14:paraId="2AF012A5">
            <w:pPr>
              <w:spacing w:line="240" w:lineRule="auto"/>
              <w:rPr>
                <w:rFonts w:ascii="Times New Roman" w:hAnsi="Times New Roman" w:cs="Times New Roman"/>
              </w:rPr>
            </w:pPr>
            <w:r>
              <w:rPr>
                <w:rFonts w:ascii="Times New Roman" w:hAnsi="Times New Roman" w:cs="Times New Roman"/>
              </w:rPr>
              <w:t>Formula</w:t>
            </w:r>
          </w:p>
        </w:tc>
        <w:tc>
          <w:tcPr>
            <w:tcW w:w="2160" w:type="dxa"/>
          </w:tcPr>
          <w:p w14:paraId="49706F0F">
            <w:pPr>
              <w:spacing w:line="240" w:lineRule="auto"/>
              <w:rPr>
                <w:rFonts w:ascii="Times New Roman" w:hAnsi="Times New Roman" w:cs="Times New Roman"/>
              </w:rPr>
            </w:pPr>
            <w:r>
              <w:rPr>
                <w:rFonts w:ascii="Times New Roman" w:hAnsi="Times New Roman" w:cs="Times New Roman"/>
              </w:rPr>
              <w:t>Values</w:t>
            </w:r>
          </w:p>
        </w:tc>
        <w:tc>
          <w:tcPr>
            <w:tcW w:w="2160" w:type="dxa"/>
          </w:tcPr>
          <w:p w14:paraId="2F156F03">
            <w:pPr>
              <w:spacing w:line="240" w:lineRule="auto"/>
              <w:rPr>
                <w:rFonts w:ascii="Times New Roman" w:hAnsi="Times New Roman" w:cs="Times New Roman"/>
              </w:rPr>
            </w:pPr>
            <w:r>
              <w:rPr>
                <w:rFonts w:ascii="Times New Roman" w:hAnsi="Times New Roman" w:cs="Times New Roman"/>
              </w:rPr>
              <w:t>Output</w:t>
            </w:r>
          </w:p>
        </w:tc>
      </w:tr>
      <w:tr w14:paraId="0025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32EB7015">
            <w:pPr>
              <w:spacing w:line="240" w:lineRule="auto"/>
              <w:rPr>
                <w:rFonts w:ascii="Times New Roman" w:hAnsi="Times New Roman" w:cs="Times New Roman"/>
              </w:rPr>
            </w:pPr>
            <w:r>
              <w:rPr>
                <w:rFonts w:ascii="Times New Roman" w:hAnsi="Times New Roman" w:cs="Times New Roman"/>
              </w:rPr>
              <w:t>X1</w:t>
            </w:r>
          </w:p>
        </w:tc>
        <w:tc>
          <w:tcPr>
            <w:tcW w:w="2160" w:type="dxa"/>
          </w:tcPr>
          <w:p w14:paraId="4E58A818">
            <w:pPr>
              <w:spacing w:line="240" w:lineRule="auto"/>
              <w:rPr>
                <w:rFonts w:ascii="Times New Roman" w:hAnsi="Times New Roman" w:cs="Times New Roman"/>
              </w:rPr>
            </w:pPr>
            <w:r>
              <w:rPr>
                <w:rFonts w:ascii="Times New Roman" w:hAnsi="Times New Roman" w:cs="Times New Roman"/>
              </w:rPr>
              <w:t>Working Capital / Total Assets</w:t>
            </w:r>
          </w:p>
        </w:tc>
        <w:tc>
          <w:tcPr>
            <w:tcW w:w="2160" w:type="dxa"/>
          </w:tcPr>
          <w:p w14:paraId="55F1FC7D">
            <w:pPr>
              <w:spacing w:line="240" w:lineRule="auto"/>
              <w:rPr>
                <w:rFonts w:ascii="Times New Roman" w:hAnsi="Times New Roman" w:cs="Times New Roman"/>
              </w:rPr>
            </w:pPr>
            <w:r>
              <w:rPr>
                <w:rFonts w:ascii="Times New Roman" w:hAnsi="Times New Roman" w:cs="Times New Roman"/>
              </w:rPr>
              <w:t>(242,494 − 158,291) ÷ 323,354</w:t>
            </w:r>
          </w:p>
        </w:tc>
        <w:tc>
          <w:tcPr>
            <w:tcW w:w="2160" w:type="dxa"/>
          </w:tcPr>
          <w:p w14:paraId="19FCADA3">
            <w:pPr>
              <w:spacing w:line="240" w:lineRule="auto"/>
              <w:rPr>
                <w:rFonts w:ascii="Times New Roman" w:hAnsi="Times New Roman" w:cs="Times New Roman"/>
              </w:rPr>
            </w:pPr>
            <w:r>
              <w:rPr>
                <w:rFonts w:ascii="Times New Roman" w:hAnsi="Times New Roman" w:cs="Times New Roman"/>
              </w:rPr>
              <w:t>0.26</w:t>
            </w:r>
          </w:p>
        </w:tc>
      </w:tr>
      <w:tr w14:paraId="7934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115CF748">
            <w:pPr>
              <w:spacing w:line="240" w:lineRule="auto"/>
              <w:rPr>
                <w:rFonts w:ascii="Times New Roman" w:hAnsi="Times New Roman" w:cs="Times New Roman"/>
              </w:rPr>
            </w:pPr>
            <w:r>
              <w:rPr>
                <w:rFonts w:ascii="Times New Roman" w:hAnsi="Times New Roman" w:cs="Times New Roman"/>
              </w:rPr>
              <w:t>X2</w:t>
            </w:r>
          </w:p>
        </w:tc>
        <w:tc>
          <w:tcPr>
            <w:tcW w:w="2160" w:type="dxa"/>
          </w:tcPr>
          <w:p w14:paraId="60EAE043">
            <w:pPr>
              <w:spacing w:line="240" w:lineRule="auto"/>
              <w:rPr>
                <w:rFonts w:ascii="Times New Roman" w:hAnsi="Times New Roman" w:cs="Times New Roman"/>
              </w:rPr>
            </w:pPr>
            <w:r>
              <w:rPr>
                <w:rFonts w:ascii="Times New Roman" w:hAnsi="Times New Roman" w:cs="Times New Roman"/>
              </w:rPr>
              <w:t>Retained Earnings / Total Assets</w:t>
            </w:r>
          </w:p>
        </w:tc>
        <w:tc>
          <w:tcPr>
            <w:tcW w:w="2160" w:type="dxa"/>
          </w:tcPr>
          <w:p w14:paraId="053F0551">
            <w:pPr>
              <w:spacing w:line="240" w:lineRule="auto"/>
              <w:rPr>
                <w:rFonts w:ascii="Times New Roman" w:hAnsi="Times New Roman" w:cs="Times New Roman"/>
              </w:rPr>
            </w:pPr>
            <w:r>
              <w:rPr>
                <w:rFonts w:ascii="Times New Roman" w:hAnsi="Times New Roman" w:cs="Times New Roman"/>
              </w:rPr>
              <w:t>208,431 ÷ 323,354</w:t>
            </w:r>
          </w:p>
        </w:tc>
        <w:tc>
          <w:tcPr>
            <w:tcW w:w="2160" w:type="dxa"/>
          </w:tcPr>
          <w:p w14:paraId="40B98B57">
            <w:pPr>
              <w:spacing w:line="240" w:lineRule="auto"/>
              <w:rPr>
                <w:rFonts w:ascii="Times New Roman" w:hAnsi="Times New Roman" w:cs="Times New Roman"/>
              </w:rPr>
            </w:pPr>
            <w:r>
              <w:rPr>
                <w:rFonts w:ascii="Times New Roman" w:hAnsi="Times New Roman" w:cs="Times New Roman"/>
              </w:rPr>
              <w:t>0.64</w:t>
            </w:r>
          </w:p>
        </w:tc>
      </w:tr>
      <w:tr w14:paraId="4F748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07C43C1A">
            <w:pPr>
              <w:spacing w:line="240" w:lineRule="auto"/>
              <w:rPr>
                <w:rFonts w:ascii="Times New Roman" w:hAnsi="Times New Roman" w:cs="Times New Roman"/>
              </w:rPr>
            </w:pPr>
            <w:r>
              <w:rPr>
                <w:rFonts w:ascii="Times New Roman" w:hAnsi="Times New Roman" w:cs="Times New Roman"/>
              </w:rPr>
              <w:t>X3</w:t>
            </w:r>
          </w:p>
        </w:tc>
        <w:tc>
          <w:tcPr>
            <w:tcW w:w="2160" w:type="dxa"/>
          </w:tcPr>
          <w:p w14:paraId="058B3642">
            <w:pPr>
              <w:spacing w:line="240" w:lineRule="auto"/>
              <w:rPr>
                <w:rFonts w:ascii="Times New Roman" w:hAnsi="Times New Roman" w:cs="Times New Roman"/>
              </w:rPr>
            </w:pPr>
            <w:r>
              <w:rPr>
                <w:rFonts w:ascii="Times New Roman" w:hAnsi="Times New Roman" w:cs="Times New Roman"/>
              </w:rPr>
              <w:t>EBIT / Total Assets</w:t>
            </w:r>
          </w:p>
        </w:tc>
        <w:tc>
          <w:tcPr>
            <w:tcW w:w="2160" w:type="dxa"/>
          </w:tcPr>
          <w:p w14:paraId="37A8A850">
            <w:pPr>
              <w:spacing w:line="240" w:lineRule="auto"/>
              <w:rPr>
                <w:rFonts w:ascii="Times New Roman" w:hAnsi="Times New Roman" w:cs="Times New Roman"/>
              </w:rPr>
            </w:pPr>
            <w:r>
              <w:rPr>
                <w:rFonts w:ascii="Times New Roman" w:hAnsi="Times New Roman" w:cs="Times New Roman"/>
              </w:rPr>
              <w:t>-15,297 ÷ 323,354</w:t>
            </w:r>
          </w:p>
        </w:tc>
        <w:tc>
          <w:tcPr>
            <w:tcW w:w="2160" w:type="dxa"/>
          </w:tcPr>
          <w:p w14:paraId="1EDBDB83">
            <w:pPr>
              <w:spacing w:line="240" w:lineRule="auto"/>
              <w:rPr>
                <w:rFonts w:ascii="Times New Roman" w:hAnsi="Times New Roman" w:cs="Times New Roman"/>
              </w:rPr>
            </w:pPr>
            <w:r>
              <w:rPr>
                <w:rFonts w:ascii="Times New Roman" w:hAnsi="Times New Roman" w:cs="Times New Roman"/>
              </w:rPr>
              <w:t>-0.047</w:t>
            </w:r>
          </w:p>
        </w:tc>
      </w:tr>
      <w:tr w14:paraId="70B3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51DB6382">
            <w:pPr>
              <w:spacing w:line="240" w:lineRule="auto"/>
              <w:rPr>
                <w:rFonts w:ascii="Times New Roman" w:hAnsi="Times New Roman" w:cs="Times New Roman"/>
              </w:rPr>
            </w:pPr>
            <w:r>
              <w:rPr>
                <w:rFonts w:ascii="Times New Roman" w:hAnsi="Times New Roman" w:cs="Times New Roman"/>
              </w:rPr>
              <w:t>X4</w:t>
            </w:r>
          </w:p>
        </w:tc>
        <w:tc>
          <w:tcPr>
            <w:tcW w:w="2160" w:type="dxa"/>
          </w:tcPr>
          <w:p w14:paraId="0CBD17BA">
            <w:pPr>
              <w:spacing w:line="240" w:lineRule="auto"/>
              <w:rPr>
                <w:rFonts w:ascii="Times New Roman" w:hAnsi="Times New Roman" w:cs="Times New Roman"/>
              </w:rPr>
            </w:pPr>
            <w:r>
              <w:rPr>
                <w:rFonts w:ascii="Times New Roman" w:hAnsi="Times New Roman" w:cs="Times New Roman"/>
              </w:rPr>
              <w:t>Equity / Total Liabilities</w:t>
            </w:r>
          </w:p>
        </w:tc>
        <w:tc>
          <w:tcPr>
            <w:tcW w:w="2160" w:type="dxa"/>
          </w:tcPr>
          <w:p w14:paraId="0CDD3677">
            <w:pPr>
              <w:spacing w:line="240" w:lineRule="auto"/>
              <w:rPr>
                <w:rFonts w:ascii="Times New Roman" w:hAnsi="Times New Roman" w:cs="Times New Roman"/>
              </w:rPr>
            </w:pPr>
            <w:r>
              <w:rPr>
                <w:rFonts w:ascii="Times New Roman" w:hAnsi="Times New Roman" w:cs="Times New Roman"/>
              </w:rPr>
              <w:t>153,105 ÷ 170,249</w:t>
            </w:r>
          </w:p>
        </w:tc>
        <w:tc>
          <w:tcPr>
            <w:tcW w:w="2160" w:type="dxa"/>
          </w:tcPr>
          <w:p w14:paraId="04A123A3">
            <w:pPr>
              <w:spacing w:line="240" w:lineRule="auto"/>
              <w:rPr>
                <w:rFonts w:ascii="Times New Roman" w:hAnsi="Times New Roman" w:cs="Times New Roman"/>
              </w:rPr>
            </w:pPr>
            <w:r>
              <w:rPr>
                <w:rFonts w:ascii="Times New Roman" w:hAnsi="Times New Roman" w:cs="Times New Roman"/>
              </w:rPr>
              <w:t>0.90</w:t>
            </w:r>
          </w:p>
        </w:tc>
      </w:tr>
      <w:tr w14:paraId="5382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26F1D328">
            <w:pPr>
              <w:spacing w:line="240" w:lineRule="auto"/>
              <w:rPr>
                <w:rFonts w:ascii="Times New Roman" w:hAnsi="Times New Roman" w:cs="Times New Roman"/>
              </w:rPr>
            </w:pPr>
            <w:r>
              <w:rPr>
                <w:rFonts w:ascii="Times New Roman" w:hAnsi="Times New Roman" w:cs="Times New Roman"/>
              </w:rPr>
              <w:t>X5</w:t>
            </w:r>
          </w:p>
        </w:tc>
        <w:tc>
          <w:tcPr>
            <w:tcW w:w="2160" w:type="dxa"/>
          </w:tcPr>
          <w:p w14:paraId="5AB8C61B">
            <w:pPr>
              <w:spacing w:line="240" w:lineRule="auto"/>
              <w:rPr>
                <w:rFonts w:ascii="Times New Roman" w:hAnsi="Times New Roman" w:cs="Times New Roman"/>
              </w:rPr>
            </w:pPr>
            <w:r>
              <w:rPr>
                <w:rFonts w:ascii="Times New Roman" w:hAnsi="Times New Roman" w:cs="Times New Roman"/>
              </w:rPr>
              <w:t>Sales / Total Assets</w:t>
            </w:r>
          </w:p>
        </w:tc>
        <w:tc>
          <w:tcPr>
            <w:tcW w:w="2160" w:type="dxa"/>
          </w:tcPr>
          <w:p w14:paraId="6428F119">
            <w:pPr>
              <w:spacing w:line="240" w:lineRule="auto"/>
              <w:rPr>
                <w:rFonts w:ascii="Times New Roman" w:hAnsi="Times New Roman" w:cs="Times New Roman"/>
              </w:rPr>
            </w:pPr>
            <w:r>
              <w:rPr>
                <w:rFonts w:ascii="Times New Roman" w:hAnsi="Times New Roman" w:cs="Times New Roman"/>
              </w:rPr>
              <w:t>394,879 ÷ 323,354</w:t>
            </w:r>
          </w:p>
        </w:tc>
        <w:tc>
          <w:tcPr>
            <w:tcW w:w="2160" w:type="dxa"/>
          </w:tcPr>
          <w:p w14:paraId="4C27C1E5">
            <w:pPr>
              <w:spacing w:line="240" w:lineRule="auto"/>
              <w:rPr>
                <w:rFonts w:ascii="Times New Roman" w:hAnsi="Times New Roman" w:cs="Times New Roman"/>
              </w:rPr>
            </w:pPr>
            <w:r>
              <w:rPr>
                <w:rFonts w:ascii="Times New Roman" w:hAnsi="Times New Roman" w:cs="Times New Roman"/>
              </w:rPr>
              <w:t>1.22</w:t>
            </w:r>
          </w:p>
        </w:tc>
      </w:tr>
      <w:tr w14:paraId="2933A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2ECD14F8">
            <w:pPr>
              <w:spacing w:line="240" w:lineRule="auto"/>
              <w:rPr>
                <w:rFonts w:ascii="Times New Roman" w:hAnsi="Times New Roman" w:cs="Times New Roman"/>
              </w:rPr>
            </w:pPr>
            <w:r>
              <w:rPr>
                <w:rFonts w:ascii="Times New Roman" w:hAnsi="Times New Roman" w:cs="Times New Roman"/>
              </w:rPr>
              <w:t>Z-Score</w:t>
            </w:r>
          </w:p>
        </w:tc>
        <w:tc>
          <w:tcPr>
            <w:tcW w:w="2160" w:type="dxa"/>
          </w:tcPr>
          <w:p w14:paraId="4439C514">
            <w:pPr>
              <w:spacing w:line="240" w:lineRule="auto"/>
              <w:rPr>
                <w:rFonts w:ascii="Times New Roman" w:hAnsi="Times New Roman" w:cs="Times New Roman"/>
              </w:rPr>
            </w:pPr>
            <w:r>
              <w:rPr>
                <w:rFonts w:ascii="Times New Roman" w:hAnsi="Times New Roman" w:cs="Times New Roman"/>
              </w:rPr>
              <w:t>Weighted Sum</w:t>
            </w:r>
          </w:p>
        </w:tc>
        <w:tc>
          <w:tcPr>
            <w:tcW w:w="2160" w:type="dxa"/>
          </w:tcPr>
          <w:p w14:paraId="1C4F8756">
            <w:pPr>
              <w:spacing w:line="240" w:lineRule="auto"/>
              <w:rPr>
                <w:rFonts w:ascii="Times New Roman" w:hAnsi="Times New Roman" w:cs="Times New Roman"/>
              </w:rPr>
            </w:pPr>
            <w:r>
              <w:rPr>
                <w:rFonts w:ascii="Times New Roman" w:hAnsi="Times New Roman" w:cs="Times New Roman"/>
              </w:rPr>
              <w:t>—</w:t>
            </w:r>
          </w:p>
        </w:tc>
        <w:tc>
          <w:tcPr>
            <w:tcW w:w="2160" w:type="dxa"/>
          </w:tcPr>
          <w:p w14:paraId="65C140A9">
            <w:pPr>
              <w:spacing w:line="240" w:lineRule="auto"/>
              <w:rPr>
                <w:rFonts w:ascii="Times New Roman" w:hAnsi="Times New Roman" w:cs="Times New Roman"/>
              </w:rPr>
            </w:pPr>
            <w:r>
              <w:rPr>
                <w:rFonts w:ascii="Times New Roman" w:hAnsi="Times New Roman" w:cs="Times New Roman"/>
              </w:rPr>
              <w:t>≈ 2.11</w:t>
            </w:r>
          </w:p>
        </w:tc>
      </w:tr>
    </w:tbl>
    <w:p w14:paraId="60DC1689">
      <w:pPr>
        <w:rPr>
          <w:rFonts w:ascii="Times New Roman" w:hAnsi="Times New Roman" w:cs="Times New Roman"/>
        </w:rPr>
      </w:pPr>
    </w:p>
    <w:p w14:paraId="54BF6A2B">
      <w:pPr>
        <w:rPr>
          <w:rFonts w:ascii="Times New Roman" w:hAnsi="Times New Roman" w:cs="Times New Roman"/>
        </w:rPr>
      </w:pPr>
      <w:r>
        <w:rPr>
          <w:rFonts w:ascii="Times New Roman" w:hAnsi="Times New Roman" w:cs="Times New Roman"/>
        </w:rPr>
        <w:t xml:space="preserve">Table 20: </w:t>
      </w:r>
      <w:r>
        <w:rPr>
          <w:rStyle w:val="36"/>
          <w:rFonts w:ascii="Times New Roman" w:hAnsi="Times New Roman" w:cs="Times New Roman"/>
          <w:sz w:val="28"/>
          <w:szCs w:val="28"/>
        </w:rPr>
        <w:t>DPO Calculation Table</w:t>
      </w:r>
    </w:p>
    <w:p w14:paraId="63127444">
      <w:pPr>
        <w:pStyle w:val="34"/>
        <w:rPr>
          <w:b/>
          <w:bCs/>
          <w:lang w:val="en-US"/>
        </w:rPr>
      </w:pPr>
      <w:r>
        <w:rPr>
          <w:b/>
          <w:bCs/>
          <w:lang w:val="en-US"/>
        </w:rPr>
        <w:t>DPO = (Average Accounts Payable ÷ Daily)</w:t>
      </w:r>
    </w:p>
    <w:p w14:paraId="73C812F8">
      <w:pPr>
        <w:pStyle w:val="34"/>
        <w:rPr>
          <w:b/>
          <w:bCs/>
          <w:lang w:val="en-US"/>
        </w:rPr>
      </w:pPr>
      <w:r>
        <w:rPr>
          <w:b/>
          <w:bCs/>
          <w:lang w:val="en-US"/>
        </w:rPr>
        <w:t>And Daily Cost of Sales = COGS ÷ 365</w:t>
      </w:r>
    </w:p>
    <w:tbl>
      <w:tblPr>
        <w:tblStyle w:val="38"/>
        <w:tblW w:w="89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2567"/>
        <w:gridCol w:w="2059"/>
        <w:gridCol w:w="2125"/>
        <w:gridCol w:w="1453"/>
      </w:tblGrid>
      <w:tr w14:paraId="25E2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0" w:type="auto"/>
          </w:tcPr>
          <w:p w14:paraId="4718BCE8">
            <w:pPr>
              <w:spacing w:line="240" w:lineRule="auto"/>
              <w:jc w:val="center"/>
              <w:rPr>
                <w:rFonts w:ascii="Times New Roman" w:hAnsi="Times New Roman" w:cs="Times New Roman"/>
                <w:b/>
                <w:bCs/>
              </w:rPr>
            </w:pPr>
            <w:r>
              <w:rPr>
                <w:rFonts w:ascii="Times New Roman" w:hAnsi="Times New Roman" w:cs="Times New Roman"/>
                <w:b/>
                <w:bCs/>
              </w:rPr>
              <w:t>Year</w:t>
            </w:r>
          </w:p>
        </w:tc>
        <w:tc>
          <w:tcPr>
            <w:tcW w:w="0" w:type="auto"/>
          </w:tcPr>
          <w:p w14:paraId="3E2D783A">
            <w:pPr>
              <w:spacing w:line="240" w:lineRule="auto"/>
              <w:jc w:val="center"/>
              <w:rPr>
                <w:rFonts w:ascii="Times New Roman" w:hAnsi="Times New Roman" w:cs="Times New Roman"/>
                <w:b/>
                <w:bCs/>
              </w:rPr>
            </w:pPr>
            <w:r>
              <w:rPr>
                <w:rFonts w:ascii="Times New Roman" w:hAnsi="Times New Roman" w:cs="Times New Roman"/>
                <w:b/>
                <w:bCs/>
              </w:rPr>
              <w:t>Accounts Payable (£m)</w:t>
            </w:r>
          </w:p>
        </w:tc>
        <w:tc>
          <w:tcPr>
            <w:tcW w:w="0" w:type="auto"/>
          </w:tcPr>
          <w:p w14:paraId="118BF137">
            <w:pPr>
              <w:spacing w:line="240" w:lineRule="auto"/>
              <w:jc w:val="center"/>
              <w:rPr>
                <w:rFonts w:ascii="Times New Roman" w:hAnsi="Times New Roman" w:cs="Times New Roman"/>
                <w:b/>
                <w:bCs/>
              </w:rPr>
            </w:pPr>
            <w:r>
              <w:rPr>
                <w:rFonts w:ascii="Times New Roman" w:hAnsi="Times New Roman" w:cs="Times New Roman"/>
                <w:b/>
                <w:bCs/>
              </w:rPr>
              <w:t>Cost of Sales (£m)</w:t>
            </w:r>
          </w:p>
        </w:tc>
        <w:tc>
          <w:tcPr>
            <w:tcW w:w="0" w:type="auto"/>
          </w:tcPr>
          <w:p w14:paraId="53D2A1B7">
            <w:pPr>
              <w:spacing w:line="240" w:lineRule="auto"/>
              <w:jc w:val="center"/>
              <w:rPr>
                <w:rFonts w:ascii="Times New Roman" w:hAnsi="Times New Roman" w:cs="Times New Roman"/>
                <w:b/>
                <w:bCs/>
              </w:rPr>
            </w:pPr>
            <w:r>
              <w:rPr>
                <w:rFonts w:ascii="Times New Roman" w:hAnsi="Times New Roman" w:cs="Times New Roman"/>
                <w:b/>
                <w:bCs/>
              </w:rPr>
              <w:t>Daily Cost of Sales</w:t>
            </w:r>
          </w:p>
        </w:tc>
        <w:tc>
          <w:tcPr>
            <w:tcW w:w="0" w:type="auto"/>
          </w:tcPr>
          <w:p w14:paraId="073AAE16">
            <w:pPr>
              <w:spacing w:line="240" w:lineRule="auto"/>
              <w:jc w:val="center"/>
              <w:rPr>
                <w:rFonts w:ascii="Times New Roman" w:hAnsi="Times New Roman" w:cs="Times New Roman"/>
                <w:b/>
                <w:bCs/>
              </w:rPr>
            </w:pPr>
            <w:r>
              <w:rPr>
                <w:rFonts w:ascii="Times New Roman" w:hAnsi="Times New Roman" w:cs="Times New Roman"/>
                <w:b/>
                <w:bCs/>
              </w:rPr>
              <w:t>DPO (Days)</w:t>
            </w:r>
          </w:p>
        </w:tc>
      </w:tr>
      <w:tr w14:paraId="3E3AA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0" w:type="auto"/>
          </w:tcPr>
          <w:p w14:paraId="0F80344E">
            <w:pPr>
              <w:spacing w:line="240" w:lineRule="auto"/>
              <w:jc w:val="center"/>
              <w:rPr>
                <w:rFonts w:ascii="Times New Roman" w:hAnsi="Times New Roman" w:cs="Times New Roman"/>
              </w:rPr>
            </w:pPr>
            <w:r>
              <w:rPr>
                <w:rFonts w:ascii="Times New Roman" w:hAnsi="Times New Roman" w:cs="Times New Roman"/>
              </w:rPr>
              <w:t>2020</w:t>
            </w:r>
          </w:p>
        </w:tc>
        <w:tc>
          <w:tcPr>
            <w:tcW w:w="0" w:type="auto"/>
          </w:tcPr>
          <w:p w14:paraId="1434B00A">
            <w:pPr>
              <w:spacing w:line="240" w:lineRule="auto"/>
              <w:jc w:val="center"/>
              <w:rPr>
                <w:rFonts w:ascii="Times New Roman" w:hAnsi="Times New Roman" w:cs="Times New Roman"/>
              </w:rPr>
            </w:pPr>
            <w:r>
              <w:rPr>
                <w:rFonts w:ascii="Times New Roman" w:hAnsi="Times New Roman" w:cs="Times New Roman"/>
              </w:rPr>
              <w:t>104,631</w:t>
            </w:r>
          </w:p>
        </w:tc>
        <w:tc>
          <w:tcPr>
            <w:tcW w:w="0" w:type="auto"/>
          </w:tcPr>
          <w:p w14:paraId="6A1EC64B">
            <w:pPr>
              <w:spacing w:line="240" w:lineRule="auto"/>
              <w:jc w:val="center"/>
              <w:rPr>
                <w:rFonts w:ascii="Times New Roman" w:hAnsi="Times New Roman" w:cs="Times New Roman"/>
              </w:rPr>
            </w:pPr>
            <w:r>
              <w:rPr>
                <w:rFonts w:ascii="Times New Roman" w:hAnsi="Times New Roman" w:cs="Times New Roman"/>
              </w:rPr>
              <w:t>438,424</w:t>
            </w:r>
          </w:p>
        </w:tc>
        <w:tc>
          <w:tcPr>
            <w:tcW w:w="0" w:type="auto"/>
          </w:tcPr>
          <w:p w14:paraId="7092473F">
            <w:pPr>
              <w:spacing w:line="240" w:lineRule="auto"/>
              <w:jc w:val="center"/>
              <w:rPr>
                <w:rFonts w:ascii="Times New Roman" w:hAnsi="Times New Roman" w:cs="Times New Roman"/>
              </w:rPr>
            </w:pPr>
            <w:r>
              <w:rPr>
                <w:rFonts w:ascii="Times New Roman" w:hAnsi="Times New Roman" w:cs="Times New Roman"/>
              </w:rPr>
              <w:t>1,201</w:t>
            </w:r>
          </w:p>
        </w:tc>
        <w:tc>
          <w:tcPr>
            <w:tcW w:w="0" w:type="auto"/>
          </w:tcPr>
          <w:p w14:paraId="471E2343">
            <w:pPr>
              <w:spacing w:line="240" w:lineRule="auto"/>
              <w:jc w:val="center"/>
              <w:rPr>
                <w:rFonts w:ascii="Times New Roman" w:hAnsi="Times New Roman" w:cs="Times New Roman"/>
              </w:rPr>
            </w:pPr>
            <w:r>
              <w:rPr>
                <w:rStyle w:val="36"/>
                <w:rFonts w:ascii="Times New Roman" w:hAnsi="Times New Roman" w:cs="Times New Roman"/>
              </w:rPr>
              <w:t>87 days</w:t>
            </w:r>
          </w:p>
        </w:tc>
      </w:tr>
      <w:tr w14:paraId="1D237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0" w:type="auto"/>
          </w:tcPr>
          <w:p w14:paraId="426EA27F">
            <w:pPr>
              <w:spacing w:line="240" w:lineRule="auto"/>
              <w:jc w:val="center"/>
              <w:rPr>
                <w:rFonts w:ascii="Times New Roman" w:hAnsi="Times New Roman" w:cs="Times New Roman"/>
              </w:rPr>
            </w:pPr>
            <w:r>
              <w:rPr>
                <w:rFonts w:ascii="Times New Roman" w:hAnsi="Times New Roman" w:cs="Times New Roman"/>
              </w:rPr>
              <w:t>2021</w:t>
            </w:r>
          </w:p>
        </w:tc>
        <w:tc>
          <w:tcPr>
            <w:tcW w:w="0" w:type="auto"/>
          </w:tcPr>
          <w:p w14:paraId="1F5A5B74">
            <w:pPr>
              <w:spacing w:line="240" w:lineRule="auto"/>
              <w:jc w:val="center"/>
              <w:rPr>
                <w:rFonts w:ascii="Times New Roman" w:hAnsi="Times New Roman" w:cs="Times New Roman"/>
              </w:rPr>
            </w:pPr>
            <w:r>
              <w:rPr>
                <w:rFonts w:ascii="Times New Roman" w:hAnsi="Times New Roman" w:cs="Times New Roman"/>
              </w:rPr>
              <w:t>123,285</w:t>
            </w:r>
          </w:p>
        </w:tc>
        <w:tc>
          <w:tcPr>
            <w:tcW w:w="0" w:type="auto"/>
          </w:tcPr>
          <w:p w14:paraId="79DFA7C5">
            <w:pPr>
              <w:spacing w:line="240" w:lineRule="auto"/>
              <w:jc w:val="center"/>
              <w:rPr>
                <w:rFonts w:ascii="Times New Roman" w:hAnsi="Times New Roman" w:cs="Times New Roman"/>
              </w:rPr>
            </w:pPr>
            <w:r>
              <w:rPr>
                <w:rFonts w:ascii="Times New Roman" w:hAnsi="Times New Roman" w:cs="Times New Roman"/>
              </w:rPr>
              <w:t>428,586</w:t>
            </w:r>
          </w:p>
        </w:tc>
        <w:tc>
          <w:tcPr>
            <w:tcW w:w="0" w:type="auto"/>
          </w:tcPr>
          <w:p w14:paraId="11ACD5C6">
            <w:pPr>
              <w:spacing w:line="240" w:lineRule="auto"/>
              <w:jc w:val="center"/>
              <w:rPr>
                <w:rFonts w:ascii="Times New Roman" w:hAnsi="Times New Roman" w:cs="Times New Roman"/>
              </w:rPr>
            </w:pPr>
            <w:r>
              <w:rPr>
                <w:rFonts w:ascii="Times New Roman" w:hAnsi="Times New Roman" w:cs="Times New Roman"/>
              </w:rPr>
              <w:t>1,174</w:t>
            </w:r>
          </w:p>
        </w:tc>
        <w:tc>
          <w:tcPr>
            <w:tcW w:w="0" w:type="auto"/>
          </w:tcPr>
          <w:p w14:paraId="1FEEDDF2">
            <w:pPr>
              <w:spacing w:line="240" w:lineRule="auto"/>
              <w:jc w:val="center"/>
              <w:rPr>
                <w:rFonts w:ascii="Times New Roman" w:hAnsi="Times New Roman" w:cs="Times New Roman"/>
              </w:rPr>
            </w:pPr>
            <w:r>
              <w:rPr>
                <w:rStyle w:val="36"/>
                <w:rFonts w:ascii="Times New Roman" w:hAnsi="Times New Roman" w:cs="Times New Roman"/>
              </w:rPr>
              <w:t>105 days</w:t>
            </w:r>
          </w:p>
        </w:tc>
      </w:tr>
      <w:tr w14:paraId="37113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0" w:type="auto"/>
          </w:tcPr>
          <w:p w14:paraId="25311E58">
            <w:pPr>
              <w:spacing w:line="240" w:lineRule="auto"/>
              <w:jc w:val="center"/>
              <w:rPr>
                <w:rFonts w:ascii="Times New Roman" w:hAnsi="Times New Roman" w:cs="Times New Roman"/>
              </w:rPr>
            </w:pPr>
            <w:r>
              <w:rPr>
                <w:rFonts w:ascii="Times New Roman" w:hAnsi="Times New Roman" w:cs="Times New Roman"/>
              </w:rPr>
              <w:t>2022</w:t>
            </w:r>
          </w:p>
        </w:tc>
        <w:tc>
          <w:tcPr>
            <w:tcW w:w="0" w:type="auto"/>
          </w:tcPr>
          <w:p w14:paraId="76C5CBF3">
            <w:pPr>
              <w:spacing w:line="240" w:lineRule="auto"/>
              <w:jc w:val="center"/>
              <w:rPr>
                <w:rFonts w:ascii="Times New Roman" w:hAnsi="Times New Roman" w:cs="Times New Roman"/>
              </w:rPr>
            </w:pPr>
            <w:r>
              <w:rPr>
                <w:rFonts w:ascii="Times New Roman" w:hAnsi="Times New Roman" w:cs="Times New Roman"/>
              </w:rPr>
              <w:t>119,678</w:t>
            </w:r>
          </w:p>
        </w:tc>
        <w:tc>
          <w:tcPr>
            <w:tcW w:w="0" w:type="auto"/>
          </w:tcPr>
          <w:p w14:paraId="47639E03">
            <w:pPr>
              <w:spacing w:line="240" w:lineRule="auto"/>
              <w:jc w:val="center"/>
              <w:rPr>
                <w:rFonts w:ascii="Times New Roman" w:hAnsi="Times New Roman" w:cs="Times New Roman"/>
              </w:rPr>
            </w:pPr>
            <w:r>
              <w:rPr>
                <w:rFonts w:ascii="Times New Roman" w:hAnsi="Times New Roman" w:cs="Times New Roman"/>
              </w:rPr>
              <w:t>390,459</w:t>
            </w:r>
          </w:p>
        </w:tc>
        <w:tc>
          <w:tcPr>
            <w:tcW w:w="0" w:type="auto"/>
          </w:tcPr>
          <w:p w14:paraId="16D81260">
            <w:pPr>
              <w:spacing w:line="240" w:lineRule="auto"/>
              <w:jc w:val="center"/>
              <w:rPr>
                <w:rFonts w:ascii="Times New Roman" w:hAnsi="Times New Roman" w:cs="Times New Roman"/>
              </w:rPr>
            </w:pPr>
            <w:r>
              <w:rPr>
                <w:rFonts w:ascii="Times New Roman" w:hAnsi="Times New Roman" w:cs="Times New Roman"/>
              </w:rPr>
              <w:t>1,069</w:t>
            </w:r>
          </w:p>
        </w:tc>
        <w:tc>
          <w:tcPr>
            <w:tcW w:w="0" w:type="auto"/>
          </w:tcPr>
          <w:p w14:paraId="57CFF846">
            <w:pPr>
              <w:spacing w:line="240" w:lineRule="auto"/>
              <w:jc w:val="center"/>
              <w:rPr>
                <w:rFonts w:ascii="Times New Roman" w:hAnsi="Times New Roman" w:cs="Times New Roman"/>
              </w:rPr>
            </w:pPr>
            <w:r>
              <w:rPr>
                <w:rStyle w:val="36"/>
                <w:rFonts w:ascii="Times New Roman" w:hAnsi="Times New Roman" w:cs="Times New Roman"/>
              </w:rPr>
              <w:t>112 days</w:t>
            </w:r>
          </w:p>
        </w:tc>
      </w:tr>
      <w:tr w14:paraId="346A2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0" w:type="auto"/>
          </w:tcPr>
          <w:p w14:paraId="3CB1472F">
            <w:pPr>
              <w:spacing w:line="240" w:lineRule="auto"/>
              <w:jc w:val="center"/>
              <w:rPr>
                <w:rFonts w:ascii="Times New Roman" w:hAnsi="Times New Roman" w:cs="Times New Roman"/>
              </w:rPr>
            </w:pPr>
            <w:r>
              <w:rPr>
                <w:rFonts w:ascii="Times New Roman" w:hAnsi="Times New Roman" w:cs="Times New Roman"/>
              </w:rPr>
              <w:t>2023</w:t>
            </w:r>
          </w:p>
        </w:tc>
        <w:tc>
          <w:tcPr>
            <w:tcW w:w="0" w:type="auto"/>
          </w:tcPr>
          <w:p w14:paraId="4953C0AB">
            <w:pPr>
              <w:spacing w:line="240" w:lineRule="auto"/>
              <w:jc w:val="center"/>
              <w:rPr>
                <w:rFonts w:ascii="Times New Roman" w:hAnsi="Times New Roman" w:cs="Times New Roman"/>
              </w:rPr>
            </w:pPr>
            <w:r>
              <w:rPr>
                <w:rFonts w:ascii="Times New Roman" w:hAnsi="Times New Roman" w:cs="Times New Roman"/>
              </w:rPr>
              <w:t>93,620</w:t>
            </w:r>
          </w:p>
        </w:tc>
        <w:tc>
          <w:tcPr>
            <w:tcW w:w="0" w:type="auto"/>
          </w:tcPr>
          <w:p w14:paraId="54984AA2">
            <w:pPr>
              <w:spacing w:line="240" w:lineRule="auto"/>
              <w:jc w:val="center"/>
              <w:rPr>
                <w:rFonts w:ascii="Times New Roman" w:hAnsi="Times New Roman" w:cs="Times New Roman"/>
              </w:rPr>
            </w:pPr>
            <w:r>
              <w:rPr>
                <w:rFonts w:ascii="Times New Roman" w:hAnsi="Times New Roman" w:cs="Times New Roman"/>
              </w:rPr>
              <w:t>322,897</w:t>
            </w:r>
          </w:p>
        </w:tc>
        <w:tc>
          <w:tcPr>
            <w:tcW w:w="0" w:type="auto"/>
          </w:tcPr>
          <w:p w14:paraId="2AAC4C89">
            <w:pPr>
              <w:spacing w:line="240" w:lineRule="auto"/>
              <w:jc w:val="center"/>
              <w:rPr>
                <w:rFonts w:ascii="Times New Roman" w:hAnsi="Times New Roman" w:cs="Times New Roman"/>
              </w:rPr>
            </w:pPr>
            <w:r>
              <w:rPr>
                <w:rFonts w:ascii="Times New Roman" w:hAnsi="Times New Roman" w:cs="Times New Roman"/>
              </w:rPr>
              <w:t>885</w:t>
            </w:r>
          </w:p>
        </w:tc>
        <w:tc>
          <w:tcPr>
            <w:tcW w:w="0" w:type="auto"/>
          </w:tcPr>
          <w:p w14:paraId="7D1138E7">
            <w:pPr>
              <w:spacing w:line="240" w:lineRule="auto"/>
              <w:jc w:val="center"/>
              <w:rPr>
                <w:rFonts w:ascii="Times New Roman" w:hAnsi="Times New Roman" w:cs="Times New Roman"/>
              </w:rPr>
            </w:pPr>
            <w:r>
              <w:rPr>
                <w:rStyle w:val="36"/>
                <w:rFonts w:ascii="Times New Roman" w:hAnsi="Times New Roman" w:cs="Times New Roman"/>
              </w:rPr>
              <w:t>106 days</w:t>
            </w:r>
          </w:p>
        </w:tc>
      </w:tr>
      <w:tr w14:paraId="0741F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0" w:type="auto"/>
          </w:tcPr>
          <w:p w14:paraId="2ADA3FDD">
            <w:pPr>
              <w:spacing w:line="240" w:lineRule="auto"/>
              <w:jc w:val="center"/>
              <w:rPr>
                <w:rFonts w:ascii="Times New Roman" w:hAnsi="Times New Roman" w:cs="Times New Roman"/>
              </w:rPr>
            </w:pPr>
            <w:r>
              <w:rPr>
                <w:rFonts w:ascii="Times New Roman" w:hAnsi="Times New Roman" w:cs="Times New Roman"/>
              </w:rPr>
              <w:t>2024</w:t>
            </w:r>
          </w:p>
        </w:tc>
        <w:tc>
          <w:tcPr>
            <w:tcW w:w="0" w:type="auto"/>
          </w:tcPr>
          <w:p w14:paraId="7E7FEE39">
            <w:pPr>
              <w:spacing w:line="240" w:lineRule="auto"/>
              <w:jc w:val="center"/>
              <w:rPr>
                <w:rFonts w:ascii="Times New Roman" w:hAnsi="Times New Roman" w:cs="Times New Roman"/>
              </w:rPr>
            </w:pPr>
            <w:r>
              <w:rPr>
                <w:rFonts w:ascii="Times New Roman" w:hAnsi="Times New Roman" w:cs="Times New Roman"/>
              </w:rPr>
              <w:t>92,357</w:t>
            </w:r>
          </w:p>
        </w:tc>
        <w:tc>
          <w:tcPr>
            <w:tcW w:w="0" w:type="auto"/>
          </w:tcPr>
          <w:p w14:paraId="11B340E6">
            <w:pPr>
              <w:spacing w:line="240" w:lineRule="auto"/>
              <w:jc w:val="center"/>
              <w:rPr>
                <w:rFonts w:ascii="Times New Roman" w:hAnsi="Times New Roman" w:cs="Times New Roman"/>
              </w:rPr>
            </w:pPr>
            <w:r>
              <w:rPr>
                <w:rFonts w:ascii="Times New Roman" w:hAnsi="Times New Roman" w:cs="Times New Roman"/>
              </w:rPr>
              <w:t>280,885</w:t>
            </w:r>
          </w:p>
        </w:tc>
        <w:tc>
          <w:tcPr>
            <w:tcW w:w="0" w:type="auto"/>
          </w:tcPr>
          <w:p w14:paraId="3FBAAA0C">
            <w:pPr>
              <w:spacing w:line="240" w:lineRule="auto"/>
              <w:jc w:val="center"/>
              <w:rPr>
                <w:rFonts w:ascii="Times New Roman" w:hAnsi="Times New Roman" w:cs="Times New Roman"/>
              </w:rPr>
            </w:pPr>
            <w:r>
              <w:rPr>
                <w:rFonts w:ascii="Times New Roman" w:hAnsi="Times New Roman" w:cs="Times New Roman"/>
              </w:rPr>
              <w:t>769</w:t>
            </w:r>
          </w:p>
        </w:tc>
        <w:tc>
          <w:tcPr>
            <w:tcW w:w="0" w:type="auto"/>
          </w:tcPr>
          <w:p w14:paraId="6DF9BDB8">
            <w:pPr>
              <w:spacing w:line="240" w:lineRule="auto"/>
              <w:jc w:val="center"/>
              <w:rPr>
                <w:rFonts w:ascii="Times New Roman" w:hAnsi="Times New Roman" w:cs="Times New Roman"/>
              </w:rPr>
            </w:pPr>
            <w:r>
              <w:rPr>
                <w:rStyle w:val="36"/>
                <w:rFonts w:ascii="Times New Roman" w:hAnsi="Times New Roman" w:cs="Times New Roman"/>
              </w:rPr>
              <w:t>120 days</w:t>
            </w:r>
          </w:p>
        </w:tc>
      </w:tr>
    </w:tbl>
    <w:p w14:paraId="796AC68D">
      <w:pPr>
        <w:rPr>
          <w:rFonts w:ascii="Times New Roman" w:hAnsi="Times New Roman" w:cs="Times New Roman"/>
        </w:rPr>
      </w:pPr>
    </w:p>
    <w:p w14:paraId="2D48A75F">
      <w:pPr>
        <w:rPr>
          <w:rFonts w:ascii="Times New Roman" w:hAnsi="Times New Roman" w:cs="Times New Roman"/>
        </w:rPr>
      </w:pPr>
      <w:r>
        <w:rPr>
          <w:rFonts w:ascii="Times New Roman" w:hAnsi="Times New Roman" w:cs="Times New Roman"/>
        </w:rPr>
        <w:t xml:space="preserve">Table 21: </w:t>
      </w:r>
      <w:r>
        <w:rPr>
          <w:rStyle w:val="36"/>
          <w:rFonts w:ascii="Times New Roman" w:hAnsi="Times New Roman" w:cs="Times New Roman"/>
          <w:sz w:val="28"/>
          <w:szCs w:val="28"/>
        </w:rPr>
        <w:t>Cash Operating Cycle (COC) Table</w:t>
      </w:r>
    </w:p>
    <w:tbl>
      <w:tblPr>
        <w:tblStyle w:val="38"/>
        <w:tblW w:w="8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1821"/>
        <w:gridCol w:w="1947"/>
        <w:gridCol w:w="1964"/>
        <w:gridCol w:w="2000"/>
      </w:tblGrid>
      <w:tr w14:paraId="1B596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0" w:type="auto"/>
          </w:tcPr>
          <w:p w14:paraId="5073CC61">
            <w:pPr>
              <w:spacing w:line="240" w:lineRule="auto"/>
              <w:jc w:val="center"/>
              <w:rPr>
                <w:rFonts w:ascii="Times New Roman" w:hAnsi="Times New Roman" w:cs="Times New Roman"/>
                <w:b/>
                <w:bCs/>
              </w:rPr>
            </w:pPr>
            <w:r>
              <w:rPr>
                <w:rFonts w:ascii="Times New Roman" w:hAnsi="Times New Roman" w:cs="Times New Roman"/>
                <w:b/>
                <w:bCs/>
              </w:rPr>
              <w:t>Year</w:t>
            </w:r>
          </w:p>
        </w:tc>
        <w:tc>
          <w:tcPr>
            <w:tcW w:w="0" w:type="auto"/>
          </w:tcPr>
          <w:p w14:paraId="6CCD3BEF">
            <w:pPr>
              <w:spacing w:line="240" w:lineRule="auto"/>
              <w:jc w:val="center"/>
              <w:rPr>
                <w:rFonts w:ascii="Times New Roman" w:hAnsi="Times New Roman" w:cs="Times New Roman"/>
                <w:b/>
                <w:bCs/>
              </w:rPr>
            </w:pPr>
            <w:r>
              <w:rPr>
                <w:rFonts w:ascii="Times New Roman" w:hAnsi="Times New Roman" w:cs="Times New Roman"/>
                <w:b/>
                <w:bCs/>
              </w:rPr>
              <w:t>DSI (Days)</w:t>
            </w:r>
          </w:p>
        </w:tc>
        <w:tc>
          <w:tcPr>
            <w:tcW w:w="0" w:type="auto"/>
          </w:tcPr>
          <w:p w14:paraId="675DC00B">
            <w:pPr>
              <w:spacing w:line="240" w:lineRule="auto"/>
              <w:jc w:val="center"/>
              <w:rPr>
                <w:rFonts w:ascii="Times New Roman" w:hAnsi="Times New Roman" w:cs="Times New Roman"/>
                <w:b/>
                <w:bCs/>
              </w:rPr>
            </w:pPr>
            <w:r>
              <w:rPr>
                <w:rFonts w:ascii="Times New Roman" w:hAnsi="Times New Roman" w:cs="Times New Roman"/>
                <w:b/>
                <w:bCs/>
              </w:rPr>
              <w:t>DSO (Days)</w:t>
            </w:r>
          </w:p>
        </w:tc>
        <w:tc>
          <w:tcPr>
            <w:tcW w:w="0" w:type="auto"/>
          </w:tcPr>
          <w:p w14:paraId="562D0128">
            <w:pPr>
              <w:spacing w:line="240" w:lineRule="auto"/>
              <w:jc w:val="center"/>
              <w:rPr>
                <w:rFonts w:ascii="Times New Roman" w:hAnsi="Times New Roman" w:cs="Times New Roman"/>
                <w:b/>
                <w:bCs/>
              </w:rPr>
            </w:pPr>
            <w:r>
              <w:rPr>
                <w:rFonts w:ascii="Times New Roman" w:hAnsi="Times New Roman" w:cs="Times New Roman"/>
                <w:b/>
                <w:bCs/>
              </w:rPr>
              <w:t>DPO (Days)</w:t>
            </w:r>
          </w:p>
        </w:tc>
        <w:tc>
          <w:tcPr>
            <w:tcW w:w="0" w:type="auto"/>
          </w:tcPr>
          <w:p w14:paraId="5B18A676">
            <w:pPr>
              <w:spacing w:line="240" w:lineRule="auto"/>
              <w:jc w:val="center"/>
              <w:rPr>
                <w:rFonts w:ascii="Times New Roman" w:hAnsi="Times New Roman" w:cs="Times New Roman"/>
                <w:b/>
                <w:bCs/>
              </w:rPr>
            </w:pPr>
            <w:r>
              <w:rPr>
                <w:rFonts w:ascii="Times New Roman" w:hAnsi="Times New Roman" w:cs="Times New Roman"/>
                <w:b/>
                <w:bCs/>
              </w:rPr>
              <w:t>COC (Days)</w:t>
            </w:r>
          </w:p>
        </w:tc>
      </w:tr>
      <w:tr w14:paraId="6F3DB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0" w:type="auto"/>
          </w:tcPr>
          <w:p w14:paraId="257A0B1B">
            <w:pPr>
              <w:spacing w:line="240" w:lineRule="auto"/>
              <w:jc w:val="center"/>
              <w:rPr>
                <w:rFonts w:ascii="Times New Roman" w:hAnsi="Times New Roman" w:cs="Times New Roman"/>
              </w:rPr>
            </w:pPr>
            <w:r>
              <w:rPr>
                <w:rFonts w:ascii="Times New Roman" w:hAnsi="Times New Roman" w:cs="Times New Roman"/>
              </w:rPr>
              <w:t>2020</w:t>
            </w:r>
          </w:p>
        </w:tc>
        <w:tc>
          <w:tcPr>
            <w:tcW w:w="0" w:type="auto"/>
          </w:tcPr>
          <w:p w14:paraId="7B2CAEE2">
            <w:pPr>
              <w:spacing w:line="240" w:lineRule="auto"/>
              <w:jc w:val="center"/>
              <w:rPr>
                <w:rFonts w:ascii="Times New Roman" w:hAnsi="Times New Roman" w:cs="Times New Roman"/>
              </w:rPr>
            </w:pPr>
            <w:r>
              <w:rPr>
                <w:rFonts w:ascii="Times New Roman" w:hAnsi="Times New Roman" w:cs="Times New Roman"/>
              </w:rPr>
              <w:t>100</w:t>
            </w:r>
          </w:p>
        </w:tc>
        <w:tc>
          <w:tcPr>
            <w:tcW w:w="0" w:type="auto"/>
          </w:tcPr>
          <w:p w14:paraId="07F9CC08">
            <w:pPr>
              <w:spacing w:line="240" w:lineRule="auto"/>
              <w:jc w:val="center"/>
              <w:rPr>
                <w:rFonts w:ascii="Times New Roman" w:hAnsi="Times New Roman" w:cs="Times New Roman"/>
              </w:rPr>
            </w:pPr>
            <w:r>
              <w:rPr>
                <w:rFonts w:ascii="Times New Roman" w:hAnsi="Times New Roman" w:cs="Times New Roman"/>
              </w:rPr>
              <w:t>77</w:t>
            </w:r>
          </w:p>
        </w:tc>
        <w:tc>
          <w:tcPr>
            <w:tcW w:w="0" w:type="auto"/>
          </w:tcPr>
          <w:p w14:paraId="5275D695">
            <w:pPr>
              <w:spacing w:line="240" w:lineRule="auto"/>
              <w:jc w:val="center"/>
              <w:rPr>
                <w:rFonts w:ascii="Times New Roman" w:hAnsi="Times New Roman" w:cs="Times New Roman"/>
              </w:rPr>
            </w:pPr>
            <w:r>
              <w:rPr>
                <w:rFonts w:ascii="Times New Roman" w:hAnsi="Times New Roman" w:cs="Times New Roman"/>
              </w:rPr>
              <w:t>87</w:t>
            </w:r>
          </w:p>
        </w:tc>
        <w:tc>
          <w:tcPr>
            <w:tcW w:w="0" w:type="auto"/>
          </w:tcPr>
          <w:p w14:paraId="6910C83F">
            <w:pPr>
              <w:spacing w:line="240" w:lineRule="auto"/>
              <w:jc w:val="center"/>
              <w:rPr>
                <w:rFonts w:ascii="Times New Roman" w:hAnsi="Times New Roman" w:cs="Times New Roman"/>
              </w:rPr>
            </w:pPr>
            <w:r>
              <w:rPr>
                <w:rStyle w:val="36"/>
                <w:rFonts w:ascii="Times New Roman" w:hAnsi="Times New Roman" w:cs="Times New Roman"/>
              </w:rPr>
              <w:t>90 days</w:t>
            </w:r>
          </w:p>
        </w:tc>
      </w:tr>
      <w:tr w14:paraId="505E1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0" w:type="auto"/>
          </w:tcPr>
          <w:p w14:paraId="3E9C8646">
            <w:pPr>
              <w:spacing w:line="240" w:lineRule="auto"/>
              <w:jc w:val="center"/>
              <w:rPr>
                <w:rFonts w:ascii="Times New Roman" w:hAnsi="Times New Roman" w:cs="Times New Roman"/>
              </w:rPr>
            </w:pPr>
            <w:r>
              <w:rPr>
                <w:rFonts w:ascii="Times New Roman" w:hAnsi="Times New Roman" w:cs="Times New Roman"/>
              </w:rPr>
              <w:t>2021</w:t>
            </w:r>
          </w:p>
        </w:tc>
        <w:tc>
          <w:tcPr>
            <w:tcW w:w="0" w:type="auto"/>
          </w:tcPr>
          <w:p w14:paraId="6F1DCB0F">
            <w:pPr>
              <w:spacing w:line="240" w:lineRule="auto"/>
              <w:jc w:val="center"/>
              <w:rPr>
                <w:rFonts w:ascii="Times New Roman" w:hAnsi="Times New Roman" w:cs="Times New Roman"/>
              </w:rPr>
            </w:pPr>
            <w:r>
              <w:rPr>
                <w:rFonts w:ascii="Times New Roman" w:hAnsi="Times New Roman" w:cs="Times New Roman"/>
              </w:rPr>
              <w:t>114</w:t>
            </w:r>
          </w:p>
        </w:tc>
        <w:tc>
          <w:tcPr>
            <w:tcW w:w="0" w:type="auto"/>
          </w:tcPr>
          <w:p w14:paraId="28AE539F">
            <w:pPr>
              <w:spacing w:line="240" w:lineRule="auto"/>
              <w:jc w:val="center"/>
              <w:rPr>
                <w:rFonts w:ascii="Times New Roman" w:hAnsi="Times New Roman" w:cs="Times New Roman"/>
              </w:rPr>
            </w:pPr>
            <w:r>
              <w:rPr>
                <w:rFonts w:ascii="Times New Roman" w:hAnsi="Times New Roman" w:cs="Times New Roman"/>
              </w:rPr>
              <w:t>79</w:t>
            </w:r>
          </w:p>
        </w:tc>
        <w:tc>
          <w:tcPr>
            <w:tcW w:w="0" w:type="auto"/>
          </w:tcPr>
          <w:p w14:paraId="0AD46318">
            <w:pPr>
              <w:spacing w:line="240" w:lineRule="auto"/>
              <w:jc w:val="center"/>
              <w:rPr>
                <w:rFonts w:ascii="Times New Roman" w:hAnsi="Times New Roman" w:cs="Times New Roman"/>
              </w:rPr>
            </w:pPr>
            <w:r>
              <w:rPr>
                <w:rFonts w:ascii="Times New Roman" w:hAnsi="Times New Roman" w:cs="Times New Roman"/>
              </w:rPr>
              <w:t>105</w:t>
            </w:r>
          </w:p>
        </w:tc>
        <w:tc>
          <w:tcPr>
            <w:tcW w:w="0" w:type="auto"/>
          </w:tcPr>
          <w:p w14:paraId="59B6DEF8">
            <w:pPr>
              <w:spacing w:line="240" w:lineRule="auto"/>
              <w:jc w:val="center"/>
              <w:rPr>
                <w:rFonts w:ascii="Times New Roman" w:hAnsi="Times New Roman" w:cs="Times New Roman"/>
              </w:rPr>
            </w:pPr>
            <w:r>
              <w:rPr>
                <w:rStyle w:val="36"/>
                <w:rFonts w:ascii="Times New Roman" w:hAnsi="Times New Roman" w:cs="Times New Roman"/>
              </w:rPr>
              <w:t>88 days</w:t>
            </w:r>
          </w:p>
        </w:tc>
      </w:tr>
      <w:tr w14:paraId="69F51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0" w:type="auto"/>
          </w:tcPr>
          <w:p w14:paraId="4228A022">
            <w:pPr>
              <w:spacing w:line="240" w:lineRule="auto"/>
              <w:jc w:val="center"/>
              <w:rPr>
                <w:rFonts w:ascii="Times New Roman" w:hAnsi="Times New Roman" w:cs="Times New Roman"/>
              </w:rPr>
            </w:pPr>
            <w:r>
              <w:rPr>
                <w:rFonts w:ascii="Times New Roman" w:hAnsi="Times New Roman" w:cs="Times New Roman"/>
              </w:rPr>
              <w:t>2022</w:t>
            </w:r>
          </w:p>
        </w:tc>
        <w:tc>
          <w:tcPr>
            <w:tcW w:w="0" w:type="auto"/>
          </w:tcPr>
          <w:p w14:paraId="482B8E91">
            <w:pPr>
              <w:spacing w:line="240" w:lineRule="auto"/>
              <w:jc w:val="center"/>
              <w:rPr>
                <w:rFonts w:ascii="Times New Roman" w:hAnsi="Times New Roman" w:cs="Times New Roman"/>
              </w:rPr>
            </w:pPr>
            <w:r>
              <w:rPr>
                <w:rFonts w:ascii="Times New Roman" w:hAnsi="Times New Roman" w:cs="Times New Roman"/>
              </w:rPr>
              <w:t>131</w:t>
            </w:r>
          </w:p>
        </w:tc>
        <w:tc>
          <w:tcPr>
            <w:tcW w:w="0" w:type="auto"/>
          </w:tcPr>
          <w:p w14:paraId="70C958DD">
            <w:pPr>
              <w:spacing w:line="240" w:lineRule="auto"/>
              <w:jc w:val="center"/>
              <w:rPr>
                <w:rFonts w:ascii="Times New Roman" w:hAnsi="Times New Roman" w:cs="Times New Roman"/>
              </w:rPr>
            </w:pPr>
            <w:r>
              <w:rPr>
                <w:rFonts w:ascii="Times New Roman" w:hAnsi="Times New Roman" w:cs="Times New Roman"/>
              </w:rPr>
              <w:t>76</w:t>
            </w:r>
          </w:p>
        </w:tc>
        <w:tc>
          <w:tcPr>
            <w:tcW w:w="0" w:type="auto"/>
          </w:tcPr>
          <w:p w14:paraId="2A676628">
            <w:pPr>
              <w:spacing w:line="240" w:lineRule="auto"/>
              <w:jc w:val="center"/>
              <w:rPr>
                <w:rFonts w:ascii="Times New Roman" w:hAnsi="Times New Roman" w:cs="Times New Roman"/>
              </w:rPr>
            </w:pPr>
            <w:r>
              <w:rPr>
                <w:rFonts w:ascii="Times New Roman" w:hAnsi="Times New Roman" w:cs="Times New Roman"/>
              </w:rPr>
              <w:t>112</w:t>
            </w:r>
          </w:p>
        </w:tc>
        <w:tc>
          <w:tcPr>
            <w:tcW w:w="0" w:type="auto"/>
          </w:tcPr>
          <w:p w14:paraId="474E9DC4">
            <w:pPr>
              <w:spacing w:line="240" w:lineRule="auto"/>
              <w:jc w:val="center"/>
              <w:rPr>
                <w:rFonts w:ascii="Times New Roman" w:hAnsi="Times New Roman" w:cs="Times New Roman"/>
              </w:rPr>
            </w:pPr>
            <w:r>
              <w:rPr>
                <w:rStyle w:val="36"/>
                <w:rFonts w:ascii="Times New Roman" w:hAnsi="Times New Roman" w:cs="Times New Roman"/>
              </w:rPr>
              <w:t>95 days</w:t>
            </w:r>
          </w:p>
        </w:tc>
      </w:tr>
      <w:tr w14:paraId="2E03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0" w:type="auto"/>
          </w:tcPr>
          <w:p w14:paraId="7F651BC4">
            <w:pPr>
              <w:spacing w:line="240" w:lineRule="auto"/>
              <w:jc w:val="center"/>
              <w:rPr>
                <w:rFonts w:ascii="Times New Roman" w:hAnsi="Times New Roman" w:cs="Times New Roman"/>
              </w:rPr>
            </w:pPr>
            <w:r>
              <w:rPr>
                <w:rFonts w:ascii="Times New Roman" w:hAnsi="Times New Roman" w:cs="Times New Roman"/>
              </w:rPr>
              <w:t>2023</w:t>
            </w:r>
          </w:p>
        </w:tc>
        <w:tc>
          <w:tcPr>
            <w:tcW w:w="0" w:type="auto"/>
          </w:tcPr>
          <w:p w14:paraId="678656FD">
            <w:pPr>
              <w:spacing w:line="240" w:lineRule="auto"/>
              <w:jc w:val="center"/>
              <w:rPr>
                <w:rFonts w:ascii="Times New Roman" w:hAnsi="Times New Roman" w:cs="Times New Roman"/>
              </w:rPr>
            </w:pPr>
            <w:r>
              <w:rPr>
                <w:rFonts w:ascii="Times New Roman" w:hAnsi="Times New Roman" w:cs="Times New Roman"/>
              </w:rPr>
              <w:t>100</w:t>
            </w:r>
          </w:p>
        </w:tc>
        <w:tc>
          <w:tcPr>
            <w:tcW w:w="0" w:type="auto"/>
          </w:tcPr>
          <w:p w14:paraId="4D299D17">
            <w:pPr>
              <w:spacing w:line="240" w:lineRule="auto"/>
              <w:jc w:val="center"/>
              <w:rPr>
                <w:rFonts w:ascii="Times New Roman" w:hAnsi="Times New Roman" w:cs="Times New Roman"/>
              </w:rPr>
            </w:pPr>
            <w:r>
              <w:rPr>
                <w:rFonts w:ascii="Times New Roman" w:hAnsi="Times New Roman" w:cs="Times New Roman"/>
              </w:rPr>
              <w:t>98</w:t>
            </w:r>
          </w:p>
        </w:tc>
        <w:tc>
          <w:tcPr>
            <w:tcW w:w="0" w:type="auto"/>
          </w:tcPr>
          <w:p w14:paraId="77B822F0">
            <w:pPr>
              <w:spacing w:line="240" w:lineRule="auto"/>
              <w:jc w:val="center"/>
              <w:rPr>
                <w:rFonts w:ascii="Times New Roman" w:hAnsi="Times New Roman" w:cs="Times New Roman"/>
              </w:rPr>
            </w:pPr>
            <w:r>
              <w:rPr>
                <w:rFonts w:ascii="Times New Roman" w:hAnsi="Times New Roman" w:cs="Times New Roman"/>
              </w:rPr>
              <w:t>106</w:t>
            </w:r>
          </w:p>
        </w:tc>
        <w:tc>
          <w:tcPr>
            <w:tcW w:w="0" w:type="auto"/>
          </w:tcPr>
          <w:p w14:paraId="1388574B">
            <w:pPr>
              <w:spacing w:line="240" w:lineRule="auto"/>
              <w:jc w:val="center"/>
              <w:rPr>
                <w:rFonts w:ascii="Times New Roman" w:hAnsi="Times New Roman" w:cs="Times New Roman"/>
              </w:rPr>
            </w:pPr>
            <w:r>
              <w:rPr>
                <w:rStyle w:val="36"/>
                <w:rFonts w:ascii="Times New Roman" w:hAnsi="Times New Roman" w:cs="Times New Roman"/>
              </w:rPr>
              <w:t>92 days</w:t>
            </w:r>
          </w:p>
        </w:tc>
      </w:tr>
      <w:tr w14:paraId="4543B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0" w:type="auto"/>
          </w:tcPr>
          <w:p w14:paraId="57804B1D">
            <w:pPr>
              <w:spacing w:line="240" w:lineRule="auto"/>
              <w:jc w:val="center"/>
              <w:rPr>
                <w:rFonts w:ascii="Times New Roman" w:hAnsi="Times New Roman" w:cs="Times New Roman"/>
              </w:rPr>
            </w:pPr>
            <w:r>
              <w:rPr>
                <w:rFonts w:ascii="Times New Roman" w:hAnsi="Times New Roman" w:cs="Times New Roman"/>
              </w:rPr>
              <w:t>2024</w:t>
            </w:r>
          </w:p>
        </w:tc>
        <w:tc>
          <w:tcPr>
            <w:tcW w:w="0" w:type="auto"/>
          </w:tcPr>
          <w:p w14:paraId="01204ECF">
            <w:pPr>
              <w:spacing w:line="240" w:lineRule="auto"/>
              <w:jc w:val="center"/>
              <w:rPr>
                <w:rFonts w:ascii="Times New Roman" w:hAnsi="Times New Roman" w:cs="Times New Roman"/>
              </w:rPr>
            </w:pPr>
            <w:r>
              <w:rPr>
                <w:rFonts w:ascii="Times New Roman" w:hAnsi="Times New Roman" w:cs="Times New Roman"/>
              </w:rPr>
              <w:t>103</w:t>
            </w:r>
          </w:p>
        </w:tc>
        <w:tc>
          <w:tcPr>
            <w:tcW w:w="0" w:type="auto"/>
          </w:tcPr>
          <w:p w14:paraId="11C48E3C">
            <w:pPr>
              <w:spacing w:line="240" w:lineRule="auto"/>
              <w:jc w:val="center"/>
              <w:rPr>
                <w:rFonts w:ascii="Times New Roman" w:hAnsi="Times New Roman" w:cs="Times New Roman"/>
              </w:rPr>
            </w:pPr>
            <w:r>
              <w:rPr>
                <w:rFonts w:ascii="Times New Roman" w:hAnsi="Times New Roman" w:cs="Times New Roman"/>
              </w:rPr>
              <w:t>105</w:t>
            </w:r>
          </w:p>
        </w:tc>
        <w:tc>
          <w:tcPr>
            <w:tcW w:w="0" w:type="auto"/>
          </w:tcPr>
          <w:p w14:paraId="65328F98">
            <w:pPr>
              <w:spacing w:line="240" w:lineRule="auto"/>
              <w:jc w:val="center"/>
              <w:rPr>
                <w:rFonts w:ascii="Times New Roman" w:hAnsi="Times New Roman" w:cs="Times New Roman"/>
              </w:rPr>
            </w:pPr>
            <w:r>
              <w:rPr>
                <w:rFonts w:ascii="Times New Roman" w:hAnsi="Times New Roman" w:cs="Times New Roman"/>
              </w:rPr>
              <w:t>120</w:t>
            </w:r>
          </w:p>
        </w:tc>
        <w:tc>
          <w:tcPr>
            <w:tcW w:w="0" w:type="auto"/>
          </w:tcPr>
          <w:p w14:paraId="2B810845">
            <w:pPr>
              <w:spacing w:line="240" w:lineRule="auto"/>
              <w:jc w:val="center"/>
              <w:rPr>
                <w:rFonts w:ascii="Times New Roman" w:hAnsi="Times New Roman" w:cs="Times New Roman"/>
              </w:rPr>
            </w:pPr>
            <w:r>
              <w:rPr>
                <w:rStyle w:val="36"/>
                <w:rFonts w:ascii="Times New Roman" w:hAnsi="Times New Roman" w:cs="Times New Roman"/>
              </w:rPr>
              <w:t>88 days</w:t>
            </w:r>
          </w:p>
        </w:tc>
      </w:tr>
    </w:tbl>
    <w:p w14:paraId="47274D45">
      <w:pPr>
        <w:rPr>
          <w:rFonts w:ascii="Times New Roman" w:hAnsi="Times New Roman" w:cs="Times New Roman"/>
        </w:rPr>
      </w:pPr>
    </w:p>
    <w:p w14:paraId="3969EE03">
      <w:pPr>
        <w:rPr>
          <w:rFonts w:ascii="Times New Roman" w:hAnsi="Times New Roman" w:cs="Times New Roman"/>
        </w:rPr>
      </w:pPr>
    </w:p>
    <w:sectPr>
      <w:footerReference r:id="rId5" w:type="default"/>
      <w:footerReference r:id="rId6"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MS Mincho">
    <w:panose1 w:val="02020609040205080304"/>
    <w:charset w:val="80"/>
    <w:family w:val="auto"/>
    <w:pitch w:val="default"/>
    <w:sig w:usb0="E00002FF" w:usb1="6AC7FDFB" w:usb2="00000012" w:usb3="00000000" w:csb0="4002009F" w:csb1="DFD70000"/>
  </w:font>
  <w:font w:name="Vrinda">
    <w:panose1 w:val="020B0502040204020203"/>
    <w:charset w:val="00"/>
    <w:family w:val="swiss"/>
    <w:pitch w:val="default"/>
    <w:sig w:usb0="00010003" w:usb1="00000000" w:usb2="00000000" w:usb3="00000000" w:csb0="00000001" w:csb1="00000000"/>
  </w:font>
  <w:font w:name="MS Gothic">
    <w:panose1 w:val="020B0609070205080204"/>
    <w:charset w:val="80"/>
    <w:family w:val="auto"/>
    <w:pitch w:val="default"/>
    <w:sig w:usb0="E00002FF" w:usb1="6AC7FDFB" w:usb2="08000012" w:usb3="00000000" w:csb0="4002009F" w:csb1="DFD70000"/>
  </w:font>
  <w:font w:name="Symbol">
    <w:panose1 w:val="05050102010706020507"/>
    <w:charset w:val="02"/>
    <w:family w:val="decorative"/>
    <w:pitch w:val="default"/>
    <w:sig w:usb0="00000000" w:usb1="00000000" w:usb2="00000000" w:usb3="00000000" w:csb0="80000000" w:csb1="00000000"/>
  </w:font>
  <w:font w:name="Courier">
    <w:altName w:val="Courier New"/>
    <w:panose1 w:val="00000000000000000000"/>
    <w:charset w:val="00"/>
    <w:family w:val="auto"/>
    <w:pitch w:val="default"/>
    <w:sig w:usb0="00000000" w:usb1="00000000" w:usb2="00000000" w:usb3="00000000" w:csb0="00000003" w:csb1="00000000"/>
  </w:font>
  <w:font w:name="Microsoft JhengHei">
    <w:panose1 w:val="020B0604030504040204"/>
    <w:charset w:val="88"/>
    <w:family w:val="swiss"/>
    <w:pitch w:val="default"/>
    <w:sig w:usb0="000002A7" w:usb1="28CF4400" w:usb2="00000016" w:usb3="00000000" w:csb0="00100009"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35"/>
      </w:rPr>
      <w:id w:val="821161363"/>
      <w:docPartObj>
        <w:docPartGallery w:val="autotext"/>
      </w:docPartObj>
    </w:sdtPr>
    <w:sdtEndPr>
      <w:rPr>
        <w:rStyle w:val="35"/>
      </w:rPr>
    </w:sdtEndPr>
    <w:sdtContent>
      <w:p w14:paraId="0BA945CB">
        <w:pPr>
          <w:pStyle w:val="18"/>
          <w:framePr w:wrap="auto" w:vAnchor="text" w:hAnchor="margin" w:xAlign="right" w:y="1"/>
          <w:rPr>
            <w:rStyle w:val="35"/>
          </w:rPr>
        </w:pPr>
        <w:r>
          <w:rPr>
            <w:rStyle w:val="35"/>
          </w:rPr>
          <w:fldChar w:fldCharType="begin"/>
        </w:r>
        <w:r>
          <w:rPr>
            <w:rStyle w:val="35"/>
          </w:rPr>
          <w:instrText xml:space="preserve"> PAGE </w:instrText>
        </w:r>
        <w:r>
          <w:rPr>
            <w:rStyle w:val="35"/>
          </w:rPr>
          <w:fldChar w:fldCharType="separate"/>
        </w:r>
        <w:r>
          <w:rPr>
            <w:rStyle w:val="35"/>
          </w:rPr>
          <w:t>1</w:t>
        </w:r>
        <w:r>
          <w:rPr>
            <w:rStyle w:val="35"/>
          </w:rPr>
          <w:fldChar w:fldCharType="end"/>
        </w:r>
      </w:p>
    </w:sdtContent>
  </w:sdt>
  <w:p w14:paraId="1778D994">
    <w:pPr>
      <w:pStyle w:val="1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35"/>
      </w:rPr>
      <w:id w:val="-1648882424"/>
      <w:docPartObj>
        <w:docPartGallery w:val="autotext"/>
      </w:docPartObj>
    </w:sdtPr>
    <w:sdtEndPr>
      <w:rPr>
        <w:rStyle w:val="35"/>
      </w:rPr>
    </w:sdtEndPr>
    <w:sdtContent>
      <w:p w14:paraId="10C1910A">
        <w:pPr>
          <w:pStyle w:val="18"/>
          <w:framePr w:wrap="auto" w:vAnchor="text" w:hAnchor="margin" w:xAlign="right" w:y="1"/>
          <w:rPr>
            <w:rStyle w:val="35"/>
          </w:rPr>
        </w:pPr>
        <w:r>
          <w:rPr>
            <w:rStyle w:val="35"/>
          </w:rPr>
          <w:fldChar w:fldCharType="begin"/>
        </w:r>
        <w:r>
          <w:rPr>
            <w:rStyle w:val="35"/>
          </w:rPr>
          <w:instrText xml:space="preserve"> PAGE </w:instrText>
        </w:r>
        <w:r>
          <w:rPr>
            <w:rStyle w:val="35"/>
          </w:rPr>
          <w:fldChar w:fldCharType="separate"/>
        </w:r>
        <w:r>
          <w:rPr>
            <w:rStyle w:val="35"/>
          </w:rPr>
          <w:fldChar w:fldCharType="end"/>
        </w:r>
      </w:p>
    </w:sdtContent>
  </w:sdt>
  <w:p w14:paraId="51989C1E">
    <w:pPr>
      <w:pStyle w:val="1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32"/>
      <w:lvlText w:val="%1."/>
      <w:lvlJc w:val="left"/>
      <w:pPr>
        <w:tabs>
          <w:tab w:val="left" w:pos="6532"/>
        </w:tabs>
        <w:ind w:left="6532" w:hanging="360"/>
      </w:pPr>
    </w:lvl>
  </w:abstractNum>
  <w:abstractNum w:abstractNumId="1">
    <w:nsid w:val="FFFFFF7F"/>
    <w:multiLevelType w:val="singleLevel"/>
    <w:tmpl w:val="FFFFFF7F"/>
    <w:lvl w:ilvl="0" w:tentative="0">
      <w:start w:val="1"/>
      <w:numFmt w:val="decimal"/>
      <w:pStyle w:val="31"/>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6"/>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5"/>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30"/>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4"/>
      <w:lvlText w:val=""/>
      <w:lvlJc w:val="left"/>
      <w:pPr>
        <w:tabs>
          <w:tab w:val="left" w:pos="360"/>
        </w:tabs>
        <w:ind w:left="360" w:hanging="360"/>
      </w:pPr>
      <w:rPr>
        <w:rFonts w:hint="default" w:ascii="Symbol" w:hAnsi="Symbol"/>
      </w:rPr>
    </w:lvl>
  </w:abstractNum>
  <w:abstractNum w:abstractNumId="6">
    <w:nsid w:val="1DA5791E"/>
    <w:multiLevelType w:val="multilevel"/>
    <w:tmpl w:val="1DA5791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21DA6269"/>
    <w:multiLevelType w:val="multilevel"/>
    <w:tmpl w:val="21DA626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28A20B3"/>
    <w:multiLevelType w:val="multilevel"/>
    <w:tmpl w:val="328A20B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41273825"/>
    <w:multiLevelType w:val="multilevel"/>
    <w:tmpl w:val="4127382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46F27753"/>
    <w:multiLevelType w:val="multilevel"/>
    <w:tmpl w:val="46F2775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47747962"/>
    <w:multiLevelType w:val="multilevel"/>
    <w:tmpl w:val="4774796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67450932"/>
    <w:multiLevelType w:val="multilevel"/>
    <w:tmpl w:val="6745093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67B43318"/>
    <w:multiLevelType w:val="multilevel"/>
    <w:tmpl w:val="67B4331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684A29F4"/>
    <w:multiLevelType w:val="multilevel"/>
    <w:tmpl w:val="684A29F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73F13383"/>
    <w:multiLevelType w:val="multilevel"/>
    <w:tmpl w:val="73F1338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14"/>
  </w:num>
  <w:num w:numId="8">
    <w:abstractNumId w:val="12"/>
  </w:num>
  <w:num w:numId="9">
    <w:abstractNumId w:val="9"/>
  </w:num>
  <w:num w:numId="10">
    <w:abstractNumId w:val="7"/>
  </w:num>
  <w:num w:numId="11">
    <w:abstractNumId w:val="11"/>
  </w:num>
  <w:num w:numId="12">
    <w:abstractNumId w:val="6"/>
  </w:num>
  <w:num w:numId="13">
    <w:abstractNumId w:val="13"/>
  </w:num>
  <w:num w:numId="14">
    <w:abstractNumId w:val="8"/>
  </w:num>
  <w:num w:numId="15">
    <w:abstractNumId w:val="1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9"/>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7396"/>
    <w:rsid w:val="00034616"/>
    <w:rsid w:val="00043CB3"/>
    <w:rsid w:val="0006063C"/>
    <w:rsid w:val="00095660"/>
    <w:rsid w:val="000B365C"/>
    <w:rsid w:val="000C1E2B"/>
    <w:rsid w:val="000D5425"/>
    <w:rsid w:val="000E13C1"/>
    <w:rsid w:val="000E7ED9"/>
    <w:rsid w:val="00116F39"/>
    <w:rsid w:val="00134C9C"/>
    <w:rsid w:val="0015074B"/>
    <w:rsid w:val="001567E7"/>
    <w:rsid w:val="001A0A7B"/>
    <w:rsid w:val="001F5A86"/>
    <w:rsid w:val="00211F68"/>
    <w:rsid w:val="0022007C"/>
    <w:rsid w:val="00232D33"/>
    <w:rsid w:val="002355E2"/>
    <w:rsid w:val="00243F78"/>
    <w:rsid w:val="002467AE"/>
    <w:rsid w:val="002629B2"/>
    <w:rsid w:val="0029149E"/>
    <w:rsid w:val="002942EB"/>
    <w:rsid w:val="00295DD0"/>
    <w:rsid w:val="0029639D"/>
    <w:rsid w:val="00297AB9"/>
    <w:rsid w:val="00326F90"/>
    <w:rsid w:val="00372D22"/>
    <w:rsid w:val="003730EB"/>
    <w:rsid w:val="003844DD"/>
    <w:rsid w:val="004125C4"/>
    <w:rsid w:val="00422E1E"/>
    <w:rsid w:val="00462976"/>
    <w:rsid w:val="00486CBE"/>
    <w:rsid w:val="004C44B1"/>
    <w:rsid w:val="004F1C4A"/>
    <w:rsid w:val="005000DC"/>
    <w:rsid w:val="00500B74"/>
    <w:rsid w:val="005058BD"/>
    <w:rsid w:val="005346A3"/>
    <w:rsid w:val="005459D2"/>
    <w:rsid w:val="00547C36"/>
    <w:rsid w:val="0055208D"/>
    <w:rsid w:val="00563578"/>
    <w:rsid w:val="00585153"/>
    <w:rsid w:val="005A4BCF"/>
    <w:rsid w:val="005B6864"/>
    <w:rsid w:val="005C3105"/>
    <w:rsid w:val="00621B78"/>
    <w:rsid w:val="00675E21"/>
    <w:rsid w:val="00691E28"/>
    <w:rsid w:val="0069341E"/>
    <w:rsid w:val="006E188A"/>
    <w:rsid w:val="006E6D87"/>
    <w:rsid w:val="00726251"/>
    <w:rsid w:val="00794A54"/>
    <w:rsid w:val="007B2418"/>
    <w:rsid w:val="00800FB3"/>
    <w:rsid w:val="00827870"/>
    <w:rsid w:val="00846041"/>
    <w:rsid w:val="00846930"/>
    <w:rsid w:val="008542BE"/>
    <w:rsid w:val="00863A09"/>
    <w:rsid w:val="008D31C8"/>
    <w:rsid w:val="009128A6"/>
    <w:rsid w:val="00920D0D"/>
    <w:rsid w:val="009260BD"/>
    <w:rsid w:val="00A137C9"/>
    <w:rsid w:val="00A42E5E"/>
    <w:rsid w:val="00A564AB"/>
    <w:rsid w:val="00A64B44"/>
    <w:rsid w:val="00AA1D8D"/>
    <w:rsid w:val="00AD5A89"/>
    <w:rsid w:val="00B14056"/>
    <w:rsid w:val="00B368A1"/>
    <w:rsid w:val="00B47730"/>
    <w:rsid w:val="00B6032C"/>
    <w:rsid w:val="00B67875"/>
    <w:rsid w:val="00BB5708"/>
    <w:rsid w:val="00C80CF1"/>
    <w:rsid w:val="00C94844"/>
    <w:rsid w:val="00CB0664"/>
    <w:rsid w:val="00CC22FA"/>
    <w:rsid w:val="00CD754F"/>
    <w:rsid w:val="00CF744E"/>
    <w:rsid w:val="00D233D5"/>
    <w:rsid w:val="00D408B5"/>
    <w:rsid w:val="00D65127"/>
    <w:rsid w:val="00D662C5"/>
    <w:rsid w:val="00DB0968"/>
    <w:rsid w:val="00DC551D"/>
    <w:rsid w:val="00DF0A9D"/>
    <w:rsid w:val="00EC2A3E"/>
    <w:rsid w:val="00EE2DE8"/>
    <w:rsid w:val="00F23FF3"/>
    <w:rsid w:val="00F40EF1"/>
    <w:rsid w:val="00F832E8"/>
    <w:rsid w:val="00F83DA0"/>
    <w:rsid w:val="00F90DC5"/>
    <w:rsid w:val="00FC101E"/>
    <w:rsid w:val="00FC693F"/>
    <w:rsid w:val="00FD7A08"/>
    <w:rsid w:val="0C3D74F1"/>
    <w:rsid w:val="4B213F03"/>
    <w:rsid w:val="6B781195"/>
    <w:rsid w:val="7427732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bidi="bn-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150"/>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1"/>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52"/>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62"/>
    <w:semiHidden/>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63"/>
    <w:semiHidden/>
    <w:unhideWhenUsed/>
    <w:qFormat/>
    <w:uiPriority w:val="9"/>
    <w:pPr>
      <w:keepNext/>
      <w:keepLines/>
      <w:spacing w:before="20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64"/>
    <w:semiHidden/>
    <w:unhideWhenUsed/>
    <w:qFormat/>
    <w:uiPriority w:val="9"/>
    <w:pPr>
      <w:keepNext/>
      <w:keepLines/>
      <w:spacing w:before="20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65"/>
    <w:semiHidden/>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66"/>
    <w:semiHidden/>
    <w:unhideWhenUsed/>
    <w:qFormat/>
    <w:uiPriority w:val="9"/>
    <w:pPr>
      <w:keepNext/>
      <w:keepLines/>
      <w:spacing w:before="20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67"/>
    <w:semiHidden/>
    <w:unhideWhenUsed/>
    <w:qFormat/>
    <w:uiPriority w:val="9"/>
    <w:pPr>
      <w:keepNext/>
      <w:keepLines/>
      <w:spacing w:before="20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link w:val="156"/>
    <w:unhideWhenUsed/>
    <w:qFormat/>
    <w:uiPriority w:val="99"/>
    <w:pPr>
      <w:spacing w:after="120"/>
    </w:pPr>
  </w:style>
  <w:style w:type="paragraph" w:styleId="14">
    <w:name w:val="Body Text 2"/>
    <w:basedOn w:val="1"/>
    <w:link w:val="157"/>
    <w:unhideWhenUsed/>
    <w:qFormat/>
    <w:uiPriority w:val="99"/>
    <w:pPr>
      <w:spacing w:after="120" w:line="480" w:lineRule="auto"/>
    </w:pPr>
  </w:style>
  <w:style w:type="paragraph" w:styleId="15">
    <w:name w:val="Body Text 3"/>
    <w:basedOn w:val="1"/>
    <w:link w:val="158"/>
    <w:unhideWhenUsed/>
    <w:qFormat/>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48"/>
    <w:unhideWhenUsed/>
    <w:qFormat/>
    <w:uiPriority w:val="99"/>
    <w:pPr>
      <w:tabs>
        <w:tab w:val="center" w:pos="4680"/>
        <w:tab w:val="right" w:pos="9360"/>
      </w:tabs>
      <w:spacing w:line="240" w:lineRule="auto"/>
    </w:pPr>
  </w:style>
  <w:style w:type="paragraph" w:styleId="19">
    <w:name w:val="header"/>
    <w:basedOn w:val="1"/>
    <w:link w:val="147"/>
    <w:unhideWhenUsed/>
    <w:qFormat/>
    <w:uiPriority w:val="99"/>
    <w:pPr>
      <w:tabs>
        <w:tab w:val="center" w:pos="4680"/>
        <w:tab w:val="right" w:pos="9360"/>
      </w:tabs>
      <w:spacing w:line="240" w:lineRule="auto"/>
    </w:pPr>
  </w:style>
  <w:style w:type="character" w:styleId="20">
    <w:name w:val="Hyperlink"/>
    <w:basedOn w:val="11"/>
    <w:unhideWhenUsed/>
    <w:qFormat/>
    <w:uiPriority w:val="99"/>
    <w:rPr>
      <w:color w:val="0000FF" w:themeColor="hyperlink"/>
      <w:u w:val="single"/>
      <w14:textFill>
        <w14:solidFill>
          <w14:schemeClr w14:val="hlink"/>
        </w14:solidFill>
      </w14:textFill>
    </w:rPr>
  </w:style>
  <w:style w:type="paragraph" w:styleId="21">
    <w:name w:val="List"/>
    <w:basedOn w:val="1"/>
    <w:unhideWhenUsed/>
    <w:qFormat/>
    <w:uiPriority w:val="99"/>
    <w:pPr>
      <w:ind w:left="360" w:hanging="360"/>
      <w:contextualSpacing/>
    </w:pPr>
  </w:style>
  <w:style w:type="paragraph" w:styleId="22">
    <w:name w:val="List 2"/>
    <w:basedOn w:val="1"/>
    <w:unhideWhenUsed/>
    <w:qFormat/>
    <w:uiPriority w:val="99"/>
    <w:pPr>
      <w:ind w:left="720" w:hanging="360"/>
      <w:contextualSpacing/>
    </w:pPr>
  </w:style>
  <w:style w:type="paragraph" w:styleId="23">
    <w:name w:val="List 3"/>
    <w:basedOn w:val="1"/>
    <w:unhideWhenUsed/>
    <w:qFormat/>
    <w:uiPriority w:val="99"/>
    <w:pPr>
      <w:ind w:left="1080" w:hanging="360"/>
      <w:contextualSpacing/>
    </w:pPr>
  </w:style>
  <w:style w:type="paragraph" w:styleId="24">
    <w:name w:val="List Bullet"/>
    <w:basedOn w:val="1"/>
    <w:unhideWhenUsed/>
    <w:qFormat/>
    <w:uiPriority w:val="99"/>
    <w:pPr>
      <w:numPr>
        <w:ilvl w:val="0"/>
        <w:numId w:val="1"/>
      </w:numPr>
      <w:contextualSpacing/>
    </w:pPr>
  </w:style>
  <w:style w:type="paragraph" w:styleId="25">
    <w:name w:val="List Bullet 2"/>
    <w:basedOn w:val="1"/>
    <w:unhideWhenUsed/>
    <w:qFormat/>
    <w:uiPriority w:val="99"/>
    <w:pPr>
      <w:numPr>
        <w:ilvl w:val="0"/>
        <w:numId w:val="2"/>
      </w:numPr>
      <w:contextualSpacing/>
    </w:pPr>
  </w:style>
  <w:style w:type="paragraph" w:styleId="26">
    <w:name w:val="List Bullet 3"/>
    <w:basedOn w:val="1"/>
    <w:unhideWhenUsed/>
    <w:qFormat/>
    <w:uiPriority w:val="99"/>
    <w:pPr>
      <w:numPr>
        <w:ilvl w:val="0"/>
        <w:numId w:val="3"/>
      </w:numPr>
      <w:contextualSpacing/>
    </w:pPr>
  </w:style>
  <w:style w:type="paragraph" w:styleId="27">
    <w:name w:val="List Continue"/>
    <w:basedOn w:val="1"/>
    <w:unhideWhenUsed/>
    <w:qFormat/>
    <w:uiPriority w:val="99"/>
    <w:pPr>
      <w:spacing w:after="120"/>
      <w:ind w:left="360"/>
      <w:contextualSpacing/>
    </w:pPr>
  </w:style>
  <w:style w:type="paragraph" w:styleId="28">
    <w:name w:val="List Continue 2"/>
    <w:basedOn w:val="1"/>
    <w:unhideWhenUsed/>
    <w:qFormat/>
    <w:uiPriority w:val="99"/>
    <w:pPr>
      <w:spacing w:after="120"/>
      <w:ind w:left="720"/>
      <w:contextualSpacing/>
    </w:pPr>
  </w:style>
  <w:style w:type="paragraph" w:styleId="29">
    <w:name w:val="List Continue 3"/>
    <w:basedOn w:val="1"/>
    <w:unhideWhenUsed/>
    <w:qFormat/>
    <w:uiPriority w:val="99"/>
    <w:pPr>
      <w:spacing w:after="120"/>
      <w:ind w:left="1080"/>
      <w:contextualSpacing/>
    </w:pPr>
  </w:style>
  <w:style w:type="paragraph" w:styleId="30">
    <w:name w:val="List Number"/>
    <w:basedOn w:val="1"/>
    <w:unhideWhenUsed/>
    <w:qFormat/>
    <w:uiPriority w:val="99"/>
    <w:pPr>
      <w:numPr>
        <w:ilvl w:val="0"/>
        <w:numId w:val="4"/>
      </w:numPr>
      <w:contextualSpacing/>
    </w:pPr>
  </w:style>
  <w:style w:type="paragraph" w:styleId="31">
    <w:name w:val="List Number 2"/>
    <w:basedOn w:val="1"/>
    <w:unhideWhenUsed/>
    <w:qFormat/>
    <w:uiPriority w:val="99"/>
    <w:pPr>
      <w:numPr>
        <w:ilvl w:val="0"/>
        <w:numId w:val="5"/>
      </w:numPr>
      <w:contextualSpacing/>
    </w:pPr>
  </w:style>
  <w:style w:type="paragraph" w:styleId="32">
    <w:name w:val="List Number 3"/>
    <w:basedOn w:val="1"/>
    <w:unhideWhenUsed/>
    <w:qFormat/>
    <w:uiPriority w:val="99"/>
    <w:pPr>
      <w:numPr>
        <w:ilvl w:val="0"/>
        <w:numId w:val="6"/>
      </w:numPr>
      <w:contextualSpacing/>
    </w:pPr>
  </w:style>
  <w:style w:type="paragraph" w:styleId="33">
    <w:name w:val="macro"/>
    <w:link w:val="159"/>
    <w:unhideWhenUsed/>
    <w:qFormat/>
    <w:uiPriority w:val="99"/>
    <w:pPr>
      <w:tabs>
        <w:tab w:val="left" w:pos="576"/>
        <w:tab w:val="left" w:pos="1152"/>
        <w:tab w:val="left" w:pos="1728"/>
        <w:tab w:val="left" w:pos="2304"/>
        <w:tab w:val="left" w:pos="2880"/>
        <w:tab w:val="left" w:pos="3456"/>
        <w:tab w:val="left" w:pos="4032"/>
      </w:tabs>
      <w:spacing w:line="360" w:lineRule="auto"/>
    </w:pPr>
    <w:rPr>
      <w:rFonts w:ascii="Courier" w:hAnsi="Courier" w:eastAsiaTheme="minorEastAsia" w:cstheme="minorBidi"/>
      <w:sz w:val="20"/>
      <w:szCs w:val="20"/>
      <w:lang w:val="en-US" w:eastAsia="en-US" w:bidi="ar-SA"/>
    </w:rPr>
  </w:style>
  <w:style w:type="paragraph" w:styleId="34">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35">
    <w:name w:val="page number"/>
    <w:basedOn w:val="11"/>
    <w:semiHidden/>
    <w:unhideWhenUsed/>
    <w:qFormat/>
    <w:uiPriority w:val="99"/>
  </w:style>
  <w:style w:type="character" w:styleId="36">
    <w:name w:val="Strong"/>
    <w:basedOn w:val="11"/>
    <w:qFormat/>
    <w:uiPriority w:val="22"/>
    <w:rPr>
      <w:b/>
      <w:bCs/>
    </w:rPr>
  </w:style>
  <w:style w:type="paragraph" w:styleId="37">
    <w:name w:val="Subtitle"/>
    <w:basedOn w:val="1"/>
    <w:next w:val="1"/>
    <w:link w:val="15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8">
    <w:name w:val="Table Grid"/>
    <w:basedOn w:val="12"/>
    <w:qFormat/>
    <w:uiPriority w:val="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9">
    <w:name w:val="Title"/>
    <w:basedOn w:val="1"/>
    <w:next w:val="1"/>
    <w:link w:val="15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40">
    <w:name w:val="toc 1"/>
    <w:basedOn w:val="1"/>
    <w:next w:val="1"/>
    <w:autoRedefine/>
    <w:unhideWhenUsed/>
    <w:qFormat/>
    <w:uiPriority w:val="39"/>
    <w:pPr>
      <w:spacing w:before="120"/>
    </w:pPr>
    <w:rPr>
      <w:rFonts w:cs="Times New Roman"/>
      <w:b/>
      <w:bCs/>
      <w:i/>
      <w:iCs/>
      <w:sz w:val="24"/>
      <w:szCs w:val="28"/>
    </w:rPr>
  </w:style>
  <w:style w:type="paragraph" w:styleId="41">
    <w:name w:val="toc 2"/>
    <w:basedOn w:val="1"/>
    <w:next w:val="1"/>
    <w:autoRedefine/>
    <w:unhideWhenUsed/>
    <w:qFormat/>
    <w:uiPriority w:val="39"/>
    <w:pPr>
      <w:spacing w:before="120"/>
      <w:ind w:left="220"/>
    </w:pPr>
    <w:rPr>
      <w:rFonts w:cs="Times New Roman"/>
      <w:b/>
      <w:bCs/>
      <w:szCs w:val="26"/>
    </w:rPr>
  </w:style>
  <w:style w:type="paragraph" w:styleId="42">
    <w:name w:val="toc 3"/>
    <w:basedOn w:val="1"/>
    <w:next w:val="1"/>
    <w:autoRedefine/>
    <w:unhideWhenUsed/>
    <w:qFormat/>
    <w:uiPriority w:val="39"/>
    <w:pPr>
      <w:ind w:left="440"/>
    </w:pPr>
    <w:rPr>
      <w:rFonts w:cs="Times New Roman"/>
      <w:sz w:val="20"/>
      <w:szCs w:val="24"/>
    </w:rPr>
  </w:style>
  <w:style w:type="paragraph" w:styleId="43">
    <w:name w:val="toc 4"/>
    <w:basedOn w:val="1"/>
    <w:next w:val="1"/>
    <w:autoRedefine/>
    <w:semiHidden/>
    <w:unhideWhenUsed/>
    <w:qFormat/>
    <w:uiPriority w:val="39"/>
    <w:pPr>
      <w:ind w:left="660"/>
    </w:pPr>
    <w:rPr>
      <w:rFonts w:cs="Times New Roman"/>
      <w:sz w:val="20"/>
      <w:szCs w:val="24"/>
    </w:rPr>
  </w:style>
  <w:style w:type="paragraph" w:styleId="44">
    <w:name w:val="toc 5"/>
    <w:basedOn w:val="1"/>
    <w:next w:val="1"/>
    <w:autoRedefine/>
    <w:semiHidden/>
    <w:unhideWhenUsed/>
    <w:qFormat/>
    <w:uiPriority w:val="39"/>
    <w:pPr>
      <w:ind w:left="880"/>
    </w:pPr>
    <w:rPr>
      <w:rFonts w:cs="Times New Roman"/>
      <w:sz w:val="20"/>
      <w:szCs w:val="24"/>
    </w:rPr>
  </w:style>
  <w:style w:type="paragraph" w:styleId="45">
    <w:name w:val="toc 6"/>
    <w:basedOn w:val="1"/>
    <w:next w:val="1"/>
    <w:autoRedefine/>
    <w:semiHidden/>
    <w:unhideWhenUsed/>
    <w:qFormat/>
    <w:uiPriority w:val="39"/>
    <w:pPr>
      <w:ind w:left="1100"/>
    </w:pPr>
    <w:rPr>
      <w:rFonts w:cs="Times New Roman"/>
      <w:sz w:val="20"/>
      <w:szCs w:val="24"/>
    </w:rPr>
  </w:style>
  <w:style w:type="paragraph" w:styleId="46">
    <w:name w:val="toc 7"/>
    <w:basedOn w:val="1"/>
    <w:next w:val="1"/>
    <w:autoRedefine/>
    <w:semiHidden/>
    <w:unhideWhenUsed/>
    <w:qFormat/>
    <w:uiPriority w:val="39"/>
    <w:pPr>
      <w:ind w:left="1320"/>
    </w:pPr>
    <w:rPr>
      <w:rFonts w:cs="Times New Roman"/>
      <w:sz w:val="20"/>
      <w:szCs w:val="24"/>
    </w:rPr>
  </w:style>
  <w:style w:type="paragraph" w:styleId="47">
    <w:name w:val="toc 8"/>
    <w:basedOn w:val="1"/>
    <w:next w:val="1"/>
    <w:autoRedefine/>
    <w:semiHidden/>
    <w:unhideWhenUsed/>
    <w:qFormat/>
    <w:uiPriority w:val="39"/>
    <w:pPr>
      <w:ind w:left="1540"/>
    </w:pPr>
    <w:rPr>
      <w:rFonts w:cs="Times New Roman"/>
      <w:sz w:val="20"/>
      <w:szCs w:val="24"/>
    </w:rPr>
  </w:style>
  <w:style w:type="paragraph" w:styleId="48">
    <w:name w:val="toc 9"/>
    <w:basedOn w:val="1"/>
    <w:next w:val="1"/>
    <w:autoRedefine/>
    <w:semiHidden/>
    <w:unhideWhenUsed/>
    <w:qFormat/>
    <w:uiPriority w:val="39"/>
    <w:pPr>
      <w:ind w:left="1760"/>
    </w:pPr>
    <w:rPr>
      <w:rFonts w:cs="Times New Roman"/>
      <w:sz w:val="20"/>
      <w:szCs w:val="24"/>
    </w:rPr>
  </w:style>
  <w:style w:type="table" w:styleId="49">
    <w:name w:val="Light Shading"/>
    <w:basedOn w:val="12"/>
    <w:qFormat/>
    <w:uiPriority w:val="60"/>
    <w:pPr>
      <w:spacing w:line="240" w:lineRule="auto"/>
    </w:pPr>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50">
    <w:name w:val="Light Shading Accent 1"/>
    <w:basedOn w:val="12"/>
    <w:qFormat/>
    <w:uiPriority w:val="60"/>
    <w:pPr>
      <w:spacing w:line="240" w:lineRule="auto"/>
    </w:pPr>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51">
    <w:name w:val="Light Shading Accent 2"/>
    <w:basedOn w:val="12"/>
    <w:qFormat/>
    <w:uiPriority w:val="60"/>
    <w:pPr>
      <w:spacing w:line="240" w:lineRule="auto"/>
    </w:pPr>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52">
    <w:name w:val="Light Shading Accent 3"/>
    <w:basedOn w:val="12"/>
    <w:qFormat/>
    <w:uiPriority w:val="60"/>
    <w:pPr>
      <w:spacing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53">
    <w:name w:val="Light Shading Accent 4"/>
    <w:basedOn w:val="12"/>
    <w:qFormat/>
    <w:uiPriority w:val="60"/>
    <w:pPr>
      <w:spacing w:line="240" w:lineRule="auto"/>
    </w:pPr>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4">
    <w:name w:val="Light Shading Accent 5"/>
    <w:basedOn w:val="12"/>
    <w:qFormat/>
    <w:uiPriority w:val="60"/>
    <w:pPr>
      <w:spacing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55">
    <w:name w:val="Light Shading Accent 6"/>
    <w:basedOn w:val="12"/>
    <w:qFormat/>
    <w:uiPriority w:val="60"/>
    <w:pPr>
      <w:spacing w:line="240" w:lineRule="auto"/>
    </w:pPr>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56">
    <w:name w:val="Light List"/>
    <w:basedOn w:val="12"/>
    <w:qFormat/>
    <w:uiPriority w:val="61"/>
    <w:pPr>
      <w:spacing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57">
    <w:name w:val="Light List Accent 1"/>
    <w:basedOn w:val="12"/>
    <w:qFormat/>
    <w:uiPriority w:val="61"/>
    <w:pPr>
      <w:spacing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58">
    <w:name w:val="Light List Accent 2"/>
    <w:basedOn w:val="12"/>
    <w:qFormat/>
    <w:uiPriority w:val="61"/>
    <w:pPr>
      <w:spacing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59">
    <w:name w:val="Light List Accent 3"/>
    <w:basedOn w:val="12"/>
    <w:qFormat/>
    <w:uiPriority w:val="61"/>
    <w:pPr>
      <w:spacing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60">
    <w:name w:val="Light List Accent 4"/>
    <w:basedOn w:val="12"/>
    <w:qFormat/>
    <w:uiPriority w:val="61"/>
    <w:pPr>
      <w:spacing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61">
    <w:name w:val="Light List Accent 5"/>
    <w:basedOn w:val="12"/>
    <w:qFormat/>
    <w:uiPriority w:val="61"/>
    <w:pPr>
      <w:spacing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62">
    <w:name w:val="Light List Accent 6"/>
    <w:basedOn w:val="12"/>
    <w:uiPriority w:val="61"/>
    <w:pPr>
      <w:spacing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63">
    <w:name w:val="Light Grid"/>
    <w:basedOn w:val="12"/>
    <w:uiPriority w:val="62"/>
    <w:pPr>
      <w:spacing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64">
    <w:name w:val="Light Grid Accent 1"/>
    <w:basedOn w:val="12"/>
    <w:uiPriority w:val="62"/>
    <w:pPr>
      <w:spacing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65">
    <w:name w:val="Light Grid Accent 2"/>
    <w:basedOn w:val="12"/>
    <w:uiPriority w:val="62"/>
    <w:pPr>
      <w:spacing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66">
    <w:name w:val="Light Grid Accent 3"/>
    <w:basedOn w:val="12"/>
    <w:uiPriority w:val="62"/>
    <w:pPr>
      <w:spacing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67">
    <w:name w:val="Light Grid Accent 4"/>
    <w:basedOn w:val="12"/>
    <w:uiPriority w:val="62"/>
    <w:pPr>
      <w:spacing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68">
    <w:name w:val="Light Grid Accent 5"/>
    <w:basedOn w:val="12"/>
    <w:uiPriority w:val="62"/>
    <w:pPr>
      <w:spacing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69">
    <w:name w:val="Light Grid Accent 6"/>
    <w:basedOn w:val="12"/>
    <w:uiPriority w:val="62"/>
    <w:pPr>
      <w:spacing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70">
    <w:name w:val="Medium Shading 1"/>
    <w:basedOn w:val="12"/>
    <w:uiPriority w:val="63"/>
    <w:pPr>
      <w:spacing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71">
    <w:name w:val="Medium Shading 1 Accent 1"/>
    <w:basedOn w:val="12"/>
    <w:uiPriority w:val="63"/>
    <w:pPr>
      <w:spacing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72">
    <w:name w:val="Medium Shading 1 Accent 2"/>
    <w:basedOn w:val="12"/>
    <w:uiPriority w:val="63"/>
    <w:pPr>
      <w:spacing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73">
    <w:name w:val="Medium Shading 1 Accent 3"/>
    <w:basedOn w:val="12"/>
    <w:uiPriority w:val="63"/>
    <w:pPr>
      <w:spacing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74">
    <w:name w:val="Medium Shading 1 Accent 4"/>
    <w:basedOn w:val="12"/>
    <w:uiPriority w:val="63"/>
    <w:pPr>
      <w:spacing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75">
    <w:name w:val="Medium Shading 1 Accent 5"/>
    <w:basedOn w:val="12"/>
    <w:uiPriority w:val="63"/>
    <w:pPr>
      <w:spacing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76">
    <w:name w:val="Medium Shading 1 Accent 6"/>
    <w:basedOn w:val="12"/>
    <w:uiPriority w:val="63"/>
    <w:pPr>
      <w:spacing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77">
    <w:name w:val="Medium Shading 2"/>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8">
    <w:name w:val="Medium Shading 2 Accent 1"/>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9">
    <w:name w:val="Medium Shading 2 Accent 2"/>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0">
    <w:name w:val="Medium Shading 2 Accent 3"/>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1">
    <w:name w:val="Medium Shading 2 Accent 4"/>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2">
    <w:name w:val="Medium Shading 2 Accent 5"/>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3">
    <w:name w:val="Medium Shading 2 Accent 6"/>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4">
    <w:name w:val="Medium List 1"/>
    <w:basedOn w:val="12"/>
    <w:uiPriority w:val="65"/>
    <w:pPr>
      <w:spacing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85">
    <w:name w:val="Medium List 1 Accent 1"/>
    <w:basedOn w:val="12"/>
    <w:uiPriority w:val="65"/>
    <w:pPr>
      <w:spacing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86">
    <w:name w:val="Medium List 1 Accent 2"/>
    <w:basedOn w:val="12"/>
    <w:uiPriority w:val="65"/>
    <w:pPr>
      <w:spacing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87">
    <w:name w:val="Medium List 1 Accent 3"/>
    <w:basedOn w:val="12"/>
    <w:uiPriority w:val="65"/>
    <w:pPr>
      <w:spacing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88">
    <w:name w:val="Medium List 1 Accent 4"/>
    <w:basedOn w:val="12"/>
    <w:uiPriority w:val="65"/>
    <w:pPr>
      <w:spacing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89">
    <w:name w:val="Medium List 1 Accent 5"/>
    <w:basedOn w:val="12"/>
    <w:uiPriority w:val="65"/>
    <w:pPr>
      <w:spacing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90">
    <w:name w:val="Medium List 1 Accent 6"/>
    <w:basedOn w:val="12"/>
    <w:uiPriority w:val="65"/>
    <w:pPr>
      <w:spacing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91">
    <w:name w:val="Medium List 2"/>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92">
    <w:name w:val="Medium List 2 Accent 1"/>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93">
    <w:name w:val="Medium List 2 Accent 2"/>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94">
    <w:name w:val="Medium List 2 Accent 3"/>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95">
    <w:name w:val="Medium List 2 Accent 4"/>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96">
    <w:name w:val="Medium List 2 Accent 5"/>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97">
    <w:name w:val="Medium List 2 Accent 6"/>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98">
    <w:name w:val="Medium Grid 1"/>
    <w:basedOn w:val="12"/>
    <w:uiPriority w:val="67"/>
    <w:pPr>
      <w:spacing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99">
    <w:name w:val="Medium Grid 1 Accent 1"/>
    <w:basedOn w:val="12"/>
    <w:uiPriority w:val="67"/>
    <w:pPr>
      <w:spacing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00">
    <w:name w:val="Medium Grid 1 Accent 2"/>
    <w:basedOn w:val="12"/>
    <w:uiPriority w:val="67"/>
    <w:pPr>
      <w:spacing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01">
    <w:name w:val="Medium Grid 1 Accent 3"/>
    <w:basedOn w:val="12"/>
    <w:uiPriority w:val="67"/>
    <w:pPr>
      <w:spacing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02">
    <w:name w:val="Medium Grid 1 Accent 4"/>
    <w:basedOn w:val="12"/>
    <w:uiPriority w:val="67"/>
    <w:pPr>
      <w:spacing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03">
    <w:name w:val="Medium Grid 1 Accent 5"/>
    <w:basedOn w:val="12"/>
    <w:uiPriority w:val="67"/>
    <w:pPr>
      <w:spacing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04">
    <w:name w:val="Medium Grid 1 Accent 6"/>
    <w:basedOn w:val="12"/>
    <w:uiPriority w:val="67"/>
    <w:pPr>
      <w:spacing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105">
    <w:name w:val="Medium Grid 2"/>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106">
    <w:name w:val="Medium Grid 2 Accent 1"/>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107">
    <w:name w:val="Medium Grid 2 Accent 2"/>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108">
    <w:name w:val="Medium Grid 2 Accent 3"/>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109">
    <w:name w:val="Medium Grid 2 Accent 4"/>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110">
    <w:name w:val="Medium Grid 2 Accent 5"/>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11">
    <w:name w:val="Medium Grid 2 Accent 6"/>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12">
    <w:name w:val="Medium Grid 3"/>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13">
    <w:name w:val="Medium Grid 3 Accent 1"/>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14">
    <w:name w:val="Medium Grid 3 Accent 2"/>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15">
    <w:name w:val="Medium Grid 3 Accent 3"/>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16">
    <w:name w:val="Medium Grid 3 Accent 4"/>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17">
    <w:name w:val="Medium Grid 3 Accent 5"/>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18">
    <w:name w:val="Medium Grid 3 Accent 6"/>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19">
    <w:name w:val="Dark List"/>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0">
    <w:name w:val="Dark List Accent 1"/>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21">
    <w:name w:val="Dark List Accent 2"/>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22">
    <w:name w:val="Dark List Accent 3"/>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23">
    <w:name w:val="Dark List Accent 4"/>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24">
    <w:name w:val="Dark List Accent 5"/>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25">
    <w:name w:val="Dark List Accent 6"/>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26">
    <w:name w:val="Colorful Shading"/>
    <w:basedOn w:val="12"/>
    <w:uiPriority w:val="71"/>
    <w:pPr>
      <w:spacing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7">
    <w:name w:val="Colorful Shading Accent 1"/>
    <w:basedOn w:val="12"/>
    <w:uiPriority w:val="71"/>
    <w:pPr>
      <w:spacing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8">
    <w:name w:val="Colorful Shading Accent 2"/>
    <w:basedOn w:val="12"/>
    <w:uiPriority w:val="71"/>
    <w:pPr>
      <w:spacing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9">
    <w:name w:val="Colorful Shading Accent 3"/>
    <w:basedOn w:val="12"/>
    <w:uiPriority w:val="71"/>
    <w:pPr>
      <w:spacing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30">
    <w:name w:val="Colorful Shading Accent 4"/>
    <w:basedOn w:val="12"/>
    <w:uiPriority w:val="71"/>
    <w:pPr>
      <w:spacing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1">
    <w:name w:val="Colorful Shading Accent 5"/>
    <w:basedOn w:val="12"/>
    <w:uiPriority w:val="71"/>
    <w:pPr>
      <w:spacing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2">
    <w:name w:val="Colorful Shading Accent 6"/>
    <w:basedOn w:val="12"/>
    <w:uiPriority w:val="71"/>
    <w:pPr>
      <w:spacing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3">
    <w:name w:val="Colorful List"/>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34">
    <w:name w:val="Colorful List Accent 1"/>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5">
    <w:name w:val="Colorful List Accent 2"/>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36">
    <w:name w:val="Colorful List Accent 3"/>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7">
    <w:name w:val="Colorful List Accent 4"/>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8">
    <w:name w:val="Colorful List Accent 5"/>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39">
    <w:name w:val="Colorful List Accent 6"/>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40">
    <w:name w:val="Colorful Grid"/>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41">
    <w:name w:val="Colorful Grid Accent 1"/>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42">
    <w:name w:val="Colorful Grid Accent 2"/>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47">
    <w:name w:val="Header Char"/>
    <w:basedOn w:val="11"/>
    <w:link w:val="19"/>
    <w:qFormat/>
    <w:uiPriority w:val="99"/>
  </w:style>
  <w:style w:type="character" w:customStyle="1" w:styleId="148">
    <w:name w:val="Footer Char"/>
    <w:basedOn w:val="11"/>
    <w:link w:val="18"/>
    <w:qFormat/>
    <w:uiPriority w:val="99"/>
  </w:style>
  <w:style w:type="paragraph" w:styleId="149">
    <w:name w:val="No Spacing"/>
    <w:qFormat/>
    <w:uiPriority w:val="1"/>
    <w:pPr>
      <w:spacing w:line="240" w:lineRule="auto"/>
    </w:pPr>
    <w:rPr>
      <w:rFonts w:asciiTheme="minorHAnsi" w:hAnsiTheme="minorHAnsi" w:eastAsiaTheme="minorEastAsia" w:cstheme="minorBidi"/>
      <w:sz w:val="22"/>
      <w:szCs w:val="22"/>
      <w:lang w:val="en-US" w:eastAsia="en-US" w:bidi="ar-SA"/>
    </w:rPr>
  </w:style>
  <w:style w:type="character" w:customStyle="1" w:styleId="150">
    <w:name w:val="Heading 1 Char"/>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51">
    <w:name w:val="Heading 2 Char"/>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52">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53">
    <w:name w:val="Title Char"/>
    <w:basedOn w:val="11"/>
    <w:link w:val="39"/>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54">
    <w:name w:val="Subtitle Char"/>
    <w:basedOn w:val="11"/>
    <w:link w:val="37"/>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55">
    <w:name w:val="List Paragraph"/>
    <w:basedOn w:val="1"/>
    <w:qFormat/>
    <w:uiPriority w:val="34"/>
    <w:pPr>
      <w:ind w:left="720"/>
      <w:contextualSpacing/>
    </w:pPr>
  </w:style>
  <w:style w:type="character" w:customStyle="1" w:styleId="156">
    <w:name w:val="Body Text Char"/>
    <w:basedOn w:val="11"/>
    <w:link w:val="13"/>
    <w:qFormat/>
    <w:uiPriority w:val="99"/>
  </w:style>
  <w:style w:type="character" w:customStyle="1" w:styleId="157">
    <w:name w:val="Body Text 2 Char"/>
    <w:basedOn w:val="11"/>
    <w:link w:val="14"/>
    <w:qFormat/>
    <w:uiPriority w:val="99"/>
  </w:style>
  <w:style w:type="character" w:customStyle="1" w:styleId="158">
    <w:name w:val="Body Text 3 Char"/>
    <w:basedOn w:val="11"/>
    <w:link w:val="15"/>
    <w:qFormat/>
    <w:uiPriority w:val="99"/>
    <w:rPr>
      <w:sz w:val="16"/>
      <w:szCs w:val="16"/>
    </w:rPr>
  </w:style>
  <w:style w:type="character" w:customStyle="1" w:styleId="159">
    <w:name w:val="Macro Text Char"/>
    <w:basedOn w:val="11"/>
    <w:link w:val="33"/>
    <w:qFormat/>
    <w:uiPriority w:val="99"/>
    <w:rPr>
      <w:rFonts w:ascii="Courier" w:hAnsi="Courier"/>
      <w:sz w:val="20"/>
      <w:szCs w:val="20"/>
    </w:rPr>
  </w:style>
  <w:style w:type="paragraph" w:styleId="160">
    <w:name w:val="Quote"/>
    <w:basedOn w:val="1"/>
    <w:next w:val="1"/>
    <w:link w:val="161"/>
    <w:qFormat/>
    <w:uiPriority w:val="29"/>
    <w:rPr>
      <w:i/>
      <w:iCs/>
      <w:color w:val="000000" w:themeColor="text1"/>
      <w14:textFill>
        <w14:solidFill>
          <w14:schemeClr w14:val="tx1"/>
        </w14:solidFill>
      </w14:textFill>
    </w:rPr>
  </w:style>
  <w:style w:type="character" w:customStyle="1" w:styleId="161">
    <w:name w:val="Quote Char"/>
    <w:basedOn w:val="11"/>
    <w:link w:val="160"/>
    <w:qFormat/>
    <w:uiPriority w:val="29"/>
    <w:rPr>
      <w:i/>
      <w:iCs/>
      <w:color w:val="000000" w:themeColor="text1"/>
      <w14:textFill>
        <w14:solidFill>
          <w14:schemeClr w14:val="tx1"/>
        </w14:solidFill>
      </w14:textFill>
    </w:rPr>
  </w:style>
  <w:style w:type="character" w:customStyle="1" w:styleId="162">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63">
    <w:name w:val="Heading 5 Char"/>
    <w:basedOn w:val="11"/>
    <w:link w:val="6"/>
    <w:semiHidden/>
    <w:qFormat/>
    <w:uiPriority w:val="9"/>
    <w:rPr>
      <w:rFonts w:asciiTheme="majorHAnsi" w:hAnsiTheme="majorHAnsi" w:eastAsiaTheme="majorEastAsia" w:cstheme="majorBidi"/>
      <w:color w:val="254061" w:themeColor="accent1" w:themeShade="80"/>
    </w:rPr>
  </w:style>
  <w:style w:type="character" w:customStyle="1" w:styleId="164">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165">
    <w:name w:val="Heading 7 Char"/>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66">
    <w:name w:val="Heading 8 Char"/>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67">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68">
    <w:name w:val="Intense Quote"/>
    <w:basedOn w:val="1"/>
    <w:next w:val="1"/>
    <w:link w:val="16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69">
    <w:name w:val="Intense Quote Char"/>
    <w:basedOn w:val="11"/>
    <w:link w:val="168"/>
    <w:qFormat/>
    <w:uiPriority w:val="30"/>
    <w:rPr>
      <w:b/>
      <w:bCs/>
      <w:i/>
      <w:iCs/>
      <w:color w:val="4F81BD" w:themeColor="accent1"/>
      <w14:textFill>
        <w14:solidFill>
          <w14:schemeClr w14:val="accent1"/>
        </w14:solidFill>
      </w14:textFill>
    </w:rPr>
  </w:style>
  <w:style w:type="character" w:customStyle="1" w:styleId="17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71">
    <w:name w:val="Intense Emphasis"/>
    <w:basedOn w:val="11"/>
    <w:qFormat/>
    <w:uiPriority w:val="21"/>
    <w:rPr>
      <w:b/>
      <w:bCs/>
      <w:i/>
      <w:iCs/>
      <w:color w:val="4F81BD" w:themeColor="accent1"/>
      <w14:textFill>
        <w14:solidFill>
          <w14:schemeClr w14:val="accent1"/>
        </w14:solidFill>
      </w14:textFill>
    </w:rPr>
  </w:style>
  <w:style w:type="character" w:customStyle="1" w:styleId="172">
    <w:name w:val="Subtle Reference"/>
    <w:basedOn w:val="11"/>
    <w:qFormat/>
    <w:uiPriority w:val="31"/>
    <w:rPr>
      <w:smallCaps/>
      <w:color w:val="C0504D" w:themeColor="accent2"/>
      <w:u w:val="single"/>
      <w14:textFill>
        <w14:solidFill>
          <w14:schemeClr w14:val="accent2"/>
        </w14:solidFill>
      </w14:textFill>
    </w:rPr>
  </w:style>
  <w:style w:type="character" w:customStyle="1" w:styleId="17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74">
    <w:name w:val="Book Title"/>
    <w:basedOn w:val="11"/>
    <w:qFormat/>
    <w:uiPriority w:val="33"/>
    <w:rPr>
      <w:b/>
      <w:bCs/>
      <w:smallCaps/>
      <w:spacing w:val="5"/>
    </w:rPr>
  </w:style>
  <w:style w:type="paragraph" w:customStyle="1" w:styleId="175">
    <w:name w:val="TOC Heading"/>
    <w:basedOn w:val="2"/>
    <w:next w:val="1"/>
    <w:unhideWhenUsed/>
    <w:qFormat/>
    <w:uiPriority w:val="39"/>
    <w:pPr>
      <w:outlineLvl w:val="9"/>
    </w:pPr>
  </w:style>
  <w:style w:type="table" w:customStyle="1" w:styleId="176">
    <w:name w:val="Grid Table Light"/>
    <w:basedOn w:val="12"/>
    <w:uiPriority w:val="99"/>
    <w:pPr>
      <w:spacing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2B08A6-02E7-44E3-B3DB-1EB7B2DA0AD9}">
  <ds:schemaRefs/>
</ds:datastoreItem>
</file>

<file path=docProps/app.xml><?xml version="1.0" encoding="utf-8"?>
<Properties xmlns="http://schemas.openxmlformats.org/officeDocument/2006/extended-properties" xmlns:vt="http://schemas.openxmlformats.org/officeDocument/2006/docPropsVTypes">
  <Template>Normal.dotm</Template>
  <Pages>35</Pages>
  <Words>7090</Words>
  <Characters>37183</Characters>
  <Lines>1801</Lines>
  <Paragraphs>1325</Paragraphs>
  <TotalTime>748</TotalTime>
  <ScaleCrop>false</ScaleCrop>
  <LinksUpToDate>false</LinksUpToDate>
  <CharactersWithSpaces>43003</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2025-11-22T18:53:00Z</dcterms:created>
  <dc:creator>Administrator</dc:creator>
  <cp:lastModifiedBy>Marzana Mita</cp:lastModifiedBy>
  <dcterms:modified xsi:type="dcterms:W3CDTF">2025-12-21T00:49:07Z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F5B88CF23ED54FE296D2F62747B7811F_12</vt:lpwstr>
  </property>
</Properties>
</file>