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A6342" w14:textId="77777777" w:rsidR="003F6A08" w:rsidRDefault="003F6A08" w:rsidP="003F6A08">
      <w:pPr>
        <w:spacing w:line="360" w:lineRule="auto"/>
        <w:jc w:val="center"/>
        <w:rPr>
          <w:rFonts w:ascii="Arial" w:hAnsi="Arial" w:cs="Arial"/>
          <w:b/>
          <w:bCs/>
          <w:sz w:val="24"/>
          <w:szCs w:val="24"/>
        </w:rPr>
      </w:pPr>
      <w:bookmarkStart w:id="0" w:name="_Hlk137188855"/>
    </w:p>
    <w:p w14:paraId="06136DDC" w14:textId="77777777" w:rsidR="003F6A08" w:rsidRDefault="003F6A08" w:rsidP="003F6A08">
      <w:pPr>
        <w:spacing w:line="360" w:lineRule="auto"/>
        <w:jc w:val="center"/>
        <w:rPr>
          <w:rFonts w:ascii="Arial" w:hAnsi="Arial" w:cs="Arial"/>
          <w:b/>
          <w:bCs/>
          <w:sz w:val="24"/>
          <w:szCs w:val="24"/>
        </w:rPr>
      </w:pPr>
    </w:p>
    <w:p w14:paraId="30A0FC4F" w14:textId="77777777" w:rsidR="003F6A08" w:rsidRDefault="003F6A08" w:rsidP="003F6A08">
      <w:pPr>
        <w:spacing w:line="360" w:lineRule="auto"/>
        <w:jc w:val="center"/>
        <w:rPr>
          <w:rFonts w:ascii="Arial" w:hAnsi="Arial" w:cs="Arial"/>
          <w:b/>
          <w:bCs/>
          <w:sz w:val="24"/>
          <w:szCs w:val="24"/>
        </w:rPr>
      </w:pPr>
    </w:p>
    <w:p w14:paraId="25755C4E" w14:textId="77777777" w:rsidR="003F6A08" w:rsidRDefault="003F6A08" w:rsidP="003F6A08">
      <w:pPr>
        <w:spacing w:line="360" w:lineRule="auto"/>
        <w:jc w:val="center"/>
        <w:rPr>
          <w:rFonts w:ascii="Arial" w:hAnsi="Arial" w:cs="Arial"/>
          <w:b/>
          <w:bCs/>
          <w:sz w:val="24"/>
          <w:szCs w:val="24"/>
        </w:rPr>
      </w:pPr>
    </w:p>
    <w:p w14:paraId="455ABE42" w14:textId="77777777" w:rsidR="003F6A08" w:rsidRDefault="003F6A08" w:rsidP="003F6A08">
      <w:pPr>
        <w:spacing w:line="360" w:lineRule="auto"/>
        <w:jc w:val="center"/>
        <w:rPr>
          <w:rFonts w:ascii="Arial" w:hAnsi="Arial" w:cs="Arial"/>
          <w:b/>
          <w:bCs/>
          <w:sz w:val="24"/>
          <w:szCs w:val="24"/>
        </w:rPr>
      </w:pPr>
    </w:p>
    <w:p w14:paraId="43A914D5" w14:textId="52BEEC82" w:rsidR="003F6A08" w:rsidRPr="003F6A08" w:rsidRDefault="003F6A08" w:rsidP="003F6A08">
      <w:pPr>
        <w:spacing w:line="360" w:lineRule="auto"/>
        <w:jc w:val="center"/>
        <w:rPr>
          <w:rFonts w:ascii="Arial" w:hAnsi="Arial" w:cs="Arial"/>
          <w:b/>
          <w:bCs/>
          <w:sz w:val="24"/>
          <w:szCs w:val="24"/>
        </w:rPr>
      </w:pPr>
      <w:r w:rsidRPr="003F6A08">
        <w:rPr>
          <w:rFonts w:ascii="Arial" w:hAnsi="Arial" w:cs="Arial"/>
          <w:b/>
          <w:bCs/>
          <w:sz w:val="24"/>
          <w:szCs w:val="24"/>
        </w:rPr>
        <w:t>AUDIT REPORT: HILTON HOTEL GROUP</w:t>
      </w:r>
    </w:p>
    <w:bookmarkEnd w:id="0"/>
    <w:p w14:paraId="79A82F6D" w14:textId="77777777" w:rsidR="00EB2A54" w:rsidRDefault="00EB2A54"/>
    <w:p w14:paraId="3955A386" w14:textId="77777777" w:rsidR="003F6A08" w:rsidRDefault="003F6A08"/>
    <w:p w14:paraId="04C2B6AF" w14:textId="77777777" w:rsidR="003F6A08" w:rsidRDefault="003F6A08"/>
    <w:p w14:paraId="096E6311" w14:textId="77777777" w:rsidR="003F6A08" w:rsidRDefault="003F6A08"/>
    <w:p w14:paraId="02FB01B3" w14:textId="77777777" w:rsidR="003F6A08" w:rsidRDefault="003F6A08"/>
    <w:p w14:paraId="34A1EDA8" w14:textId="77777777" w:rsidR="003F6A08" w:rsidRDefault="003F6A08"/>
    <w:p w14:paraId="41BED7AA" w14:textId="77777777" w:rsidR="003F6A08" w:rsidRPr="003F6A08" w:rsidRDefault="003F6A08" w:rsidP="003F6A08">
      <w:pPr>
        <w:spacing w:line="360" w:lineRule="auto"/>
        <w:rPr>
          <w:rFonts w:ascii="Arial" w:hAnsi="Arial" w:cs="Arial"/>
          <w:b/>
          <w:bCs/>
          <w:kern w:val="0"/>
          <w:sz w:val="24"/>
          <w:szCs w:val="24"/>
          <w:lang w:val="fr-FR"/>
        </w:rPr>
      </w:pPr>
      <w:r w:rsidRPr="003F6A08">
        <w:rPr>
          <w:rFonts w:ascii="Arial" w:hAnsi="Arial" w:cs="Arial"/>
          <w:b/>
          <w:bCs/>
          <w:kern w:val="0"/>
          <w:sz w:val="24"/>
          <w:szCs w:val="24"/>
          <w:lang w:val="fr-FR"/>
        </w:rPr>
        <w:t>Student Name : MARIUS CIOCEA</w:t>
      </w:r>
    </w:p>
    <w:p w14:paraId="516474D1" w14:textId="6CB446A4" w:rsidR="003F6A08" w:rsidRPr="003F6A08" w:rsidRDefault="003F6A08" w:rsidP="003F6A08">
      <w:pPr>
        <w:spacing w:line="360" w:lineRule="auto"/>
        <w:rPr>
          <w:rFonts w:ascii="Arial" w:hAnsi="Arial" w:cs="Arial"/>
          <w:b/>
          <w:bCs/>
          <w:kern w:val="0"/>
          <w:sz w:val="24"/>
          <w:szCs w:val="24"/>
          <w:lang w:val="fr-FR"/>
        </w:rPr>
      </w:pPr>
      <w:r w:rsidRPr="003F6A08">
        <w:rPr>
          <w:rFonts w:ascii="Arial" w:hAnsi="Arial" w:cs="Arial"/>
          <w:b/>
          <w:bCs/>
          <w:kern w:val="0"/>
          <w:sz w:val="24"/>
          <w:szCs w:val="24"/>
          <w:lang w:val="fr-FR"/>
        </w:rPr>
        <w:t xml:space="preserve">Student ID </w:t>
      </w:r>
      <w:r w:rsidR="00C45E23" w:rsidRPr="003F6A08">
        <w:rPr>
          <w:rFonts w:ascii="Arial" w:hAnsi="Arial" w:cs="Arial"/>
          <w:b/>
          <w:bCs/>
          <w:kern w:val="0"/>
          <w:sz w:val="24"/>
          <w:szCs w:val="24"/>
          <w:lang w:val="fr-FR"/>
        </w:rPr>
        <w:t>Number :</w:t>
      </w:r>
      <w:r w:rsidRPr="003F6A08">
        <w:rPr>
          <w:rFonts w:ascii="Arial" w:hAnsi="Arial" w:cs="Arial"/>
          <w:b/>
          <w:bCs/>
          <w:kern w:val="0"/>
          <w:sz w:val="24"/>
          <w:szCs w:val="24"/>
          <w:lang w:val="fr-FR"/>
        </w:rPr>
        <w:t xml:space="preserve"> 2111529</w:t>
      </w:r>
    </w:p>
    <w:p w14:paraId="15E24A86" w14:textId="242B112D" w:rsidR="003F6A08" w:rsidRPr="003F6A08" w:rsidRDefault="00881F2C" w:rsidP="003F6A08">
      <w:pPr>
        <w:spacing w:line="360" w:lineRule="auto"/>
        <w:rPr>
          <w:rFonts w:ascii="Arial" w:hAnsi="Arial" w:cs="Arial"/>
          <w:b/>
          <w:bCs/>
          <w:kern w:val="0"/>
          <w:sz w:val="24"/>
          <w:szCs w:val="24"/>
          <w:lang w:val="fr-FR"/>
        </w:rPr>
      </w:pPr>
      <w:r>
        <w:rPr>
          <w:rFonts w:ascii="Arial" w:hAnsi="Arial" w:cs="Arial"/>
          <w:b/>
          <w:bCs/>
          <w:kern w:val="0"/>
          <w:sz w:val="24"/>
          <w:szCs w:val="24"/>
          <w:lang w:val="fr-FR"/>
        </w:rPr>
        <w:t>Management &amp; Organisational Behaviour</w:t>
      </w:r>
      <w:r w:rsidR="00420A5B">
        <w:rPr>
          <w:rFonts w:ascii="Arial" w:hAnsi="Arial" w:cs="Arial"/>
          <w:b/>
          <w:bCs/>
          <w:kern w:val="0"/>
          <w:sz w:val="24"/>
          <w:szCs w:val="24"/>
          <w:lang w:val="fr-FR"/>
        </w:rPr>
        <w:t xml:space="preserve"> </w:t>
      </w:r>
      <w:r w:rsidR="003F6A08" w:rsidRPr="003F6A08">
        <w:rPr>
          <w:rFonts w:ascii="Arial" w:hAnsi="Arial" w:cs="Arial"/>
          <w:b/>
          <w:bCs/>
          <w:kern w:val="0"/>
          <w:sz w:val="24"/>
          <w:szCs w:val="24"/>
          <w:lang w:val="fr-FR"/>
        </w:rPr>
        <w:t>(BMIH500</w:t>
      </w:r>
      <w:r w:rsidR="0068567F">
        <w:rPr>
          <w:rFonts w:ascii="Arial" w:hAnsi="Arial" w:cs="Arial"/>
          <w:b/>
          <w:bCs/>
          <w:kern w:val="0"/>
          <w:sz w:val="24"/>
          <w:szCs w:val="24"/>
          <w:lang w:val="fr-FR"/>
        </w:rPr>
        <w:t>4</w:t>
      </w:r>
      <w:r w:rsidR="003F6A08" w:rsidRPr="003F6A08">
        <w:rPr>
          <w:rFonts w:ascii="Arial" w:hAnsi="Arial" w:cs="Arial"/>
          <w:b/>
          <w:bCs/>
          <w:kern w:val="0"/>
          <w:sz w:val="24"/>
          <w:szCs w:val="24"/>
          <w:lang w:val="fr-FR"/>
        </w:rPr>
        <w:t>)</w:t>
      </w:r>
    </w:p>
    <w:p w14:paraId="4E3B087A" w14:textId="2CF73838" w:rsidR="003F6A08" w:rsidRDefault="003F6A08" w:rsidP="003F6A08">
      <w:pPr>
        <w:rPr>
          <w:rFonts w:ascii="Arial" w:hAnsi="Arial" w:cs="Arial"/>
          <w:b/>
          <w:bCs/>
          <w:kern w:val="0"/>
          <w:sz w:val="24"/>
          <w:szCs w:val="24"/>
          <w:lang w:val="fr-FR"/>
        </w:rPr>
      </w:pPr>
      <w:r w:rsidRPr="003F6A08">
        <w:rPr>
          <w:rFonts w:ascii="Arial" w:hAnsi="Arial" w:cs="Arial"/>
          <w:b/>
          <w:bCs/>
          <w:kern w:val="0"/>
          <w:sz w:val="24"/>
          <w:szCs w:val="24"/>
          <w:lang w:val="fr-FR"/>
        </w:rPr>
        <w:t xml:space="preserve">Lecturer: </w:t>
      </w:r>
      <w:r w:rsidR="0068567F">
        <w:rPr>
          <w:rFonts w:ascii="Arial" w:hAnsi="Arial" w:cs="Arial"/>
          <w:b/>
          <w:bCs/>
          <w:kern w:val="0"/>
          <w:sz w:val="24"/>
          <w:szCs w:val="24"/>
          <w:lang w:val="fr-FR"/>
        </w:rPr>
        <w:t>Julia Ault</w:t>
      </w:r>
    </w:p>
    <w:p w14:paraId="1997FC3D" w14:textId="77777777" w:rsidR="003F6A08" w:rsidRDefault="003F6A08" w:rsidP="003F6A08">
      <w:pPr>
        <w:rPr>
          <w:rFonts w:ascii="Arial" w:hAnsi="Arial" w:cs="Arial"/>
          <w:b/>
          <w:bCs/>
          <w:kern w:val="0"/>
          <w:sz w:val="24"/>
          <w:szCs w:val="24"/>
          <w:lang w:val="fr-FR"/>
        </w:rPr>
      </w:pPr>
    </w:p>
    <w:p w14:paraId="01B57203" w14:textId="77777777" w:rsidR="003F6A08" w:rsidRDefault="003F6A08" w:rsidP="003F6A08">
      <w:pPr>
        <w:rPr>
          <w:rFonts w:ascii="Arial" w:hAnsi="Arial" w:cs="Arial"/>
          <w:b/>
          <w:bCs/>
          <w:kern w:val="0"/>
          <w:sz w:val="24"/>
          <w:szCs w:val="24"/>
          <w:lang w:val="fr-FR"/>
        </w:rPr>
      </w:pPr>
    </w:p>
    <w:p w14:paraId="3BD4EBDF" w14:textId="77777777" w:rsidR="003F6A08" w:rsidRDefault="003F6A08" w:rsidP="003F6A08">
      <w:pPr>
        <w:rPr>
          <w:rFonts w:ascii="Arial" w:hAnsi="Arial" w:cs="Arial"/>
          <w:b/>
          <w:bCs/>
          <w:kern w:val="0"/>
          <w:sz w:val="24"/>
          <w:szCs w:val="24"/>
          <w:lang w:val="fr-FR"/>
        </w:rPr>
      </w:pPr>
    </w:p>
    <w:p w14:paraId="56C03665" w14:textId="77777777" w:rsidR="003F6A08" w:rsidRDefault="003F6A08" w:rsidP="003F6A08">
      <w:pPr>
        <w:rPr>
          <w:rFonts w:ascii="Arial" w:hAnsi="Arial" w:cs="Arial"/>
          <w:b/>
          <w:bCs/>
          <w:kern w:val="0"/>
          <w:sz w:val="24"/>
          <w:szCs w:val="24"/>
          <w:lang w:val="fr-FR"/>
        </w:rPr>
      </w:pPr>
    </w:p>
    <w:p w14:paraId="6E58F896" w14:textId="77777777" w:rsidR="003F6A08" w:rsidRDefault="003F6A08" w:rsidP="003F6A08">
      <w:pPr>
        <w:rPr>
          <w:rFonts w:ascii="Arial" w:hAnsi="Arial" w:cs="Arial"/>
          <w:b/>
          <w:bCs/>
          <w:kern w:val="0"/>
          <w:sz w:val="24"/>
          <w:szCs w:val="24"/>
          <w:lang w:val="fr-FR"/>
        </w:rPr>
      </w:pPr>
    </w:p>
    <w:p w14:paraId="164D4616" w14:textId="77777777" w:rsidR="003F6A08" w:rsidRDefault="003F6A08" w:rsidP="003F6A08">
      <w:pPr>
        <w:rPr>
          <w:rFonts w:ascii="Arial" w:hAnsi="Arial" w:cs="Arial"/>
          <w:b/>
          <w:bCs/>
          <w:kern w:val="0"/>
          <w:sz w:val="24"/>
          <w:szCs w:val="24"/>
          <w:lang w:val="fr-FR"/>
        </w:rPr>
      </w:pPr>
    </w:p>
    <w:p w14:paraId="1A7E369F" w14:textId="77777777" w:rsidR="003F6A08" w:rsidRDefault="003F6A08" w:rsidP="003F6A08">
      <w:pPr>
        <w:rPr>
          <w:rFonts w:ascii="Arial" w:hAnsi="Arial" w:cs="Arial"/>
          <w:b/>
          <w:bCs/>
          <w:kern w:val="0"/>
          <w:sz w:val="24"/>
          <w:szCs w:val="24"/>
          <w:lang w:val="fr-FR"/>
        </w:rPr>
      </w:pPr>
    </w:p>
    <w:p w14:paraId="284D077B" w14:textId="77777777" w:rsidR="003F6A08" w:rsidRDefault="003F6A08" w:rsidP="003F6A08">
      <w:pPr>
        <w:rPr>
          <w:rFonts w:ascii="Arial" w:hAnsi="Arial" w:cs="Arial"/>
          <w:b/>
          <w:bCs/>
          <w:kern w:val="0"/>
          <w:sz w:val="24"/>
          <w:szCs w:val="24"/>
          <w:lang w:val="fr-FR"/>
        </w:rPr>
      </w:pPr>
    </w:p>
    <w:p w14:paraId="45025AF9"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02844281"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15EB7959"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28646365"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4B9CA596" w14:textId="77777777" w:rsidR="00B92E8A" w:rsidRDefault="00B92E8A" w:rsidP="003F6A08">
      <w:pPr>
        <w:pStyle w:val="NormalWeb"/>
        <w:spacing w:before="0" w:beforeAutospacing="0" w:after="0" w:afterAutospacing="0" w:line="360" w:lineRule="auto"/>
        <w:jc w:val="both"/>
        <w:rPr>
          <w:rStyle w:val="Strong"/>
          <w:rFonts w:ascii="Arial" w:hAnsi="Arial" w:cs="Arial"/>
          <w:color w:val="0E101A"/>
        </w:rPr>
      </w:pPr>
    </w:p>
    <w:p w14:paraId="2B161D0C" w14:textId="2E45ECDD"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lastRenderedPageBreak/>
        <w:t>Introduction </w:t>
      </w:r>
    </w:p>
    <w:p w14:paraId="0A650EC2"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According to Tien et al. (2019), strategic management is central to enhancing business growth and profitability in the wake of dynamics in a business environment. The hotel and tourism industry has faced significant challenges, especially during the coronavirus pandemic. Corporate leaders and managers are keen on promoting green and sustainable business practices to drive growth and profitability. The success of Hilton Hotel Group is a transnational business which has attained exponential growth over the years (Reidhead, 2020). The Company was founded in 1919 by its founder, Conrad Hilton, who bought the Mowbray Inn in Texas. This report will explore various aspects of strategic management of the chosen business organisation. </w:t>
      </w:r>
    </w:p>
    <w:p w14:paraId="4F1AC664"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61F3E132"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Organisation Structure, Culture and Goals</w:t>
      </w:r>
    </w:p>
    <w:p w14:paraId="64132842"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According to Pathiranage et al. (2020), effective organisational structure and supportive corporate culture are crucial in attaining short-term and long-term goals. Hilton was established about a century ago and has become a major player in the tourism and hospitality sector. The business manages a portfolio of world-class brands, including the Embassy Suites Hotels, Hilton Garden Inn, and Hampton Inn Hotel (Andersson et al., 2019). Other important ventures include Waldorf Astoria and DoubleTree by Hilton. Currently, the Company has about 4322 hotels, timeshare properties, and resorts in 94 countries globally. Hilton Hotel Group is one of the major employers in the hospitality industry, with about 157000 employees in its various properties and corporate offices across the globe. According to Zeng (2021), approximately 50 million customers enjoy various customer loyalty programs. The business organisation prides itself on excellent leadership and management based on effective corporate culture—at the heart of seamless processes in change implementation (Spina, 2020). Evaluating organisational structure concerning the organisational culture is imperative to determine opportunities and challenges for its future growth and profitability. </w:t>
      </w:r>
    </w:p>
    <w:p w14:paraId="3664DAE6"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4DFC57CC"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Organisational Structure</w:t>
      </w:r>
    </w:p>
    <w:p w14:paraId="4F4CF17D"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Hilton Hotel Group’s organisational structure is divisional. Divisional organisational structure describes a system where the business organisation segments its team members based on the products or market rather than their assigned roles and responsibilities (Hilton.Com, 2023). Divisional units include sales, </w:t>
      </w:r>
      <w:r w:rsidRPr="003F6A08">
        <w:rPr>
          <w:rFonts w:ascii="Arial" w:hAnsi="Arial" w:cs="Arial"/>
          <w:color w:val="0E101A"/>
        </w:rPr>
        <w:lastRenderedPageBreak/>
        <w:t>communication, and marketing. The choice of organisational structure largely depends on the business strategy and corporate culture. The organisation's C-suite is largely responsible for managing various functional units and geographic divisions, including the business itself divides its properties and operational activities into three main categories—ownership, management and franchise, and Timeshare. The ownership, management and franchise are under the management of Hilton Hotels and Resorts, while the Timeshare is under the Grand Vacation. The Grand Vacations has been a separate unit since 2008 when the Hilton Hotels and Resorts traded publicly. The current chief executive officer of the business company is Christopher J. Nassetta (2007-23). The top leadership and management of the organisation have made significant contributions in providing direction and guidance to team members to achieve the organisational goals. </w:t>
      </w:r>
    </w:p>
    <w:p w14:paraId="55D93AC0"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Corporate Culture </w:t>
      </w:r>
    </w:p>
    <w:p w14:paraId="09AFB8A3"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Supportive corporate cultures are crucial in establishing a productive workplace environment for all employees, irrespective of their cultural backgrounds. It entails the shared values, traditions, and acceptable behaviours that guide the actions of various stakeholders, including the employees. The Company's corporate culture is based on the concept of the "business of people serving people" It entails providing conducive and supportive work environments for all employees to facilitate the attainment of desired experiences among the guests. The management provides regular rewards, awards, and events to recognise and acknowledge employees with exceptional skills and competencies. The overarching values include integrity, leadership, ownership, and teamwork. </w:t>
      </w:r>
    </w:p>
    <w:p w14:paraId="43690A4F"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Since the advent of rapid technological advancement and globalisation, most companies have culturally multifaceted workplace settings. Managing cultural diversity and inherent challenges can be problematic, especially without effective leadership and management. The management is committed to promoting diversity and inclusivity at the Hilton Hotel Group. It entails understanding and integrating employees' unique perspectives and voices from diverse cultural backgrounds to promote the organisation's growth. </w:t>
      </w:r>
    </w:p>
    <w:p w14:paraId="2FBD4D98"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Goals </w:t>
      </w:r>
    </w:p>
    <w:p w14:paraId="0C569258"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Effective management entails creating goals and objectives to serve and direct team members towards achieving the mission and vision of the organisation. Hilton Hotel Group is anchored on creating value for its constituents where the hotels are </w:t>
      </w:r>
      <w:r w:rsidRPr="003F6A08">
        <w:rPr>
          <w:rFonts w:ascii="Arial" w:hAnsi="Arial" w:cs="Arial"/>
          <w:color w:val="0E101A"/>
        </w:rPr>
        <w:lastRenderedPageBreak/>
        <w:t>established. Key constituents include strategic partners, host communities, customers, shareholders, and owners. </w:t>
      </w:r>
    </w:p>
    <w:p w14:paraId="1DBE91E6"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7038F070"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Recent Change Initiatives</w:t>
      </w:r>
    </w:p>
    <w:p w14:paraId="536CFAE9"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Practice changes are inevitable as far as managing business organisations is concerned. Tourism and hospitality businesses tend to witness insurmountable dynamics that affect various business operations. The management and leadership of the business organisations must create effective approaches to dealing with the change implementation-related feedback. Change management models are useful in ensuring seamless processes when implementing organisational changes. Passive and active resistance from the team members can lead to change implementation errors or non-attainment of the desired organisational outcomes. It is imperative to evaluate opportunities for change implementation, including potential setbacks that can impede the processes associated with the adoption of recommended changes. Corporate cultures are central as far as change implementation processes are concerned. Hilton Hotel Group has experienced significant changes in the past—which have greatly impacted the operations of the business company.</w:t>
      </w:r>
    </w:p>
    <w:p w14:paraId="3217C878"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The outbreak of COVID-19 had far-reaching implications on the operations of business activities. For instance, the Company had faced the need to deal with the fallout from increased cancellations due to travel bans to contain the spread of the novel virus. Although the impacts of the pandemic have been devastating across the board, the travel and hospitality industry experienced the brunt of the outbreak of COVID-19. However, the management of Hilton Hotel Group adopted unique strategies to deal with significant changes occasioned by uncertainties in the industry. Product innovation, marketing creativity and customer connection were useful approaches to restoring trust and confidence among the targeted customers. The management adopted renewed diligence and care in improving the cleaning of hotel rooms by forming a partnership with a trusted household cleaning brand—Lysol. The cleaning brand has been engaged in various hotel rooms to enhance customers' safety in the wake of the coronavirus pandemic.</w:t>
      </w:r>
    </w:p>
    <w:p w14:paraId="55727DE2"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Secondly, the management leveraged social media to collect views and inputs from the targeted customers. It entails collecting the views on the cleaning brands most households trust the most based on the information gathered from social listening. Thirdly, the Company adopted marketing creativity to address the challenges </w:t>
      </w:r>
      <w:r w:rsidRPr="003F6A08">
        <w:rPr>
          <w:rFonts w:ascii="Arial" w:hAnsi="Arial" w:cs="Arial"/>
          <w:color w:val="0E101A"/>
        </w:rPr>
        <w:lastRenderedPageBreak/>
        <w:t>arising from increased cancellations. The management announced the introduction of a global marketing campaign (2020). The initiative aimed at collecting the views of the customers by conducting surveys. The proposed campaign became an effective tool for reigniting customers' passion for travel by popularising various offers and promotional programs. The announcements appealed to the people, especially in the wake of increased implementation of containment measures which denied people the opportunity to travel. </w:t>
      </w:r>
    </w:p>
    <w:p w14:paraId="24541C39"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Other significant change initiatives include broadening marketing strategy to promote the Company's brands. The Company has continued to face stiff competition from rival companies, making it challenging to popularise its new brands in the market. The management of the Company increased financial allocation of over $100 million to enhance advertisement (2019). Hilton Hotel Group enhanced its marketing strategy by leveraging all media channels to reach its customers. The management engages in brand and whole company marketing to achieve the set goals and objectives. The most notable brands include Waldorf Astoria and Hampton Inn. Enterprise marketing is crucial in popularising a broad base of clients and esteemed customers who are members. Therefore, the identified change initiatives have been instrumental in revamping the business growth and profitability of the Hilton Hotel Group—which are crucial in countering stiff competition in the travel and hospitality industry. </w:t>
      </w:r>
    </w:p>
    <w:p w14:paraId="4F1670D4"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172E4664" w14:textId="77777777" w:rsidR="003F6A08" w:rsidRPr="003F6A08" w:rsidRDefault="003F6A08" w:rsidP="003F6A08">
      <w:pPr>
        <w:spacing w:line="360" w:lineRule="auto"/>
        <w:jc w:val="both"/>
        <w:rPr>
          <w:rStyle w:val="Strong"/>
          <w:rFonts w:ascii="Arial" w:hAnsi="Arial" w:cs="Arial"/>
          <w:color w:val="0E101A"/>
          <w:sz w:val="24"/>
          <w:szCs w:val="24"/>
        </w:rPr>
      </w:pPr>
      <w:r w:rsidRPr="003F6A08">
        <w:rPr>
          <w:rStyle w:val="Strong"/>
          <w:rFonts w:ascii="Arial" w:hAnsi="Arial" w:cs="Arial"/>
          <w:color w:val="0E101A"/>
          <w:sz w:val="24"/>
          <w:szCs w:val="24"/>
        </w:rPr>
        <w:t>Strategic Direction and Current Business Performance</w:t>
      </w:r>
    </w:p>
    <w:p w14:paraId="79C27859" w14:textId="7FE69568" w:rsidR="003F6A08" w:rsidRPr="003F6A08" w:rsidRDefault="003F6A08" w:rsidP="003F6A08">
      <w:pPr>
        <w:spacing w:line="360" w:lineRule="auto"/>
        <w:jc w:val="both"/>
        <w:rPr>
          <w:rFonts w:ascii="Arial" w:hAnsi="Arial" w:cs="Arial"/>
          <w:b/>
          <w:bCs/>
          <w:color w:val="0E101A"/>
          <w:sz w:val="24"/>
          <w:szCs w:val="24"/>
        </w:rPr>
      </w:pPr>
      <w:r w:rsidRPr="003F6A08">
        <w:rPr>
          <w:rStyle w:val="Strong"/>
          <w:rFonts w:ascii="Arial" w:hAnsi="Arial" w:cs="Arial"/>
          <w:color w:val="0E101A"/>
          <w:sz w:val="24"/>
          <w:szCs w:val="24"/>
        </w:rPr>
        <w:t xml:space="preserve">            </w:t>
      </w:r>
      <w:r w:rsidRPr="003F6A08">
        <w:rPr>
          <w:rFonts w:ascii="Arial" w:hAnsi="Arial" w:cs="Arial"/>
          <w:color w:val="0E101A"/>
          <w:sz w:val="24"/>
          <w:szCs w:val="24"/>
        </w:rPr>
        <w:t>Effective strategic direction is crucial in promoting sustainability while enhancing business performance. The management of business organisations must find excellent and sustainable ways of managing scarce resources to protect the environment and enhance business growth (Achmad &amp; Yulianah, 2022; Al</w:t>
      </w:r>
      <w:r w:rsidRPr="003F6A08">
        <w:rPr>
          <w:rFonts w:ascii="Cambria Math" w:hAnsi="Cambria Math" w:cs="Cambria Math"/>
          <w:color w:val="0E101A"/>
          <w:sz w:val="24"/>
          <w:szCs w:val="24"/>
        </w:rPr>
        <w:t>‐</w:t>
      </w:r>
      <w:r w:rsidRPr="003F6A08">
        <w:rPr>
          <w:rFonts w:ascii="Arial" w:hAnsi="Arial" w:cs="Arial"/>
          <w:color w:val="0E101A"/>
          <w:sz w:val="24"/>
          <w:szCs w:val="24"/>
        </w:rPr>
        <w:t>Ghussain, 2019). Excellent leadership and management at Hilton Hotel Group have been responsible for sustained business growth and profitability. </w:t>
      </w:r>
    </w:p>
    <w:p w14:paraId="1FC9E853"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p>
    <w:p w14:paraId="348FF19B"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Strategic Direction</w:t>
      </w:r>
    </w:p>
    <w:p w14:paraId="1134AA24" w14:textId="3573750F"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 xml:space="preserve">Hilton Hotel Group is committed to sustainable business practices in response to three pillars of sustainability—social, economic, and environmental. The business exists to provide employment opportunities and corporate social responsibility (CSR) programs to benefit host communities (Bianchi &amp; de Man, 2021; Johann, 2022). The </w:t>
      </w:r>
      <w:r w:rsidRPr="003F6A08">
        <w:rPr>
          <w:rFonts w:ascii="Arial" w:hAnsi="Arial" w:cs="Arial"/>
          <w:color w:val="0E101A"/>
        </w:rPr>
        <w:lastRenderedPageBreak/>
        <w:t xml:space="preserve">business organisation is committed to reducing waste and driving </w:t>
      </w:r>
      <w:proofErr w:type="gramStart"/>
      <w:r w:rsidR="00464EAD">
        <w:rPr>
          <w:rFonts w:ascii="Arial" w:hAnsi="Arial" w:cs="Arial"/>
          <w:color w:val="0E101A"/>
        </w:rPr>
        <w:t>forward</w:t>
      </w:r>
      <w:r w:rsidRPr="003F6A08">
        <w:rPr>
          <w:rFonts w:ascii="Arial" w:hAnsi="Arial" w:cs="Arial"/>
          <w:color w:val="0E101A"/>
        </w:rPr>
        <w:t xml:space="preserve"> </w:t>
      </w:r>
      <w:r w:rsidR="00464EAD">
        <w:rPr>
          <w:rFonts w:ascii="Arial" w:hAnsi="Arial" w:cs="Arial"/>
          <w:color w:val="0E101A"/>
        </w:rPr>
        <w:t xml:space="preserve"> to</w:t>
      </w:r>
      <w:proofErr w:type="gramEnd"/>
      <w:r w:rsidR="00464EAD">
        <w:rPr>
          <w:rFonts w:ascii="Arial" w:hAnsi="Arial" w:cs="Arial"/>
          <w:color w:val="0E101A"/>
        </w:rPr>
        <w:t xml:space="preserve"> </w:t>
      </w:r>
      <w:r w:rsidRPr="003F6A08">
        <w:rPr>
          <w:rFonts w:ascii="Arial" w:hAnsi="Arial" w:cs="Arial"/>
          <w:color w:val="0E101A"/>
        </w:rPr>
        <w:t xml:space="preserve">a circular economy. Other interventions include </w:t>
      </w:r>
      <w:r w:rsidR="00464EAD">
        <w:rPr>
          <w:rFonts w:ascii="Arial" w:hAnsi="Arial" w:cs="Arial"/>
          <w:color w:val="0E101A"/>
        </w:rPr>
        <w:t>preventing waste</w:t>
      </w:r>
      <w:r w:rsidRPr="003F6A08">
        <w:rPr>
          <w:rFonts w:ascii="Arial" w:hAnsi="Arial" w:cs="Arial"/>
          <w:color w:val="0E101A"/>
        </w:rPr>
        <w:t>, recycling, and food upcycling and donation, all key management strategy components to create a greener hospitality industry. The management pledged to reduce waste by approximately 50% by 2030 (Hilton.Com, 2023; Bianchi &amp; de Man, 2021). Innovative solutions have been crucial in addressing the concerns associated with global warming. </w:t>
      </w:r>
    </w:p>
    <w:p w14:paraId="2C6FF0F5"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The business is also implementing outsourcing housekeeping services to cut costs and improve efficiencies. According to Johnson and Jaehrling (2021), cost savings are the primary reason for outsourcing. Due to the pandemic outbreak, the business renewed its commitment to cost-cutting measures to improve the sustainability of business operations in the long run. Successful implementation of outsourcing is crucial in relieving the management from the escalating costs of providing essential services to its guests, especially during off-peak. The housekeeping department tends to experience higher turnover rates than other departments (Pesonen, 2015). According to Mori and Mori (2020), the strategy entails engaging in a contract and providing fixed monthly costs to eliminate or reduce potential fluctuations in operating costs. The management has realised about a 25% reduction in the expenses of human resources. </w:t>
      </w:r>
    </w:p>
    <w:p w14:paraId="5773823B" w14:textId="24BCF472"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Fonts w:ascii="Arial" w:hAnsi="Arial" w:cs="Arial"/>
          <w:color w:val="0E101A"/>
        </w:rPr>
        <w:t>In 2021, the management of Hilton Hotel Group announced the changes associated with the use of daily housekeeping services when needed, especially in the US. (Sharma &amp; Kaushik, 2021) The cleaning services will be automated on a specific day of a stay to reduce operating expenses. However, the Hilton luxury brands are exempted from the new directive (Chan et al., 2021). The Company has demonstrated commitment to enhancing socioeconomic impact while reducing the environmental footprint due to productive activities.</w:t>
      </w:r>
    </w:p>
    <w:p w14:paraId="2286D30A"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p>
    <w:p w14:paraId="0557ED4D"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Current Business Performance</w:t>
      </w:r>
    </w:p>
    <w:p w14:paraId="19374A9D" w14:textId="77777777"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t>Hilton Hotel Group has continued to experience significant improvement in its overall business performance. The Company's annual revenue in 2022 was $ 8.773B, representing a 51.57% increase from the previous year (Macrotrends.Net, 2022). The annual gross profit was $ 5.109B (2022), representing a 38.57% increase from 2020 (Macrotrends.Net, 2022). The annual gross profit for 2020 was $3.687B, representing approximately a 55.03% decline from the previous year. </w:t>
      </w:r>
    </w:p>
    <w:p w14:paraId="79361FE1" w14:textId="3203B1E6" w:rsidR="003F6A08" w:rsidRPr="003F6A08" w:rsidRDefault="003F6A08" w:rsidP="003F6A08">
      <w:pPr>
        <w:pStyle w:val="NormalWeb"/>
        <w:spacing w:before="0" w:beforeAutospacing="0" w:after="0" w:afterAutospacing="0" w:line="360" w:lineRule="auto"/>
        <w:ind w:firstLine="720"/>
        <w:jc w:val="both"/>
        <w:rPr>
          <w:rFonts w:ascii="Arial" w:hAnsi="Arial" w:cs="Arial"/>
          <w:color w:val="0E101A"/>
        </w:rPr>
      </w:pPr>
      <w:r w:rsidRPr="003F6A08">
        <w:rPr>
          <w:rFonts w:ascii="Arial" w:hAnsi="Arial" w:cs="Arial"/>
          <w:color w:val="0E101A"/>
        </w:rPr>
        <w:lastRenderedPageBreak/>
        <w:t>More critically, the Company has attained significant growth in sales volume due to the adoption of loyalty programs to improve customer satisfaction. Hilton Honors represent the program. Under the program, customers are rewarded with points when they utilise services provided by the Hilton hotels and resorts located in various countries across the globe (Fu, 2023). The points are redee</w:t>
      </w:r>
      <w:r w:rsidR="00823CA9">
        <w:rPr>
          <w:rFonts w:ascii="Arial" w:hAnsi="Arial" w:cs="Arial"/>
          <w:color w:val="0E101A"/>
        </w:rPr>
        <w:t xml:space="preserve">med for </w:t>
      </w:r>
      <w:r w:rsidRPr="003F6A08">
        <w:rPr>
          <w:rFonts w:ascii="Arial" w:hAnsi="Arial" w:cs="Arial"/>
          <w:color w:val="0E101A"/>
        </w:rPr>
        <w:t>hotel nights</w:t>
      </w:r>
      <w:r w:rsidR="00823CA9">
        <w:rPr>
          <w:rFonts w:ascii="Arial" w:hAnsi="Arial" w:cs="Arial"/>
          <w:color w:val="0E101A"/>
        </w:rPr>
        <w:t xml:space="preserve"> </w:t>
      </w:r>
      <w:r w:rsidR="00A628E7">
        <w:rPr>
          <w:rFonts w:ascii="Arial" w:hAnsi="Arial" w:cs="Arial"/>
          <w:color w:val="0E101A"/>
        </w:rPr>
        <w:t>accommodation</w:t>
      </w:r>
      <w:r w:rsidRPr="003F6A08">
        <w:rPr>
          <w:rFonts w:ascii="Arial" w:hAnsi="Arial" w:cs="Arial"/>
          <w:color w:val="0E101A"/>
        </w:rPr>
        <w:t xml:space="preserve"> and other exciting services (Jones &amp; Wynn, 2023). Implementing the loyalty program has enabled the Company to attract and retain customers by enhancing it</w:t>
      </w:r>
      <w:r w:rsidR="00420A5B">
        <w:rPr>
          <w:rFonts w:ascii="Arial" w:hAnsi="Arial" w:cs="Arial"/>
          <w:color w:val="0E101A"/>
        </w:rPr>
        <w:t xml:space="preserve"> i</w:t>
      </w:r>
      <w:r w:rsidRPr="003F6A08">
        <w:rPr>
          <w:rFonts w:ascii="Arial" w:hAnsi="Arial" w:cs="Arial"/>
          <w:color w:val="0E101A"/>
        </w:rPr>
        <w:t>s market penetration and size (Lee et al., 2023). The Hilton Honors members represent about 56% of system-wide occupancy and account for $17.0B in hotel-level revenues (2016). However, the decline in occupancy was largely associated with the coronavirus outbreak (2019-2020). </w:t>
      </w:r>
    </w:p>
    <w:p w14:paraId="2C71F972" w14:textId="77777777" w:rsidR="003F6A08" w:rsidRPr="003F6A08" w:rsidRDefault="003F6A08" w:rsidP="003F6A08">
      <w:pPr>
        <w:pStyle w:val="NormalWeb"/>
        <w:spacing w:before="0" w:beforeAutospacing="0" w:after="0" w:afterAutospacing="0" w:line="360" w:lineRule="auto"/>
        <w:jc w:val="both"/>
        <w:rPr>
          <w:rFonts w:ascii="Arial" w:hAnsi="Arial" w:cs="Arial"/>
          <w:color w:val="0E101A"/>
        </w:rPr>
      </w:pPr>
      <w:r w:rsidRPr="003F6A08">
        <w:rPr>
          <w:rStyle w:val="Strong"/>
          <w:rFonts w:ascii="Arial" w:hAnsi="Arial" w:cs="Arial"/>
          <w:color w:val="0E101A"/>
        </w:rPr>
        <w:t>Conclusion </w:t>
      </w:r>
    </w:p>
    <w:p w14:paraId="0B12F904" w14:textId="45EB2719" w:rsidR="003F6A08" w:rsidRDefault="003F6A08" w:rsidP="003F6A08">
      <w:pPr>
        <w:spacing w:line="360" w:lineRule="auto"/>
        <w:jc w:val="both"/>
        <w:rPr>
          <w:rFonts w:ascii="Arial" w:hAnsi="Arial" w:cs="Arial"/>
          <w:color w:val="0E101A"/>
          <w:sz w:val="24"/>
          <w:szCs w:val="24"/>
        </w:rPr>
      </w:pPr>
      <w:r w:rsidRPr="003F6A08">
        <w:rPr>
          <w:rFonts w:ascii="Arial" w:hAnsi="Arial" w:cs="Arial"/>
          <w:color w:val="0E101A"/>
          <w:sz w:val="24"/>
          <w:szCs w:val="24"/>
        </w:rPr>
        <w:t>            Therefore, it is imperative to note the Hilton Hotel Group's exponential business growth and profitability. The supportive corporate culture of the Company has contributed to creating a productive workplace environment for all employees, irrespective of their cultural backgrounds. Hilton Hotel Group's organisational structure is divisional—which has been crucial for the success of the business organisation. The choice of organisational structure depends on the business strategy and corporate culture. Although the outbreak of COVID-19 had negative implications on the operations of the business activities, Hilton Hotel Group has navigated such challenges through strategic management and leadership. The Company is committed to sustainable business practices in response to three pillars of sustainability—social, economic, and environmental.</w:t>
      </w:r>
    </w:p>
    <w:p w14:paraId="601D8264" w14:textId="77777777" w:rsidR="003F6A08" w:rsidRDefault="003F6A08" w:rsidP="003F6A08">
      <w:pPr>
        <w:spacing w:line="360" w:lineRule="auto"/>
        <w:jc w:val="both"/>
        <w:rPr>
          <w:rFonts w:ascii="Arial" w:hAnsi="Arial" w:cs="Arial"/>
          <w:color w:val="0E101A"/>
          <w:sz w:val="24"/>
          <w:szCs w:val="24"/>
        </w:rPr>
      </w:pPr>
    </w:p>
    <w:p w14:paraId="58B67E24" w14:textId="77777777" w:rsidR="003F6A08" w:rsidRDefault="003F6A08" w:rsidP="003F6A08">
      <w:pPr>
        <w:spacing w:line="360" w:lineRule="auto"/>
        <w:jc w:val="both"/>
        <w:rPr>
          <w:rFonts w:ascii="Arial" w:hAnsi="Arial" w:cs="Arial"/>
          <w:color w:val="0E101A"/>
          <w:sz w:val="24"/>
          <w:szCs w:val="24"/>
        </w:rPr>
      </w:pPr>
    </w:p>
    <w:p w14:paraId="0964E7C8" w14:textId="77777777" w:rsidR="003F6A08" w:rsidRDefault="003F6A08" w:rsidP="003F6A08">
      <w:pPr>
        <w:spacing w:line="360" w:lineRule="auto"/>
        <w:jc w:val="both"/>
        <w:rPr>
          <w:rFonts w:ascii="Arial" w:hAnsi="Arial" w:cs="Arial"/>
          <w:color w:val="0E101A"/>
          <w:sz w:val="24"/>
          <w:szCs w:val="24"/>
        </w:rPr>
      </w:pPr>
    </w:p>
    <w:p w14:paraId="0654CB3C" w14:textId="77777777" w:rsidR="003F6A08" w:rsidRDefault="003F6A08" w:rsidP="003F6A08">
      <w:pPr>
        <w:spacing w:line="360" w:lineRule="auto"/>
        <w:jc w:val="both"/>
        <w:rPr>
          <w:rFonts w:ascii="Arial" w:hAnsi="Arial" w:cs="Arial"/>
          <w:color w:val="0E101A"/>
          <w:sz w:val="24"/>
          <w:szCs w:val="24"/>
        </w:rPr>
      </w:pPr>
    </w:p>
    <w:p w14:paraId="328B7546" w14:textId="77777777" w:rsidR="003F6A08" w:rsidRDefault="003F6A08" w:rsidP="003F6A08">
      <w:pPr>
        <w:spacing w:line="360" w:lineRule="auto"/>
        <w:jc w:val="both"/>
        <w:rPr>
          <w:rFonts w:ascii="Arial" w:hAnsi="Arial" w:cs="Arial"/>
          <w:color w:val="0E101A"/>
          <w:sz w:val="24"/>
          <w:szCs w:val="24"/>
        </w:rPr>
      </w:pPr>
    </w:p>
    <w:p w14:paraId="585EAC1E" w14:textId="77777777" w:rsidR="003F6A08" w:rsidRDefault="003F6A08" w:rsidP="003F6A08">
      <w:pPr>
        <w:spacing w:line="360" w:lineRule="auto"/>
        <w:jc w:val="both"/>
        <w:rPr>
          <w:rFonts w:ascii="Arial" w:hAnsi="Arial" w:cs="Arial"/>
          <w:color w:val="0E101A"/>
          <w:sz w:val="24"/>
          <w:szCs w:val="24"/>
        </w:rPr>
      </w:pPr>
    </w:p>
    <w:p w14:paraId="2160CB1B" w14:textId="77777777" w:rsidR="003F6A08" w:rsidRDefault="003F6A08" w:rsidP="003F6A08">
      <w:pPr>
        <w:spacing w:line="360" w:lineRule="auto"/>
        <w:jc w:val="both"/>
        <w:rPr>
          <w:rFonts w:ascii="Arial" w:hAnsi="Arial" w:cs="Arial"/>
          <w:color w:val="0E101A"/>
          <w:sz w:val="24"/>
          <w:szCs w:val="24"/>
        </w:rPr>
      </w:pPr>
    </w:p>
    <w:sdt>
      <w:sdtPr>
        <w:rPr>
          <w:rFonts w:ascii="Arial" w:hAnsi="Arial" w:cs="Arial"/>
          <w:sz w:val="24"/>
          <w:szCs w:val="24"/>
        </w:rPr>
        <w:id w:val="5632957"/>
        <w:docPartObj>
          <w:docPartGallery w:val="Bibliographies"/>
          <w:docPartUnique/>
        </w:docPartObj>
      </w:sdtPr>
      <w:sdtContent>
        <w:p w14:paraId="039CF966" w14:textId="77777777" w:rsidR="003F6A08" w:rsidRPr="003F6A08" w:rsidRDefault="003F6A08" w:rsidP="003F6A08">
          <w:pPr>
            <w:keepNext/>
            <w:keepLines/>
            <w:spacing w:before="240" w:after="0" w:line="360" w:lineRule="auto"/>
            <w:jc w:val="center"/>
            <w:outlineLvl w:val="0"/>
            <w:rPr>
              <w:rFonts w:ascii="Arial" w:eastAsiaTheme="majorEastAsia" w:hAnsi="Arial" w:cs="Arial"/>
              <w:b/>
              <w:bCs/>
              <w:kern w:val="0"/>
              <w:sz w:val="24"/>
              <w:szCs w:val="24"/>
              <w:lang w:val="en-US"/>
            </w:rPr>
          </w:pPr>
          <w:r w:rsidRPr="003F6A08">
            <w:rPr>
              <w:rFonts w:ascii="Arial" w:eastAsiaTheme="majorEastAsia" w:hAnsi="Arial" w:cs="Arial"/>
              <w:b/>
              <w:bCs/>
              <w:kern w:val="0"/>
              <w:sz w:val="24"/>
              <w:szCs w:val="24"/>
              <w:lang w:val="en-US"/>
            </w:rPr>
            <w:t>References</w:t>
          </w:r>
        </w:p>
        <w:sdt>
          <w:sdtPr>
            <w:rPr>
              <w:rFonts w:ascii="Arial" w:hAnsi="Arial" w:cs="Arial"/>
              <w:sz w:val="24"/>
              <w:szCs w:val="24"/>
            </w:rPr>
            <w:id w:val="-573587230"/>
            <w:bibliography/>
          </w:sdtPr>
          <w:sdtContent>
            <w:p w14:paraId="381875F4" w14:textId="77777777" w:rsidR="003F6A08" w:rsidRPr="003F6A08" w:rsidRDefault="003F6A08" w:rsidP="003F6A08">
              <w:pPr>
                <w:spacing w:line="360" w:lineRule="auto"/>
                <w:ind w:left="720" w:hanging="720"/>
                <w:rPr>
                  <w:rFonts w:ascii="Arial" w:hAnsi="Arial" w:cs="Arial"/>
                  <w:noProof/>
                  <w:kern w:val="0"/>
                  <w:sz w:val="24"/>
                  <w:szCs w:val="24"/>
                </w:rPr>
              </w:pPr>
              <w:r w:rsidRPr="003F6A08">
                <w:rPr>
                  <w:rFonts w:ascii="Arial" w:hAnsi="Arial" w:cs="Arial"/>
                  <w:sz w:val="24"/>
                  <w:szCs w:val="24"/>
                </w:rPr>
                <w:fldChar w:fldCharType="begin"/>
              </w:r>
              <w:r w:rsidRPr="003F6A08">
                <w:rPr>
                  <w:rFonts w:ascii="Arial" w:hAnsi="Arial" w:cs="Arial"/>
                  <w:sz w:val="24"/>
                  <w:szCs w:val="24"/>
                </w:rPr>
                <w:instrText xml:space="preserve"> BIBLIOGRAPHY </w:instrText>
              </w:r>
              <w:r w:rsidRPr="003F6A08">
                <w:rPr>
                  <w:rFonts w:ascii="Arial" w:hAnsi="Arial" w:cs="Arial"/>
                  <w:sz w:val="24"/>
                  <w:szCs w:val="24"/>
                </w:rPr>
                <w:fldChar w:fldCharType="separate"/>
              </w:r>
              <w:r w:rsidRPr="003F6A08">
                <w:rPr>
                  <w:rFonts w:ascii="Arial" w:hAnsi="Arial" w:cs="Arial"/>
                  <w:noProof/>
                  <w:sz w:val="24"/>
                  <w:szCs w:val="24"/>
                </w:rPr>
                <w:t xml:space="preserve">Achmad, W., &amp; Yulianah, Y. (2022). Corporate social responsibility of the hospitality industry in realizing sustainable tourism development. Enrichment. </w:t>
              </w:r>
              <w:r w:rsidRPr="003F6A08">
                <w:rPr>
                  <w:rFonts w:ascii="Arial" w:hAnsi="Arial" w:cs="Arial"/>
                  <w:i/>
                  <w:iCs/>
                  <w:noProof/>
                  <w:sz w:val="24"/>
                  <w:szCs w:val="24"/>
                </w:rPr>
                <w:t>Journal of Management, 12</w:t>
              </w:r>
              <w:r w:rsidRPr="003F6A08">
                <w:rPr>
                  <w:rFonts w:ascii="Arial" w:hAnsi="Arial" w:cs="Arial"/>
                  <w:noProof/>
                  <w:sz w:val="24"/>
                  <w:szCs w:val="24"/>
                </w:rPr>
                <w:t>(2), 1610-1616. Available at:</w:t>
              </w:r>
              <w:hyperlink r:id="rId5" w:history="1">
                <w:r w:rsidRPr="003F6A08">
                  <w:rPr>
                    <w:rFonts w:ascii="Arial" w:hAnsi="Arial" w:cs="Arial"/>
                    <w:noProof/>
                    <w:color w:val="0000FF"/>
                    <w:sz w:val="24"/>
                    <w:szCs w:val="24"/>
                    <w:u w:val="single"/>
                  </w:rPr>
                  <w:t>https://doi.org/10.35335/enrichment.v12i2.447</w:t>
                </w:r>
              </w:hyperlink>
              <w:r w:rsidRPr="003F6A08">
                <w:rPr>
                  <w:rFonts w:ascii="Arial" w:hAnsi="Arial" w:cs="Arial"/>
                  <w:noProof/>
                  <w:sz w:val="24"/>
                  <w:szCs w:val="24"/>
                </w:rPr>
                <w:t>(Accessed: 9 Jun 2023).</w:t>
              </w:r>
            </w:p>
            <w:p w14:paraId="1D71D873"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Al</w:t>
              </w:r>
              <w:r w:rsidRPr="003F6A08">
                <w:rPr>
                  <w:rFonts w:ascii="Cambria Math" w:hAnsi="Cambria Math" w:cs="Cambria Math"/>
                  <w:noProof/>
                  <w:sz w:val="24"/>
                  <w:szCs w:val="24"/>
                </w:rPr>
                <w:t>‐</w:t>
              </w:r>
              <w:r w:rsidRPr="003F6A08">
                <w:rPr>
                  <w:rFonts w:ascii="Arial" w:hAnsi="Arial" w:cs="Arial"/>
                  <w:noProof/>
                  <w:sz w:val="24"/>
                  <w:szCs w:val="24"/>
                </w:rPr>
                <w:t xml:space="preserve">Ghussain, L. (2019). Global warming: Review on driving forces and mitigation. </w:t>
              </w:r>
              <w:r w:rsidRPr="003F6A08">
                <w:rPr>
                  <w:rFonts w:ascii="Arial" w:hAnsi="Arial" w:cs="Arial"/>
                  <w:i/>
                  <w:iCs/>
                  <w:noProof/>
                  <w:sz w:val="24"/>
                  <w:szCs w:val="24"/>
                </w:rPr>
                <w:t>Environmental Progress &amp; Sustainable Energy, 38</w:t>
              </w:r>
              <w:r w:rsidRPr="003F6A08">
                <w:rPr>
                  <w:rFonts w:ascii="Arial" w:hAnsi="Arial" w:cs="Arial"/>
                  <w:noProof/>
                  <w:sz w:val="24"/>
                  <w:szCs w:val="24"/>
                </w:rPr>
                <w:t>(1), 13-21.</w:t>
              </w:r>
              <w:r w:rsidRPr="003F6A08">
                <w:rPr>
                  <w:rFonts w:ascii="Arial" w:hAnsi="Arial" w:cs="Arial"/>
                </w:rPr>
                <w:t xml:space="preserve"> </w:t>
              </w:r>
              <w:r w:rsidRPr="003F6A08">
                <w:rPr>
                  <w:rFonts w:ascii="Arial" w:hAnsi="Arial" w:cs="Arial"/>
                  <w:noProof/>
                  <w:sz w:val="24"/>
                  <w:szCs w:val="24"/>
                </w:rPr>
                <w:t>Available at:</w:t>
              </w:r>
              <w:r w:rsidRPr="003F6A08">
                <w:rPr>
                  <w:rFonts w:ascii="Arial" w:hAnsi="Arial" w:cs="Arial"/>
                </w:rPr>
                <w:t xml:space="preserve"> </w:t>
              </w:r>
              <w:hyperlink r:id="rId6" w:history="1">
                <w:r w:rsidRPr="003F6A08">
                  <w:rPr>
                    <w:rFonts w:ascii="Arial" w:hAnsi="Arial" w:cs="Arial"/>
                    <w:noProof/>
                    <w:color w:val="0000FF"/>
                    <w:sz w:val="24"/>
                    <w:szCs w:val="24"/>
                    <w:u w:val="single"/>
                  </w:rPr>
                  <w:t>https://aiche.onlinelibrary.wiley.com/doi/abs/10.1002/ep.13041</w:t>
                </w:r>
              </w:hyperlink>
              <w:r w:rsidRPr="003F6A08">
                <w:rPr>
                  <w:rFonts w:ascii="Arial" w:hAnsi="Arial" w:cs="Arial"/>
                  <w:noProof/>
                  <w:sz w:val="24"/>
                  <w:szCs w:val="24"/>
                </w:rPr>
                <w:t>(Accessed: 9 Jun 2023).</w:t>
              </w:r>
            </w:p>
            <w:p w14:paraId="33898035"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Andersson, T., Cäker, M., Tengblad, S., &amp; Wickelgren, M. (2019). Building traits for organizational resilience through balancing organizational structures. </w:t>
              </w:r>
              <w:r w:rsidRPr="003F6A08">
                <w:rPr>
                  <w:rFonts w:ascii="Arial" w:hAnsi="Arial" w:cs="Arial"/>
                  <w:i/>
                  <w:iCs/>
                  <w:noProof/>
                  <w:sz w:val="24"/>
                  <w:szCs w:val="24"/>
                </w:rPr>
                <w:t>Scandinavian Journal of Management, 35</w:t>
              </w:r>
              <w:r w:rsidRPr="003F6A08">
                <w:rPr>
                  <w:rFonts w:ascii="Arial" w:hAnsi="Arial" w:cs="Arial"/>
                  <w:noProof/>
                  <w:sz w:val="24"/>
                  <w:szCs w:val="24"/>
                </w:rPr>
                <w:t>(1), 36-45. Available at:</w:t>
              </w:r>
              <w:hyperlink r:id="rId7" w:history="1">
                <w:r w:rsidRPr="003F6A08">
                  <w:rPr>
                    <w:rFonts w:ascii="Arial" w:hAnsi="Arial" w:cs="Arial"/>
                    <w:noProof/>
                    <w:color w:val="0000FF"/>
                    <w:sz w:val="24"/>
                    <w:szCs w:val="24"/>
                    <w:u w:val="single"/>
                  </w:rPr>
                  <w:t>https://doi.org/10.1016/j.scaman.2019.01.001</w:t>
                </w:r>
              </w:hyperlink>
              <w:r w:rsidRPr="003F6A08">
                <w:rPr>
                  <w:rFonts w:ascii="Arial" w:hAnsi="Arial" w:cs="Arial"/>
                  <w:noProof/>
                  <w:sz w:val="24"/>
                  <w:szCs w:val="24"/>
                </w:rPr>
                <w:t>(Accessed: 9 Jun 2023).</w:t>
              </w:r>
            </w:p>
            <w:p w14:paraId="3D082F38"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Bianchi, R. V., &amp; de Man, F. (2021). Tourism, inclusive growth and decent work: A political economy critique. </w:t>
              </w:r>
              <w:r w:rsidRPr="003F6A08">
                <w:rPr>
                  <w:rFonts w:ascii="Arial" w:hAnsi="Arial" w:cs="Arial"/>
                  <w:i/>
                  <w:iCs/>
                  <w:noProof/>
                  <w:sz w:val="24"/>
                  <w:szCs w:val="24"/>
                </w:rPr>
                <w:t>Journal of Sustainable Tourism, 29</w:t>
              </w:r>
              <w:r w:rsidRPr="003F6A08">
                <w:rPr>
                  <w:rFonts w:ascii="Arial" w:hAnsi="Arial" w:cs="Arial"/>
                  <w:noProof/>
                  <w:sz w:val="24"/>
                  <w:szCs w:val="24"/>
                </w:rPr>
                <w:t>(2-3)), 353-371. Available at:</w:t>
              </w:r>
              <w:hyperlink r:id="rId8" w:history="1">
                <w:r w:rsidRPr="003F6A08">
                  <w:rPr>
                    <w:rFonts w:ascii="Arial" w:hAnsi="Arial" w:cs="Arial"/>
                    <w:noProof/>
                    <w:color w:val="0000FF"/>
                    <w:sz w:val="24"/>
                    <w:szCs w:val="24"/>
                    <w:u w:val="single"/>
                  </w:rPr>
                  <w:t>https://doi.org/10.1080/09669582.2020.1730862</w:t>
                </w:r>
              </w:hyperlink>
              <w:r w:rsidRPr="003F6A08">
                <w:rPr>
                  <w:rFonts w:ascii="Arial" w:hAnsi="Arial" w:cs="Arial"/>
                  <w:noProof/>
                  <w:sz w:val="24"/>
                  <w:szCs w:val="24"/>
                </w:rPr>
                <w:t>(Accessed: 9 Jun 2023).</w:t>
              </w:r>
            </w:p>
            <w:p w14:paraId="7E08597F"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Chan, J., Gao, Y. L., &amp; McGinley, S. (2021). Updates in service standards in hotels: how COVID-19 changed operations. </w:t>
              </w:r>
              <w:r w:rsidRPr="003F6A08">
                <w:rPr>
                  <w:rFonts w:ascii="Arial" w:hAnsi="Arial" w:cs="Arial"/>
                  <w:i/>
                  <w:iCs/>
                  <w:noProof/>
                  <w:sz w:val="24"/>
                  <w:szCs w:val="24"/>
                </w:rPr>
                <w:t>International Journal of Contemporary Hospitality Management, 33</w:t>
              </w:r>
              <w:r w:rsidRPr="003F6A08">
                <w:rPr>
                  <w:rFonts w:ascii="Arial" w:hAnsi="Arial" w:cs="Arial"/>
                  <w:noProof/>
                  <w:sz w:val="24"/>
                  <w:szCs w:val="24"/>
                </w:rPr>
                <w:t>(5), 1668-1687. Available at:</w:t>
              </w:r>
              <w:hyperlink r:id="rId9" w:history="1">
                <w:r w:rsidRPr="003F6A08">
                  <w:rPr>
                    <w:rFonts w:ascii="Arial" w:hAnsi="Arial" w:cs="Arial"/>
                    <w:noProof/>
                    <w:color w:val="0000FF"/>
                    <w:sz w:val="24"/>
                    <w:szCs w:val="24"/>
                    <w:u w:val="single"/>
                  </w:rPr>
                  <w:t>https://www.emerald.com/insight/content/doi/10.1108/IJCHM-09-2020-1013/full/html</w:t>
                </w:r>
              </w:hyperlink>
              <w:r w:rsidRPr="003F6A08">
                <w:rPr>
                  <w:rFonts w:ascii="Arial" w:hAnsi="Arial" w:cs="Arial"/>
                  <w:noProof/>
                  <w:sz w:val="24"/>
                  <w:szCs w:val="24"/>
                </w:rPr>
                <w:t>(Accessed: 9 Jun 2023).</w:t>
              </w:r>
            </w:p>
            <w:p w14:paraId="215E5B65"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Fu, L. (2023). COVID-19 Impacts on and Responses of the Hotel Industry. </w:t>
              </w:r>
              <w:r w:rsidRPr="003F6A08">
                <w:rPr>
                  <w:rFonts w:ascii="Arial" w:hAnsi="Arial" w:cs="Arial"/>
                  <w:i/>
                  <w:iCs/>
                  <w:noProof/>
                  <w:sz w:val="24"/>
                  <w:szCs w:val="24"/>
                </w:rPr>
                <w:t>Journal of Education, Humanities and Social Sciences, 7</w:t>
              </w:r>
              <w:r w:rsidRPr="003F6A08">
                <w:rPr>
                  <w:rFonts w:ascii="Arial" w:hAnsi="Arial" w:cs="Arial"/>
                  <w:noProof/>
                  <w:sz w:val="24"/>
                  <w:szCs w:val="24"/>
                </w:rPr>
                <w:t>, 320-323. Available at:</w:t>
              </w:r>
              <w:hyperlink r:id="rId10" w:history="1">
                <w:r w:rsidRPr="003F6A08">
                  <w:rPr>
                    <w:rFonts w:ascii="Arial" w:hAnsi="Arial" w:cs="Arial"/>
                    <w:noProof/>
                    <w:color w:val="0000FF"/>
                    <w:sz w:val="24"/>
                    <w:szCs w:val="24"/>
                    <w:u w:val="single"/>
                  </w:rPr>
                  <w:t>https://drpress.org/ojs/index.php/EHSS/article/view/4697</w:t>
                </w:r>
              </w:hyperlink>
              <w:r w:rsidRPr="003F6A08">
                <w:rPr>
                  <w:rFonts w:ascii="Arial" w:hAnsi="Arial" w:cs="Arial"/>
                  <w:noProof/>
                  <w:sz w:val="24"/>
                  <w:szCs w:val="24"/>
                </w:rPr>
                <w:t>(Accessed: 9 Jun 2023).</w:t>
              </w:r>
            </w:p>
            <w:p w14:paraId="3BE4E7B7"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Hilton.Com. (2023). </w:t>
              </w:r>
              <w:r w:rsidRPr="003F6A08">
                <w:rPr>
                  <w:rFonts w:ascii="Arial" w:hAnsi="Arial" w:cs="Arial"/>
                  <w:i/>
                  <w:iCs/>
                  <w:noProof/>
                  <w:sz w:val="24"/>
                  <w:szCs w:val="24"/>
                </w:rPr>
                <w:t>Hilton</w:t>
              </w:r>
              <w:r w:rsidRPr="003F6A08">
                <w:rPr>
                  <w:rFonts w:ascii="Arial" w:hAnsi="Arial" w:cs="Arial"/>
                  <w:noProof/>
                  <w:sz w:val="24"/>
                  <w:szCs w:val="24"/>
                </w:rPr>
                <w:t>. Retrieved Jun 9, 2023, from https://www.hilton.com/en/corporate/</w:t>
              </w:r>
            </w:p>
            <w:p w14:paraId="579A2FE5"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Johann, M. (2022). CSR strategy in the hospitality industry: From the COVID-19 pandemic crisis to recovery. </w:t>
              </w:r>
              <w:r w:rsidRPr="003F6A08">
                <w:rPr>
                  <w:rFonts w:ascii="Arial" w:hAnsi="Arial" w:cs="Arial"/>
                  <w:i/>
                  <w:iCs/>
                  <w:noProof/>
                  <w:sz w:val="24"/>
                  <w:szCs w:val="24"/>
                </w:rPr>
                <w:t xml:space="preserve">International Journal of Contemporary </w:t>
              </w:r>
              <w:r w:rsidRPr="003F6A08">
                <w:rPr>
                  <w:rFonts w:ascii="Arial" w:hAnsi="Arial" w:cs="Arial"/>
                  <w:i/>
                  <w:iCs/>
                  <w:noProof/>
                  <w:sz w:val="24"/>
                  <w:szCs w:val="24"/>
                </w:rPr>
                <w:lastRenderedPageBreak/>
                <w:t>Management</w:t>
              </w:r>
              <w:r w:rsidRPr="003F6A08">
                <w:rPr>
                  <w:rFonts w:ascii="Arial" w:hAnsi="Arial" w:cs="Arial"/>
                  <w:noProof/>
                  <w:sz w:val="24"/>
                  <w:szCs w:val="24"/>
                </w:rPr>
                <w:t xml:space="preserve">. Available at: </w:t>
              </w:r>
              <w:hyperlink r:id="rId11" w:history="1">
                <w:r w:rsidRPr="003F6A08">
                  <w:rPr>
                    <w:rFonts w:ascii="Arial" w:hAnsi="Arial" w:cs="Arial"/>
                    <w:noProof/>
                    <w:color w:val="0000FF"/>
                    <w:sz w:val="24"/>
                    <w:szCs w:val="24"/>
                    <w:u w:val="single"/>
                  </w:rPr>
                  <w:t>https://doi.org/10.2478/ijcm-2022-0012</w:t>
                </w:r>
              </w:hyperlink>
              <w:r w:rsidRPr="003F6A08">
                <w:rPr>
                  <w:rFonts w:ascii="Arial" w:hAnsi="Arial" w:cs="Arial"/>
                  <w:noProof/>
                  <w:sz w:val="24"/>
                  <w:szCs w:val="24"/>
                </w:rPr>
                <w:t>(Accessed: 9 Jun 2023).</w:t>
              </w:r>
            </w:p>
            <w:p w14:paraId="512C4AEB"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Johnson, M., &amp; Jaehrling, K. (2021). </w:t>
              </w:r>
              <w:r w:rsidRPr="003F6A08">
                <w:rPr>
                  <w:rFonts w:ascii="Arial" w:hAnsi="Arial" w:cs="Arial"/>
                  <w:i/>
                  <w:iCs/>
                  <w:noProof/>
                  <w:sz w:val="24"/>
                  <w:szCs w:val="24"/>
                </w:rPr>
                <w:t>Wages and working conditions in outsourced services in Europe. In The Living Wage (pp. 107-119).</w:t>
              </w:r>
              <w:r w:rsidRPr="003F6A08">
                <w:rPr>
                  <w:rFonts w:ascii="Arial" w:hAnsi="Arial" w:cs="Arial"/>
                  <w:noProof/>
                  <w:sz w:val="24"/>
                  <w:szCs w:val="24"/>
                </w:rPr>
                <w:t xml:space="preserve"> Routledge. Available at:</w:t>
              </w:r>
              <w:hyperlink r:id="rId12" w:history="1">
                <w:r w:rsidRPr="003F6A08">
                  <w:rPr>
                    <w:rFonts w:ascii="Arial" w:hAnsi="Arial" w:cs="Arial"/>
                    <w:noProof/>
                    <w:color w:val="0000FF"/>
                    <w:sz w:val="24"/>
                    <w:szCs w:val="24"/>
                    <w:u w:val="single"/>
                  </w:rPr>
                  <w:t>https://www.taylorfrancis.com/chapters/edit/10.4324/9781003054078-11/wages-working-conditions-outsourced-services-europe-mathew-johnson-karen-jaehrling</w:t>
                </w:r>
              </w:hyperlink>
              <w:r w:rsidRPr="003F6A08">
                <w:rPr>
                  <w:rFonts w:ascii="Arial" w:hAnsi="Arial" w:cs="Arial"/>
                  <w:noProof/>
                  <w:sz w:val="24"/>
                  <w:szCs w:val="24"/>
                </w:rPr>
                <w:t>(Accessed: 9 Jun 2023).</w:t>
              </w:r>
            </w:p>
            <w:p w14:paraId="2B42F456"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Jones, P., &amp; Wynn, M. G. (2023). The circular economy and natural capital in the tourism and hospitality industry. </w:t>
              </w:r>
              <w:r w:rsidRPr="003F6A08">
                <w:rPr>
                  <w:rFonts w:ascii="Arial" w:hAnsi="Arial" w:cs="Arial"/>
                  <w:i/>
                  <w:iCs/>
                  <w:noProof/>
                  <w:sz w:val="24"/>
                  <w:szCs w:val="24"/>
                </w:rPr>
                <w:t>Circular Economy, 1</w:t>
              </w:r>
              <w:r w:rsidRPr="003F6A08">
                <w:rPr>
                  <w:rFonts w:ascii="Arial" w:hAnsi="Arial" w:cs="Arial"/>
                  <w:noProof/>
                  <w:sz w:val="24"/>
                  <w:szCs w:val="24"/>
                </w:rPr>
                <w:t>(1), 1-12. Available at:</w:t>
              </w:r>
              <w:hyperlink r:id="rId13" w:history="1">
                <w:r w:rsidRPr="003F6A08">
                  <w:rPr>
                    <w:rFonts w:ascii="Arial" w:hAnsi="Arial" w:cs="Arial"/>
                    <w:noProof/>
                    <w:color w:val="0000FF"/>
                    <w:sz w:val="24"/>
                    <w:szCs w:val="24"/>
                    <w:u w:val="single"/>
                  </w:rPr>
                  <w:t>https://eprints.glos.ac.uk/11732/</w:t>
                </w:r>
              </w:hyperlink>
              <w:r w:rsidRPr="003F6A08">
                <w:rPr>
                  <w:rFonts w:ascii="Arial" w:hAnsi="Arial" w:cs="Arial"/>
                  <w:noProof/>
                  <w:sz w:val="24"/>
                  <w:szCs w:val="24"/>
                </w:rPr>
                <w:t>(Accessed: 9 Jun 2023).</w:t>
              </w:r>
            </w:p>
            <w:p w14:paraId="42A44E59"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Lee, M., Sisson, A. D., Costa, R., &amp; Bai, B. (2023). Disruptive technologies and innovation in hospitality: A computer-assisted qualitative data analysis approach. </w:t>
              </w:r>
              <w:r w:rsidRPr="003F6A08">
                <w:rPr>
                  <w:rFonts w:ascii="Arial" w:hAnsi="Arial" w:cs="Arial"/>
                  <w:i/>
                  <w:iCs/>
                  <w:noProof/>
                  <w:sz w:val="24"/>
                  <w:szCs w:val="24"/>
                </w:rPr>
                <w:t>Journal of Hospitality &amp; Tourism Research, 47</w:t>
              </w:r>
              <w:r w:rsidRPr="003F6A08">
                <w:rPr>
                  <w:rFonts w:ascii="Arial" w:hAnsi="Arial" w:cs="Arial"/>
                  <w:noProof/>
                  <w:sz w:val="24"/>
                  <w:szCs w:val="24"/>
                </w:rPr>
                <w:t xml:space="preserve">(4), NP47-NP61. Available at: </w:t>
              </w:r>
              <w:hyperlink r:id="rId14" w:history="1">
                <w:r w:rsidRPr="003F6A08">
                  <w:rPr>
                    <w:rFonts w:ascii="Arial" w:hAnsi="Arial" w:cs="Arial"/>
                    <w:noProof/>
                    <w:color w:val="0000FF"/>
                    <w:sz w:val="24"/>
                    <w:szCs w:val="24"/>
                    <w:u w:val="single"/>
                  </w:rPr>
                  <w:t>https://doi.org/10.1177/1096348023115608</w:t>
                </w:r>
              </w:hyperlink>
              <w:r w:rsidRPr="003F6A08">
                <w:rPr>
                  <w:rFonts w:ascii="Arial" w:hAnsi="Arial" w:cs="Arial"/>
                  <w:noProof/>
                  <w:sz w:val="24"/>
                  <w:szCs w:val="24"/>
                </w:rPr>
                <w:t>(Accessed: 9 Jun 2023).</w:t>
              </w:r>
            </w:p>
            <w:p w14:paraId="345E94A2"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Macrotrends.Net. (2022). </w:t>
              </w:r>
              <w:r w:rsidRPr="003F6A08">
                <w:rPr>
                  <w:rFonts w:ascii="Arial" w:hAnsi="Arial" w:cs="Arial"/>
                  <w:i/>
                  <w:iCs/>
                  <w:noProof/>
                  <w:sz w:val="24"/>
                  <w:szCs w:val="24"/>
                </w:rPr>
                <w:t xml:space="preserve">Hilton Worldwide Holdings Financial Statements 2010-2023 | HLT </w:t>
              </w:r>
              <w:r w:rsidRPr="003F6A08">
                <w:rPr>
                  <w:rFonts w:ascii="Arial" w:hAnsi="Arial" w:cs="Arial"/>
                  <w:noProof/>
                  <w:sz w:val="24"/>
                  <w:szCs w:val="24"/>
                </w:rPr>
                <w:t xml:space="preserve">. Retrieved Jun 9, 2023, Available at: </w:t>
              </w:r>
              <w:hyperlink r:id="rId15" w:history="1">
                <w:r w:rsidRPr="003F6A08">
                  <w:rPr>
                    <w:rFonts w:ascii="Arial" w:hAnsi="Arial" w:cs="Arial"/>
                    <w:noProof/>
                    <w:color w:val="0000FF"/>
                    <w:sz w:val="24"/>
                    <w:szCs w:val="24"/>
                    <w:u w:val="single"/>
                  </w:rPr>
                  <w:t>https://www.macrotrends.net/stocks/charts/HLT/hilton-worldwide-holdings/financial-statements</w:t>
                </w:r>
              </w:hyperlink>
              <w:r w:rsidRPr="003F6A08">
                <w:rPr>
                  <w:rFonts w:ascii="Arial" w:hAnsi="Arial" w:cs="Arial"/>
                  <w:noProof/>
                  <w:sz w:val="24"/>
                  <w:szCs w:val="24"/>
                </w:rPr>
                <w:t>(Accessed: 9 Jun 2023).</w:t>
              </w:r>
            </w:p>
            <w:p w14:paraId="2B78DEB3"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Mori, A., &amp; Mori, A. (2020). Market-Embedding and Inclusion: Implications for Labour and Employment Relations. </w:t>
              </w:r>
              <w:r w:rsidRPr="003F6A08">
                <w:rPr>
                  <w:rFonts w:ascii="Arial" w:hAnsi="Arial" w:cs="Arial"/>
                  <w:i/>
                  <w:iCs/>
                  <w:noProof/>
                  <w:sz w:val="24"/>
                  <w:szCs w:val="24"/>
                </w:rPr>
                <w:t>Employment Relations in Outsourced Public Services: Working Between Market and State</w:t>
              </w:r>
              <w:r w:rsidRPr="003F6A08">
                <w:rPr>
                  <w:rFonts w:ascii="Arial" w:hAnsi="Arial" w:cs="Arial"/>
                  <w:noProof/>
                  <w:sz w:val="24"/>
                  <w:szCs w:val="24"/>
                </w:rPr>
                <w:t>, 115-141. Available at:</w:t>
              </w:r>
              <w:hyperlink r:id="rId16" w:history="1">
                <w:r w:rsidRPr="003F6A08">
                  <w:rPr>
                    <w:rFonts w:ascii="Arial" w:hAnsi="Arial" w:cs="Arial"/>
                    <w:noProof/>
                    <w:color w:val="0000FF"/>
                    <w:sz w:val="24"/>
                    <w:szCs w:val="24"/>
                    <w:u w:val="single"/>
                  </w:rPr>
                  <w:t>https://doi.org/10.1007/978-3-030-24627-3_5</w:t>
                </w:r>
              </w:hyperlink>
              <w:r w:rsidRPr="003F6A08">
                <w:rPr>
                  <w:rFonts w:ascii="Arial" w:hAnsi="Arial" w:cs="Arial"/>
                  <w:noProof/>
                  <w:sz w:val="24"/>
                  <w:szCs w:val="24"/>
                </w:rPr>
                <w:t>(Accessed: 9 Jun 2023).</w:t>
              </w:r>
            </w:p>
            <w:p w14:paraId="57043651"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Pathiranage, Y. L., Jayatilake, L. V., &amp; Abeysekera, R. (2020). A literature review on organizational culture towards corporate performance. </w:t>
              </w:r>
              <w:r w:rsidRPr="003F6A08">
                <w:rPr>
                  <w:rFonts w:ascii="Arial" w:hAnsi="Arial" w:cs="Arial"/>
                  <w:i/>
                  <w:iCs/>
                  <w:noProof/>
                  <w:sz w:val="24"/>
                  <w:szCs w:val="24"/>
                </w:rPr>
                <w:t>International journal of management, accounting and economics, 7</w:t>
              </w:r>
              <w:r w:rsidRPr="003F6A08">
                <w:rPr>
                  <w:rFonts w:ascii="Arial" w:hAnsi="Arial" w:cs="Arial"/>
                  <w:noProof/>
                  <w:sz w:val="24"/>
                  <w:szCs w:val="24"/>
                </w:rPr>
                <w:t>(9), 522-544. Available at:</w:t>
              </w:r>
              <w:hyperlink r:id="rId17" w:history="1">
                <w:r w:rsidRPr="003F6A08">
                  <w:rPr>
                    <w:rFonts w:ascii="Arial" w:hAnsi="Arial" w:cs="Arial"/>
                    <w:noProof/>
                    <w:color w:val="0000FF"/>
                    <w:sz w:val="24"/>
                    <w:szCs w:val="24"/>
                    <w:u w:val="single"/>
                  </w:rPr>
                  <w:t>https://www.researchgate.net/profile/Yasas-Pathiranage-2/publication/344667769_A_Literature_Review_on_Organizational_Culture_towards_Corporate_Performance/links/5f881848299bf1b53e28f228/A-Literature-Review-on-Organizational-Culture-towards-Corporate-Perfo</w:t>
                </w:r>
              </w:hyperlink>
              <w:r w:rsidRPr="003F6A08">
                <w:rPr>
                  <w:rFonts w:ascii="Arial" w:hAnsi="Arial" w:cs="Arial"/>
                  <w:noProof/>
                  <w:sz w:val="24"/>
                  <w:szCs w:val="24"/>
                </w:rPr>
                <w:t>(Accessed: 9 Jun 2023).</w:t>
              </w:r>
            </w:p>
            <w:p w14:paraId="57A4B198"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lastRenderedPageBreak/>
                <w:t xml:space="preserve">Pesonen, J. (2015). </w:t>
              </w:r>
              <w:r w:rsidRPr="003F6A08">
                <w:rPr>
                  <w:rFonts w:ascii="Arial" w:hAnsi="Arial" w:cs="Arial"/>
                  <w:i/>
                  <w:iCs/>
                  <w:noProof/>
                  <w:sz w:val="24"/>
                  <w:szCs w:val="24"/>
                </w:rPr>
                <w:t>Internal Housekeeping Versus Outsourced Housekeeping.</w:t>
              </w:r>
              <w:r w:rsidRPr="003F6A08">
                <w:rPr>
                  <w:rFonts w:ascii="Arial" w:hAnsi="Arial" w:cs="Arial"/>
                  <w:noProof/>
                  <w:sz w:val="24"/>
                  <w:szCs w:val="24"/>
                </w:rPr>
                <w:t xml:space="preserve"> Available at:</w:t>
              </w:r>
              <w:hyperlink r:id="rId18" w:history="1">
                <w:r w:rsidRPr="003F6A08">
                  <w:rPr>
                    <w:rFonts w:ascii="Arial" w:hAnsi="Arial" w:cs="Arial"/>
                    <w:noProof/>
                    <w:color w:val="0000FF"/>
                    <w:sz w:val="24"/>
                    <w:szCs w:val="24"/>
                    <w:u w:val="single"/>
                  </w:rPr>
                  <w:t>https://www.theseus.fi/bitstream/handle/10024/90439/Pesonen_Janet.pdf?sequence=1</w:t>
                </w:r>
              </w:hyperlink>
              <w:r w:rsidRPr="003F6A08">
                <w:rPr>
                  <w:rFonts w:ascii="Arial" w:hAnsi="Arial" w:cs="Arial"/>
                  <w:noProof/>
                  <w:sz w:val="24"/>
                  <w:szCs w:val="24"/>
                </w:rPr>
                <w:t>(Accessed: 9 Jun 2023).</w:t>
              </w:r>
            </w:p>
            <w:p w14:paraId="643DEAD5"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Reidhead, C. (2020). Impact of organizational culture on employee satisfaction: A case of Hilton hotel, United Kingdom. </w:t>
              </w:r>
              <w:r w:rsidRPr="003F6A08">
                <w:rPr>
                  <w:rFonts w:ascii="Arial" w:hAnsi="Arial" w:cs="Arial"/>
                  <w:i/>
                  <w:iCs/>
                  <w:noProof/>
                  <w:sz w:val="24"/>
                  <w:szCs w:val="24"/>
                </w:rPr>
                <w:t>Journal of Economics and Business, 3</w:t>
              </w:r>
              <w:r w:rsidRPr="003F6A08">
                <w:rPr>
                  <w:rFonts w:ascii="Arial" w:hAnsi="Arial" w:cs="Arial"/>
                  <w:noProof/>
                  <w:sz w:val="24"/>
                  <w:szCs w:val="24"/>
                </w:rPr>
                <w:t>(1). Available at:</w:t>
              </w:r>
              <w:hyperlink r:id="rId19" w:history="1">
                <w:r w:rsidRPr="003F6A08">
                  <w:rPr>
                    <w:rFonts w:ascii="Arial" w:hAnsi="Arial" w:cs="Arial"/>
                    <w:noProof/>
                    <w:color w:val="0000FF"/>
                    <w:sz w:val="24"/>
                    <w:szCs w:val="24"/>
                    <w:u w:val="single"/>
                  </w:rPr>
                  <w:t>https://papers.ssrn.com/sol3/papers.cfm?abstract_id=3563546</w:t>
                </w:r>
              </w:hyperlink>
              <w:r w:rsidRPr="003F6A08">
                <w:rPr>
                  <w:rFonts w:ascii="Arial" w:hAnsi="Arial" w:cs="Arial"/>
                  <w:noProof/>
                  <w:sz w:val="24"/>
                  <w:szCs w:val="24"/>
                </w:rPr>
                <w:t>(Accessed: 9 Jun 2023).</w:t>
              </w:r>
            </w:p>
            <w:p w14:paraId="3666ECAF"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Sharma, S., &amp; Kaushik, T. (2021). Aesthetically clean to clinically clean–A study on new housekeeping practices in Delhi hotels beyond COVID-19 pandemic. </w:t>
              </w:r>
              <w:r w:rsidRPr="003F6A08">
                <w:rPr>
                  <w:rFonts w:ascii="Arial" w:hAnsi="Arial" w:cs="Arial"/>
                  <w:i/>
                  <w:iCs/>
                  <w:noProof/>
                  <w:sz w:val="24"/>
                  <w:szCs w:val="24"/>
                </w:rPr>
                <w:t>Worldwide Hospitality and Tourism Themes, 13</w:t>
              </w:r>
              <w:r w:rsidRPr="003F6A08">
                <w:rPr>
                  <w:rFonts w:ascii="Arial" w:hAnsi="Arial" w:cs="Arial"/>
                  <w:noProof/>
                  <w:sz w:val="24"/>
                  <w:szCs w:val="24"/>
                </w:rPr>
                <w:t xml:space="preserve">(5), 646-659. Available at: </w:t>
              </w:r>
              <w:hyperlink r:id="rId20" w:history="1">
                <w:r w:rsidRPr="003F6A08">
                  <w:rPr>
                    <w:rFonts w:ascii="Arial" w:hAnsi="Arial" w:cs="Arial"/>
                    <w:noProof/>
                    <w:color w:val="0000FF"/>
                    <w:sz w:val="24"/>
                    <w:szCs w:val="24"/>
                    <w:u w:val="single"/>
                  </w:rPr>
                  <w:t>https://doi.org/10.1108/WHATT-05-2021-0069</w:t>
                </w:r>
              </w:hyperlink>
              <w:r w:rsidRPr="003F6A08">
                <w:rPr>
                  <w:rFonts w:ascii="Arial" w:hAnsi="Arial" w:cs="Arial"/>
                  <w:noProof/>
                  <w:sz w:val="24"/>
                  <w:szCs w:val="24"/>
                </w:rPr>
                <w:t>(Accessed: 9 Jun 2023).</w:t>
              </w:r>
            </w:p>
            <w:p w14:paraId="2592C05B"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Spina, D. (2020). Grand Hotel. </w:t>
              </w:r>
              <w:r w:rsidRPr="003F6A08">
                <w:rPr>
                  <w:rFonts w:ascii="Arial" w:hAnsi="Arial" w:cs="Arial"/>
                  <w:i/>
                  <w:iCs/>
                  <w:noProof/>
                  <w:sz w:val="24"/>
                  <w:szCs w:val="24"/>
                </w:rPr>
                <w:t>Grand Gestures, 4</w:t>
              </w:r>
              <w:r w:rsidRPr="003F6A08">
                <w:rPr>
                  <w:rFonts w:ascii="Arial" w:hAnsi="Arial" w:cs="Arial"/>
                  <w:noProof/>
                  <w:sz w:val="24"/>
                  <w:szCs w:val="24"/>
                </w:rPr>
                <w:t>, 127-151. Available at:</w:t>
              </w:r>
              <w:hyperlink r:id="rId21" w:history="1">
                <w:r w:rsidRPr="003F6A08">
                  <w:rPr>
                    <w:rFonts w:ascii="Arial" w:hAnsi="Arial" w:cs="Arial"/>
                    <w:noProof/>
                    <w:color w:val="0000FF"/>
                    <w:sz w:val="24"/>
                    <w:szCs w:val="24"/>
                    <w:u w:val="single"/>
                  </w:rPr>
                  <w:t>https://www.research-collection.ethz.ch/bitstream/handle/20.500.11850/465558/1/Spina-GrandHotel.pdf</w:t>
                </w:r>
              </w:hyperlink>
              <w:r w:rsidRPr="003F6A08">
                <w:rPr>
                  <w:rFonts w:ascii="Arial" w:hAnsi="Arial" w:cs="Arial"/>
                  <w:noProof/>
                  <w:sz w:val="24"/>
                  <w:szCs w:val="24"/>
                </w:rPr>
                <w:t>(Accessed: 9 Jun 2023).</w:t>
              </w:r>
            </w:p>
            <w:p w14:paraId="09EA212E"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Tien, N. H., Phu, P. P., &amp; Chi, D. T. (2019). The role of international marketing in international business strategy. </w:t>
              </w:r>
              <w:r w:rsidRPr="003F6A08">
                <w:rPr>
                  <w:rFonts w:ascii="Arial" w:hAnsi="Arial" w:cs="Arial"/>
                  <w:i/>
                  <w:iCs/>
                  <w:noProof/>
                  <w:sz w:val="24"/>
                  <w:szCs w:val="24"/>
                </w:rPr>
                <w:t>International journal of research in marketing management and sales, 1</w:t>
              </w:r>
              <w:r w:rsidRPr="003F6A08">
                <w:rPr>
                  <w:rFonts w:ascii="Arial" w:hAnsi="Arial" w:cs="Arial"/>
                  <w:noProof/>
                  <w:sz w:val="24"/>
                  <w:szCs w:val="24"/>
                </w:rPr>
                <w:t>(2), 134-138. Available at:</w:t>
              </w:r>
              <w:hyperlink r:id="rId22" w:history="1">
                <w:r w:rsidRPr="003F6A08">
                  <w:rPr>
                    <w:rFonts w:ascii="Arial" w:hAnsi="Arial" w:cs="Arial"/>
                    <w:noProof/>
                    <w:color w:val="0000FF"/>
                    <w:sz w:val="24"/>
                    <w:szCs w:val="24"/>
                    <w:u w:val="single"/>
                  </w:rPr>
                  <w:t>https://www.researchgate.net/profile/Nguyen-Tien-32/publication/338752307_The_role_of_international_marketing_in_international_business_strategy/links/632c5662873eca0c00a8f7ae/The-role-of-international-marketing-in-international-business-strategy.pdf</w:t>
                </w:r>
              </w:hyperlink>
              <w:r w:rsidRPr="003F6A08">
                <w:rPr>
                  <w:rFonts w:ascii="Arial" w:hAnsi="Arial" w:cs="Arial"/>
                  <w:noProof/>
                  <w:sz w:val="24"/>
                  <w:szCs w:val="24"/>
                </w:rPr>
                <w:t>(Accessed: 9 Jun 2023).</w:t>
              </w:r>
            </w:p>
            <w:p w14:paraId="76078513" w14:textId="77777777" w:rsidR="003F6A08" w:rsidRPr="003F6A08" w:rsidRDefault="003F6A08" w:rsidP="003F6A08">
              <w:pPr>
                <w:spacing w:line="360" w:lineRule="auto"/>
                <w:ind w:left="720" w:hanging="720"/>
                <w:rPr>
                  <w:rFonts w:ascii="Arial" w:hAnsi="Arial" w:cs="Arial"/>
                  <w:noProof/>
                  <w:sz w:val="24"/>
                  <w:szCs w:val="24"/>
                </w:rPr>
              </w:pPr>
              <w:r w:rsidRPr="003F6A08">
                <w:rPr>
                  <w:rFonts w:ascii="Arial" w:hAnsi="Arial" w:cs="Arial"/>
                  <w:noProof/>
                  <w:sz w:val="24"/>
                  <w:szCs w:val="24"/>
                </w:rPr>
                <w:t xml:space="preserve">Zeng, L. (2021). Analysis of Hilton Worldwide Hotel Group’s Transnational Operation Strategy. </w:t>
              </w:r>
              <w:r w:rsidRPr="003F6A08">
                <w:rPr>
                  <w:rFonts w:ascii="Arial" w:hAnsi="Arial" w:cs="Arial"/>
                  <w:i/>
                  <w:iCs/>
                  <w:noProof/>
                  <w:sz w:val="24"/>
                  <w:szCs w:val="24"/>
                </w:rPr>
                <w:t>Academic Journal of Business &amp; Management, 3</w:t>
              </w:r>
              <w:r w:rsidRPr="003F6A08">
                <w:rPr>
                  <w:rFonts w:ascii="Arial" w:hAnsi="Arial" w:cs="Arial"/>
                  <w:noProof/>
                  <w:sz w:val="24"/>
                  <w:szCs w:val="24"/>
                </w:rPr>
                <w:t>(11), 20-27. Available at:</w:t>
              </w:r>
              <w:hyperlink r:id="rId23" w:history="1">
                <w:r w:rsidRPr="003F6A08">
                  <w:rPr>
                    <w:rFonts w:ascii="Arial" w:hAnsi="Arial" w:cs="Arial"/>
                    <w:noProof/>
                    <w:color w:val="0000FF"/>
                    <w:sz w:val="24"/>
                    <w:szCs w:val="24"/>
                    <w:u w:val="single"/>
                  </w:rPr>
                  <w:t>DOI: 10.25236/AJBM.2021.031</w:t>
                </w:r>
              </w:hyperlink>
              <w:r w:rsidRPr="003F6A08">
                <w:rPr>
                  <w:rFonts w:ascii="Arial" w:hAnsi="Arial" w:cs="Arial"/>
                  <w:noProof/>
                  <w:sz w:val="24"/>
                  <w:szCs w:val="24"/>
                </w:rPr>
                <w:t>(Accessed: 9 Jun 2023).</w:t>
              </w:r>
            </w:p>
            <w:p w14:paraId="19891FEB" w14:textId="77777777" w:rsidR="003F6A08" w:rsidRPr="003F6A08" w:rsidRDefault="003F6A08" w:rsidP="003F6A08">
              <w:pPr>
                <w:spacing w:line="360" w:lineRule="auto"/>
                <w:rPr>
                  <w:rFonts w:ascii="Arial" w:hAnsi="Arial" w:cs="Arial"/>
                  <w:sz w:val="24"/>
                  <w:szCs w:val="24"/>
                </w:rPr>
              </w:pPr>
              <w:r w:rsidRPr="003F6A08">
                <w:rPr>
                  <w:rFonts w:ascii="Arial" w:hAnsi="Arial" w:cs="Arial"/>
                  <w:b/>
                  <w:bCs/>
                  <w:noProof/>
                  <w:sz w:val="24"/>
                  <w:szCs w:val="24"/>
                </w:rPr>
                <w:fldChar w:fldCharType="end"/>
              </w:r>
            </w:p>
          </w:sdtContent>
        </w:sdt>
      </w:sdtContent>
    </w:sdt>
    <w:p w14:paraId="107BD91F" w14:textId="77777777" w:rsidR="003F6A08" w:rsidRPr="003F6A08" w:rsidRDefault="003F6A08" w:rsidP="003F6A08">
      <w:pPr>
        <w:spacing w:line="360" w:lineRule="auto"/>
        <w:jc w:val="both"/>
        <w:rPr>
          <w:rFonts w:ascii="Arial" w:hAnsi="Arial" w:cs="Arial"/>
          <w:b/>
          <w:bCs/>
          <w:kern w:val="0"/>
          <w:sz w:val="24"/>
          <w:szCs w:val="24"/>
          <w:lang w:val="fr-FR"/>
        </w:rPr>
      </w:pPr>
    </w:p>
    <w:p w14:paraId="531BECA6" w14:textId="77777777" w:rsidR="003F6A08" w:rsidRPr="003F6A08" w:rsidRDefault="003F6A08" w:rsidP="003F6A08">
      <w:pPr>
        <w:spacing w:line="360" w:lineRule="auto"/>
        <w:jc w:val="both"/>
        <w:rPr>
          <w:rFonts w:ascii="Arial" w:hAnsi="Arial" w:cs="Arial"/>
          <w:b/>
          <w:bCs/>
          <w:kern w:val="0"/>
          <w:sz w:val="24"/>
          <w:szCs w:val="24"/>
          <w:lang w:val="fr-FR"/>
        </w:rPr>
      </w:pPr>
    </w:p>
    <w:p w14:paraId="03743C27" w14:textId="77777777" w:rsidR="003F6A08" w:rsidRPr="003F6A08" w:rsidRDefault="003F6A08" w:rsidP="003F6A08">
      <w:pPr>
        <w:spacing w:line="360" w:lineRule="auto"/>
        <w:jc w:val="both"/>
        <w:rPr>
          <w:rFonts w:ascii="Arial" w:hAnsi="Arial" w:cs="Arial"/>
          <w:sz w:val="24"/>
          <w:szCs w:val="24"/>
        </w:rPr>
      </w:pPr>
    </w:p>
    <w:sectPr w:rsidR="003F6A08" w:rsidRPr="003F6A08" w:rsidSect="00CF5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Q0MzY1NTEwMTIyNzJW0lEKTi0uzszPAykwrgUA2lWqZiwAAAA="/>
  </w:docVars>
  <w:rsids>
    <w:rsidRoot w:val="003F6A08"/>
    <w:rsid w:val="003F6A08"/>
    <w:rsid w:val="00420A5B"/>
    <w:rsid w:val="00464EAD"/>
    <w:rsid w:val="005B07AD"/>
    <w:rsid w:val="0068567F"/>
    <w:rsid w:val="00823CA9"/>
    <w:rsid w:val="00881F2C"/>
    <w:rsid w:val="00A628E7"/>
    <w:rsid w:val="00B92E8A"/>
    <w:rsid w:val="00C45E23"/>
    <w:rsid w:val="00CF5DE3"/>
    <w:rsid w:val="00EB2A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78E58"/>
  <w15:chartTrackingRefBased/>
  <w15:docId w15:val="{E5C17FE5-B470-4989-955F-D341E3E8E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6A08"/>
    <w:pPr>
      <w:spacing w:line="256" w:lineRule="auto"/>
    </w:pPr>
    <w:rPr>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F6A08"/>
    <w:pPr>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Strong">
    <w:name w:val="Strong"/>
    <w:basedOn w:val="DefaultParagraphFont"/>
    <w:uiPriority w:val="22"/>
    <w:qFormat/>
    <w:rsid w:val="003F6A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69582.2020.1730862" TargetMode="External"/><Relationship Id="rId13" Type="http://schemas.openxmlformats.org/officeDocument/2006/relationships/hyperlink" Target="https://eprints.glos.ac.uk/11732/" TargetMode="External"/><Relationship Id="rId18" Type="http://schemas.openxmlformats.org/officeDocument/2006/relationships/hyperlink" Target="https://www.theseus.fi/bitstream/handle/10024/90439/Pesonen_Janet.pdf?sequence=1" TargetMode="External"/><Relationship Id="rId3" Type="http://schemas.openxmlformats.org/officeDocument/2006/relationships/settings" Target="settings.xml"/><Relationship Id="rId21" Type="http://schemas.openxmlformats.org/officeDocument/2006/relationships/hyperlink" Target="https://www.research-collection.ethz.ch/bitstream/handle/20.500.11850/465558/1/Spina-GrandHotel.pdf" TargetMode="External"/><Relationship Id="rId7" Type="http://schemas.openxmlformats.org/officeDocument/2006/relationships/hyperlink" Target="https://doi.org/10.1016/j.scaman.2019.01.001" TargetMode="External"/><Relationship Id="rId12" Type="http://schemas.openxmlformats.org/officeDocument/2006/relationships/hyperlink" Target="https://www.taylorfrancis.com/chapters/edit/10.4324/9781003054078-11/wages-working-conditions-outsourced-services-europe-mathew-johnson-karen-jaehrling" TargetMode="External"/><Relationship Id="rId17" Type="http://schemas.openxmlformats.org/officeDocument/2006/relationships/hyperlink" Target="https://www.researchgate.net/profile/Yasas-Pathiranag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07/978-3-030-24627-3_5" TargetMode="External"/><Relationship Id="rId20" Type="http://schemas.openxmlformats.org/officeDocument/2006/relationships/hyperlink" Target="https://doi.org/10.1108/WHATT-05-2021-0069" TargetMode="External"/><Relationship Id="rId1" Type="http://schemas.openxmlformats.org/officeDocument/2006/relationships/customXml" Target="../customXml/item1.xml"/><Relationship Id="rId6" Type="http://schemas.openxmlformats.org/officeDocument/2006/relationships/hyperlink" Target="https://aiche.onlinelibrary.wiley.com/doi/abs/10.1002/ep.13041" TargetMode="External"/><Relationship Id="rId11" Type="http://schemas.openxmlformats.org/officeDocument/2006/relationships/hyperlink" Target="https://doi.org/10.2478/ijcm-2022-0012" TargetMode="External"/><Relationship Id="rId24" Type="http://schemas.openxmlformats.org/officeDocument/2006/relationships/fontTable" Target="fontTable.xml"/><Relationship Id="rId5" Type="http://schemas.openxmlformats.org/officeDocument/2006/relationships/hyperlink" Target="https://doi.org/10.35335/enrichment.v12i2.447" TargetMode="External"/><Relationship Id="rId15" Type="http://schemas.openxmlformats.org/officeDocument/2006/relationships/hyperlink" Target="https://www.macrotrends.net/stocks/charts/HLT/hilton-worldwide-holdings/financial-statements" TargetMode="External"/><Relationship Id="rId23" Type="http://schemas.openxmlformats.org/officeDocument/2006/relationships/hyperlink" Target="DOI:%2010.25236/AJBM.2021.031" TargetMode="External"/><Relationship Id="rId10" Type="http://schemas.openxmlformats.org/officeDocument/2006/relationships/hyperlink" Target="https://drpress.org/ojs/index.php/EHSS/article/view/4697" TargetMode="External"/><Relationship Id="rId19" Type="http://schemas.openxmlformats.org/officeDocument/2006/relationships/hyperlink" Target="https://papers.ssrn.com/sol3/papers.cfm?abstract_id=3563546" TargetMode="External"/><Relationship Id="rId4" Type="http://schemas.openxmlformats.org/officeDocument/2006/relationships/webSettings" Target="webSettings.xml"/><Relationship Id="rId9" Type="http://schemas.openxmlformats.org/officeDocument/2006/relationships/hyperlink" Target="https://www.emerald.com/insight/content/doi/10.1108/IJCHM-09-2020-1013/full/html" TargetMode="External"/><Relationship Id="rId14" Type="http://schemas.openxmlformats.org/officeDocument/2006/relationships/hyperlink" Target="https://doi.org/10.1177/1096348023115608" TargetMode="External"/><Relationship Id="rId22" Type="http://schemas.openxmlformats.org/officeDocument/2006/relationships/hyperlink" Target="https://www.researchgate.net/profile/Nguyen-Tien-32/publication/338752307_The_role_of_international_marketing_in_international_business_strategy/links/632c5662873eca0c00a8f7ae/The-role-of-international-marketing-in-international-business-strateg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936A88-6802-4CFA-BBC6-7680EF5DB254}">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Tie191</b:Tag>
    <b:SourceType>JournalArticle</b:SourceType>
    <b:Guid>{9EB83348-9A8E-44B9-9B20-312581494D0C}</b:Guid>
    <b:Title>The role of international marketing in international business strategy</b:Title>
    <b:JournalName>International journal of research in marketing management and sales</b:JournalName>
    <b:Year>2019</b:Year>
    <b:Pages>134-138</b:Pages>
    <b:Author>
      <b:Author>
        <b:NameList>
          <b:Person>
            <b:Last>Tien</b:Last>
            <b:First>N.</b:First>
            <b:Middle>H</b:Middle>
          </b:Person>
          <b:Person>
            <b:Last>Phu</b:Last>
            <b:First>P.</b:First>
            <b:Middle>P</b:Middle>
          </b:Person>
          <b:Person>
            <b:Last>Chi</b:Last>
            <b:First>D.</b:First>
            <b:Middle>T. P</b:Middle>
          </b:Person>
        </b:NameList>
      </b:Author>
    </b:Author>
    <b:Volume>1</b:Volume>
    <b:Issue>2</b:Issue>
    <b:DOI>https://www.researchgate.net/profile/Nguyen-Tien-32/publication/338752307_The_role_of_international_marketing_in_international_business_strategy/links/632c5662873eca0c00a8f7ae/The-role-of-international-marketing-in-international-business-strategy.pdf</b:DOI>
    <b:RefOrder>2</b:RefOrder>
  </b:Source>
  <b:Source>
    <b:Tag>Rei20</b:Tag>
    <b:SourceType>JournalArticle</b:SourceType>
    <b:Guid>{77DB03BD-8BEC-4712-8C42-30FBCB30F099}</b:Guid>
    <b:Author>
      <b:Author>
        <b:NameList>
          <b:Person>
            <b:Last>Reidhead</b:Last>
            <b:First>C</b:First>
          </b:Person>
        </b:NameList>
      </b:Author>
    </b:Author>
    <b:Title>Impact of organizational culture on employee satisfaction: A case of Hilton hotel, United Kingdom</b:Title>
    <b:JournalName>Journal of Economics and Business</b:JournalName>
    <b:Year>2020</b:Year>
    <b:Volume>3</b:Volume>
    <b:Issue>1</b:Issue>
    <b:DOI>https://papers.ssrn.com/sol3/papers.cfm?abstract_id=3563546</b:DOI>
    <b:RefOrder>3</b:RefOrder>
  </b:Source>
  <b:Source>
    <b:Tag>Pat201</b:Tag>
    <b:SourceType>JournalArticle</b:SourceType>
    <b:Guid>{7F73A78C-6478-4AA7-8D9B-057F69122BF3}</b:Guid>
    <b:Author>
      <b:Author>
        <b:NameList>
          <b:Person>
            <b:Last>Pathiranage</b:Last>
            <b:First>Y.</b:First>
            <b:Middle>L</b:Middle>
          </b:Person>
          <b:Person>
            <b:Last>Jayatilake</b:Last>
            <b:First>L.</b:First>
            <b:Middle>V</b:Middle>
          </b:Person>
          <b:Person>
            <b:Last>Abeysekera</b:Last>
            <b:First>R</b:First>
          </b:Person>
        </b:NameList>
      </b:Author>
    </b:Author>
    <b:Title>A literature review on organizational culture towards corporate performance</b:Title>
    <b:JournalName>International journal of management, accounting and economics</b:JournalName>
    <b:Year>2020</b:Year>
    <b:Pages>522-544</b:Pages>
    <b:Volume>7</b:Volume>
    <b:Issue>9</b:Issue>
    <b:DOI>https://www.researchgate.net/profile/Yasas-Pathiranage-2/publication/344667769_A_Literature_Review_on_Organizational_Culture_towards_Corporate_Performance/links/5f881848299bf1b53e28f228/A-Literature-Review-on-Organizational-Culture-towards-Corporate-Perfo</b:DOI>
    <b:RefOrder>4</b:RefOrder>
  </b:Source>
  <b:Source>
    <b:Tag>And19</b:Tag>
    <b:SourceType>JournalArticle</b:SourceType>
    <b:Guid>{C37760F8-47A6-4AE2-8090-DF082122C2B6}</b:Guid>
    <b:Author>
      <b:Author>
        <b:NameList>
          <b:Person>
            <b:Last>Andersson</b:Last>
            <b:First>T</b:First>
          </b:Person>
          <b:Person>
            <b:Last>Cäker</b:Last>
            <b:First>M</b:First>
          </b:Person>
          <b:Person>
            <b:Last>Tengblad</b:Last>
            <b:First>S</b:First>
          </b:Person>
          <b:Person>
            <b:Last>Wickelgren</b:Last>
            <b:First>M</b:First>
          </b:Person>
        </b:NameList>
      </b:Author>
    </b:Author>
    <b:Title>Building traits for organizational resilience through balancing organizational structures</b:Title>
    <b:JournalName>Scandinavian Journal of Management</b:JournalName>
    <b:Year>2019</b:Year>
    <b:Pages>36-45</b:Pages>
    <b:Volume>35</b:Volume>
    <b:Issue>1</b:Issue>
    <b:DOI>https://doi.org/10.1016/j.scaman.2019.01.001</b:DOI>
    <b:RefOrder>5</b:RefOrder>
  </b:Source>
  <b:Source>
    <b:Tag>Zen21</b:Tag>
    <b:SourceType>JournalArticle</b:SourceType>
    <b:Guid>{007A8B17-834E-4E57-88CE-A3FD2957059E}</b:Guid>
    <b:Author>
      <b:Author>
        <b:NameList>
          <b:Person>
            <b:Last>Zeng</b:Last>
            <b:First>L</b:First>
          </b:Person>
        </b:NameList>
      </b:Author>
    </b:Author>
    <b:Title>Analysis of Hilton Worldwide Hotel Group’s Transnational Operation Strategy</b:Title>
    <b:JournalName>Academic Journal of Business &amp; Management</b:JournalName>
    <b:Year>2021</b:Year>
    <b:Pages>20-27</b:Pages>
    <b:Volume>3</b:Volume>
    <b:Issue>11</b:Issue>
    <b:DOI>DOI: 10.25236/AJBM.2021.031</b:DOI>
    <b:RefOrder>6</b:RefOrder>
  </b:Source>
  <b:Source>
    <b:Tag>Spi20</b:Tag>
    <b:SourceType>JournalArticle</b:SourceType>
    <b:Guid>{6B0F376E-7E24-4E21-BB33-ABEA6BF31D35}</b:Guid>
    <b:Author>
      <b:Author>
        <b:NameList>
          <b:Person>
            <b:Last>Spina</b:Last>
            <b:First>D</b:First>
          </b:Person>
        </b:NameList>
      </b:Author>
    </b:Author>
    <b:Title>Grand Hotel</b:Title>
    <b:JournalName>Grand Gestures</b:JournalName>
    <b:Year>2020</b:Year>
    <b:Pages>127-151.</b:Pages>
    <b:Volume>4</b:Volume>
    <b:DOI>https://www.research-collection.ethz.ch/bitstream/handle/20.500.11850/465558/1/Spina-GrandHotel.pdf</b:DOI>
    <b:RefOrder>7</b:RefOrder>
  </b:Source>
  <b:Source>
    <b:Tag>Hil23</b:Tag>
    <b:SourceType>InternetSite</b:SourceType>
    <b:Guid>{929731B9-7830-415D-AB72-F87BF203EBA9}</b:Guid>
    <b:Title>Hilton</b:Title>
    <b:Year>2023</b:Year>
    <b:Author>
      <b:Author>
        <b:Corporate>Hilton.Com</b:Corporate>
      </b:Author>
    </b:Author>
    <b:YearAccessed>2023</b:YearAccessed>
    <b:MonthAccessed>Jun</b:MonthAccessed>
    <b:DayAccessed>9</b:DayAccessed>
    <b:URL>https://www.hilton.com/en/corporate/</b:URL>
    <b:RefOrder>8</b:RefOrder>
  </b:Source>
  <b:Source>
    <b:Tag>Joh21</b:Tag>
    <b:SourceType>Book</b:SourceType>
    <b:Guid>{51FE0E10-C997-40E8-ACBC-A26BEF01C797}</b:Guid>
    <b:Title>Wages and working conditions in outsourced services in Europe. In The Living Wage (pp. 107-119)</b:Title>
    <b:Year>2021</b:Year>
    <b:Author>
      <b:Author>
        <b:NameList>
          <b:Person>
            <b:Last>Johnson</b:Last>
            <b:First>M</b:First>
          </b:Person>
          <b:Person>
            <b:Last>Jaehrling</b:Last>
            <b:First>K</b:First>
          </b:Person>
        </b:NameList>
      </b:Author>
    </b:Author>
    <b:Publisher>Routledge</b:Publisher>
    <b:DOI>https://www.taylorfrancis.com/chapters/edit/10.4324/9781003054078-11/wages-working-conditions-outsourced-services-europe-mathew-johnson-karen-jaehrling</b:DOI>
    <b:RefOrder>9</b:RefOrder>
  </b:Source>
  <b:Source>
    <b:Tag>Mor202</b:Tag>
    <b:SourceType>JournalArticle</b:SourceType>
    <b:Guid>{4C3298B8-299D-4AA6-B599-0B6FA09968C8}</b:Guid>
    <b:Author>
      <b:Author>
        <b:NameList>
          <b:Person>
            <b:Last>Mori</b:Last>
            <b:First>A</b:First>
          </b:Person>
          <b:Person>
            <b:Last>Mori</b:Last>
            <b:First>A</b:First>
          </b:Person>
        </b:NameList>
      </b:Author>
    </b:Author>
    <b:Title>Market-Embedding and Inclusion: Implications for Labour and Employment Relations</b:Title>
    <b:Year>2020</b:Year>
    <b:JournalName>Employment Relations in Outsourced Public Services: Working Between Market and State</b:JournalName>
    <b:Pages>115-141</b:Pages>
    <b:DOI>https://doi.org/10.1007/978-3-030-24627-3_5</b:DOI>
    <b:RefOrder>10</b:RefOrder>
  </b:Source>
  <b:Source>
    <b:Tag>Pes15</b:Tag>
    <b:SourceType>Book</b:SourceType>
    <b:Guid>{45AF4A02-1311-430E-B029-55ACCA40B7B0}</b:Guid>
    <b:Title>Internal Housekeeping Versus Outsourced Housekeeping</b:Title>
    <b:Year>2015</b:Year>
    <b:Author>
      <b:Author>
        <b:NameList>
          <b:Person>
            <b:Last>Pesonen</b:Last>
            <b:First>J</b:First>
          </b:Person>
        </b:NameList>
      </b:Author>
    </b:Author>
    <b:DOI>https://www.theseus.fi/bitstream/handle/10024/90439/Pesonen_Janet.pdf?sequence=1</b:DOI>
    <b:RefOrder>11</b:RefOrder>
  </b:Source>
  <b:Source>
    <b:Tag>Ach22</b:Tag>
    <b:SourceType>JournalArticle</b:SourceType>
    <b:Guid>{371F868E-1D17-431E-872D-FC179D94A15A}</b:Guid>
    <b:Title>Corporate social responsibility of the hospitality industry in realizing sustainable tourism development. Enrichment</b:Title>
    <b:Year>2022</b:Year>
    <b:Author>
      <b:Author>
        <b:NameList>
          <b:Person>
            <b:Last>Achmad</b:Last>
            <b:First>W</b:First>
          </b:Person>
          <b:Person>
            <b:Last>Yulianah</b:Last>
            <b:First>Y</b:First>
          </b:Person>
        </b:NameList>
      </b:Author>
    </b:Author>
    <b:JournalName>Journal of Management</b:JournalName>
    <b:Pages>1610-1616</b:Pages>
    <b:Volume>12</b:Volume>
    <b:Issue>2</b:Issue>
    <b:DOI>https://doi.org/10.35335/enrichment.v12i2.447</b:DOI>
    <b:RefOrder>12</b:RefOrder>
  </b:Source>
  <b:Source>
    <b:Tag>Bia21</b:Tag>
    <b:SourceType>JournalArticle</b:SourceType>
    <b:Guid>{6F635AAB-633A-4001-B425-937165C46703}</b:Guid>
    <b:Author>
      <b:Author>
        <b:NameList>
          <b:Person>
            <b:Last>Bianchi</b:Last>
            <b:First>R.</b:First>
            <b:Middle>V</b:Middle>
          </b:Person>
          <b:Person>
            <b:Last>de Man</b:Last>
            <b:First>F</b:First>
          </b:Person>
        </b:NameList>
      </b:Author>
    </b:Author>
    <b:Title>Tourism, inclusive growth and decent work: A political economy critique</b:Title>
    <b:JournalName>Journal of Sustainable Tourism</b:JournalName>
    <b:Year>2021</b:Year>
    <b:Pages>353-371</b:Pages>
    <b:Volume>29</b:Volume>
    <b:Issue>2-3)</b:Issue>
    <b:DOI>https://doi.org/10.1080/09669582.2020.1730862</b:DOI>
    <b:RefOrder>13</b:RefOrder>
  </b:Source>
  <b:Source>
    <b:Tag>Sha212</b:Tag>
    <b:SourceType>JournalArticle</b:SourceType>
    <b:Guid>{9C2C3371-9420-4B8E-89B0-96394FE42706}</b:Guid>
    <b:Title>Aesthetically clean to clinically clean–A study on new housekeeping practices in Delhi hotels beyond COVID-19 pandemic</b:Title>
    <b:Year>2021</b:Year>
    <b:Author>
      <b:Author>
        <b:NameList>
          <b:Person>
            <b:Last>Sharma</b:Last>
            <b:First>S</b:First>
          </b:Person>
          <b:Person>
            <b:Last>Kaushik</b:Last>
            <b:First>T</b:First>
          </b:Person>
        </b:NameList>
      </b:Author>
    </b:Author>
    <b:JournalName>Worldwide Hospitality and Tourism Themes</b:JournalName>
    <b:Pages>646-659</b:Pages>
    <b:Volume>13</b:Volume>
    <b:Issue>5</b:Issue>
    <b:DOI> https://doi.org/10.1108/WHATT-05-2021-0069</b:DOI>
    <b:RefOrder>14</b:RefOrder>
  </b:Source>
  <b:Source>
    <b:Tag>Cha21</b:Tag>
    <b:SourceType>JournalArticle</b:SourceType>
    <b:Guid>{CE392D97-4FB9-4A39-A43B-4BA9C1E7BBEF}</b:Guid>
    <b:Author>
      <b:Author>
        <b:NameList>
          <b:Person>
            <b:Last>Chan</b:Last>
            <b:First>J</b:First>
          </b:Person>
          <b:Person>
            <b:Last>Gao</b:Last>
            <b:First>Y.</b:First>
            <b:Middle>L</b:Middle>
          </b:Person>
          <b:Person>
            <b:Last>McGinley</b:Last>
            <b:First>S</b:First>
          </b:Person>
        </b:NameList>
      </b:Author>
    </b:Author>
    <b:Title>Updates in service standards in hotels: how COVID-19 changed operations</b:Title>
    <b:JournalName>International Journal of Contemporary Hospitality Management</b:JournalName>
    <b:Year>2021</b:Year>
    <b:Pages>1668-1687</b:Pages>
    <b:Volume>33</b:Volume>
    <b:Issue>5</b:Issue>
    <b:DOI>https://www.emerald.com/insight/content/doi/10.1108/IJCHM-09-2020-1013/full/html</b:DOI>
    <b:RefOrder>15</b:RefOrder>
  </b:Source>
  <b:Source>
    <b:Tag>Joh223</b:Tag>
    <b:SourceType>JournalArticle</b:SourceType>
    <b:Guid>{024C1E3B-57BE-4F7E-806B-266DBC010895}</b:Guid>
    <b:Author>
      <b:Author>
        <b:NameList>
          <b:Person>
            <b:Last>Johann</b:Last>
            <b:First>M</b:First>
          </b:Person>
        </b:NameList>
      </b:Author>
    </b:Author>
    <b:Title>CSR strategy in the hospitality industry: From the COVID-19 pandemic crisis to recovery</b:Title>
    <b:JournalName>International Journal of Contemporary Management</b:JournalName>
    <b:Year>2022</b:Year>
    <b:DOI> https://doi.org/10.2478/ijcm-2022-0012</b:DOI>
    <b:RefOrder>16</b:RefOrder>
  </b:Source>
  <b:Source>
    <b:Tag>Lee23</b:Tag>
    <b:SourceType>JournalArticle</b:SourceType>
    <b:Guid>{882FAEA7-79B3-4D9E-978C-AE1395EDCAFD}</b:Guid>
    <b:Author>
      <b:Author>
        <b:NameList>
          <b:Person>
            <b:Last>Lee</b:Last>
            <b:First>M</b:First>
          </b:Person>
          <b:Person>
            <b:Last>Sisson</b:Last>
            <b:First>A.</b:First>
            <b:Middle>D</b:Middle>
          </b:Person>
          <b:Person>
            <b:Last>Costa</b:Last>
            <b:First>R</b:First>
          </b:Person>
          <b:Person>
            <b:Last>Bai</b:Last>
            <b:First>B</b:First>
          </b:Person>
        </b:NameList>
      </b:Author>
    </b:Author>
    <b:Title>Disruptive technologies and innovation in hospitality: A computer-assisted qualitative data analysis approach</b:Title>
    <b:JournalName>Journal of Hospitality &amp; Tourism Research</b:JournalName>
    <b:Year>2023</b:Year>
    <b:Pages>NP47-NP61</b:Pages>
    <b:Volume>47</b:Volume>
    <b:Issue>4</b:Issue>
    <b:DOI>https://doi.org/10.1177/1096348023115608</b:DOI>
    <b:RefOrder>17</b:RefOrder>
  </b:Source>
  <b:Source>
    <b:Tag>Mac22</b:Tag>
    <b:SourceType>InternetSite</b:SourceType>
    <b:Guid>{419B8D74-CC2E-43E0-9837-09F71BEF5384}</b:Guid>
    <b:Title> Hilton Worldwide Holdings Financial Statements 2010-2023 | HLT </b:Title>
    <b:Year>2022</b:Year>
    <b:YearAccessed>2023</b:YearAccessed>
    <b:MonthAccessed>Jun</b:MonthAccessed>
    <b:DayAccessed>9</b:DayAccessed>
    <b:URL>https://www.macrotrends.net/stocks/charts/HLT/hilton-worldwide-holdings/financial-statements</b:URL>
    <b:Author>
      <b:Author>
        <b:Corporate>Macrotrends.Net</b:Corporate>
      </b:Author>
    </b:Author>
    <b:RefOrder>18</b:RefOrder>
  </b:Source>
  <b:Source>
    <b:Tag>Jon23</b:Tag>
    <b:SourceType>JournalArticle</b:SourceType>
    <b:Guid>{FE705AD9-47CB-4CBA-8DB3-BFA572DF7EC8}</b:Guid>
    <b:Title>The circular economy and natural capital in the tourism and hospitality industry</b:Title>
    <b:Year>2023</b:Year>
    <b:Author>
      <b:Author>
        <b:NameList>
          <b:Person>
            <b:Last>Jones</b:Last>
            <b:First>P</b:First>
          </b:Person>
          <b:Person>
            <b:Last>Wynn</b:Last>
            <b:First>M.</b:First>
            <b:Middle>G</b:Middle>
          </b:Person>
        </b:NameList>
      </b:Author>
    </b:Author>
    <b:JournalName>Circular Economy</b:JournalName>
    <b:Pages>1-12</b:Pages>
    <b:Volume>1</b:Volume>
    <b:Issue>1</b:Issue>
    <b:DOI>https://eprints.glos.ac.uk/11732/</b:DOI>
    <b:RefOrder>19</b:RefOrder>
  </b:Source>
  <b:Source>
    <b:Tag>FuL23</b:Tag>
    <b:SourceType>JournalArticle</b:SourceType>
    <b:Guid>{2DBE729A-A5D2-4C56-9C2E-154362A2748F}</b:Guid>
    <b:Author>
      <b:Author>
        <b:NameList>
          <b:Person>
            <b:Last>Fu</b:Last>
            <b:First>L</b:First>
          </b:Person>
        </b:NameList>
      </b:Author>
    </b:Author>
    <b:Title>COVID-19 Impacts on and Responses of the Hotel Industry.</b:Title>
    <b:JournalName>Journal of Education, Humanities and Social Sciences</b:JournalName>
    <b:Year>2023</b:Year>
    <b:Pages>320-323</b:Pages>
    <b:Volume>7</b:Volume>
    <b:DOI>https://drpress.org/ojs/index.php/EHSS/article/view/4697</b:DOI>
    <b:RefOrder>20</b:RefOrder>
  </b:Source>
  <b:Source>
    <b:Tag>AlG19</b:Tag>
    <b:SourceType>JournalArticle</b:SourceType>
    <b:Guid>{B3484BA4-5029-48A3-B20B-D1B3C4EF26A5}</b:Guid>
    <b:Author>
      <b:Author>
        <b:NameList>
          <b:Person>
            <b:Last>Al‐Ghussain</b:Last>
            <b:First>L</b:First>
          </b:Person>
        </b:NameList>
      </b:Author>
    </b:Author>
    <b:Title>Global warming: Review on driving forces and mitigation</b:Title>
    <b:JournalName>Environmental Progress &amp; Sustainable Energy</b:JournalName>
    <b:Year>2019</b:Year>
    <b:Pages>13-21</b:Pages>
    <b:Volume>38</b:Volume>
    <b:Issue>1</b:Issue>
    <b:DOI>https://aiche.onlinelibrary.wiley.com/doi/abs/10.1002/ep.13041</b:DOI>
    <b:RefOrder>1</b:RefOrder>
  </b:Source>
</b:Sources>
</file>

<file path=customXml/itemProps1.xml><?xml version="1.0" encoding="utf-8"?>
<ds:datastoreItem xmlns:ds="http://schemas.openxmlformats.org/officeDocument/2006/customXml" ds:itemID="{6303A779-7C80-4AE0-9D55-95EED4413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1477</TotalTime>
  <Pages>11</Pages>
  <Words>3165</Words>
  <Characters>18047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marius</dc:creator>
  <cp:keywords/>
  <dc:description/>
  <cp:lastModifiedBy>marius marius</cp:lastModifiedBy>
  <cp:revision>9</cp:revision>
  <dcterms:created xsi:type="dcterms:W3CDTF">2023-06-13T20:39:00Z</dcterms:created>
  <dcterms:modified xsi:type="dcterms:W3CDTF">2023-06-15T08:22:00Z</dcterms:modified>
</cp:coreProperties>
</file>