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D47E6" w:rsidRPr="000E75F8" w:rsidRDefault="00AD47E6">
      <w:pPr>
        <w:spacing w:before="240" w:after="240"/>
        <w:rPr>
          <w:b/>
          <w:sz w:val="28"/>
          <w:szCs w:val="28"/>
        </w:rPr>
      </w:pPr>
    </w:p>
    <w:p w14:paraId="00000002" w14:textId="77777777" w:rsidR="00AD47E6" w:rsidRPr="000E75F8" w:rsidRDefault="00AD47E6">
      <w:pPr>
        <w:spacing w:before="240" w:after="240"/>
        <w:jc w:val="center"/>
        <w:rPr>
          <w:b/>
          <w:sz w:val="28"/>
          <w:szCs w:val="28"/>
        </w:rPr>
      </w:pPr>
    </w:p>
    <w:p w14:paraId="00000004" w14:textId="77777777" w:rsidR="00AD47E6" w:rsidRPr="000E75F8" w:rsidRDefault="00AD47E6">
      <w:pPr>
        <w:spacing w:before="240" w:after="240"/>
        <w:rPr>
          <w:b/>
          <w:sz w:val="28"/>
          <w:szCs w:val="28"/>
        </w:rPr>
      </w:pPr>
    </w:p>
    <w:p w14:paraId="00000005" w14:textId="77777777" w:rsidR="00AD47E6" w:rsidRPr="000E75F8" w:rsidRDefault="003E253E">
      <w:pPr>
        <w:spacing w:before="240" w:after="240"/>
        <w:jc w:val="center"/>
        <w:rPr>
          <w:b/>
          <w:sz w:val="28"/>
          <w:szCs w:val="28"/>
        </w:rPr>
      </w:pPr>
      <w:r w:rsidRPr="000E75F8">
        <w:rPr>
          <w:b/>
          <w:noProof/>
          <w:sz w:val="28"/>
          <w:szCs w:val="28"/>
        </w:rPr>
        <w:drawing>
          <wp:inline distT="114300" distB="114300" distL="114300" distR="114300" wp14:anchorId="7B9D0726" wp14:editId="52284326">
            <wp:extent cx="3128963" cy="14947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128963" cy="1494763"/>
                    </a:xfrm>
                    <a:prstGeom prst="rect">
                      <a:avLst/>
                    </a:prstGeom>
                  </pic:spPr>
                </pic:pic>
              </a:graphicData>
            </a:graphic>
          </wp:inline>
        </w:drawing>
      </w:r>
    </w:p>
    <w:p w14:paraId="00000006" w14:textId="5E0B213E" w:rsidR="00AD47E6" w:rsidRPr="000E75F8" w:rsidRDefault="003E253E">
      <w:pPr>
        <w:spacing w:before="240" w:after="240"/>
        <w:jc w:val="center"/>
        <w:rPr>
          <w:rFonts w:eastAsia="Times New Roman" w:cs="Times New Roman"/>
          <w:b/>
          <w:sz w:val="32"/>
          <w:szCs w:val="32"/>
        </w:rPr>
      </w:pPr>
      <w:r w:rsidRPr="000E75F8">
        <w:rPr>
          <w:rFonts w:eastAsia="Times New Roman" w:cs="Times New Roman"/>
          <w:b/>
          <w:sz w:val="32"/>
          <w:szCs w:val="32"/>
        </w:rPr>
        <w:t xml:space="preserve">Module: International Meetings Management for the Hotel Industry </w:t>
      </w:r>
    </w:p>
    <w:p w14:paraId="00000007" w14:textId="77777777" w:rsidR="00AD47E6" w:rsidRPr="000E75F8" w:rsidRDefault="003E253E">
      <w:pPr>
        <w:spacing w:before="240" w:after="240"/>
        <w:jc w:val="center"/>
        <w:rPr>
          <w:rFonts w:eastAsia="Times New Roman" w:cs="Times New Roman"/>
          <w:b/>
          <w:sz w:val="32"/>
          <w:szCs w:val="32"/>
        </w:rPr>
      </w:pPr>
      <w:r w:rsidRPr="000E75F8">
        <w:rPr>
          <w:rFonts w:eastAsia="Times New Roman" w:cs="Times New Roman"/>
          <w:b/>
          <w:sz w:val="32"/>
          <w:szCs w:val="32"/>
        </w:rPr>
        <w:t>Module Code: BMIH6007</w:t>
      </w:r>
    </w:p>
    <w:p w14:paraId="00000008" w14:textId="77777777" w:rsidR="00AD47E6" w:rsidRPr="000E75F8" w:rsidRDefault="003E253E">
      <w:pPr>
        <w:spacing w:before="240" w:after="240"/>
        <w:jc w:val="center"/>
        <w:rPr>
          <w:rFonts w:eastAsia="Times New Roman" w:cs="Times New Roman"/>
          <w:b/>
          <w:sz w:val="32"/>
          <w:szCs w:val="32"/>
        </w:rPr>
      </w:pPr>
      <w:r w:rsidRPr="000E75F8">
        <w:rPr>
          <w:rFonts w:eastAsia="Times New Roman" w:cs="Times New Roman"/>
          <w:b/>
          <w:sz w:val="32"/>
          <w:szCs w:val="32"/>
        </w:rPr>
        <w:t>Assignment Title: Assignment 1: Feasibility Plan for an International Meeting</w:t>
      </w:r>
    </w:p>
    <w:p w14:paraId="00000009" w14:textId="77777777" w:rsidR="00AD47E6" w:rsidRPr="000E75F8" w:rsidRDefault="003E253E">
      <w:pPr>
        <w:spacing w:before="240" w:after="240"/>
        <w:jc w:val="center"/>
        <w:rPr>
          <w:rFonts w:eastAsia="Times New Roman" w:cs="Times New Roman"/>
          <w:b/>
          <w:sz w:val="28"/>
          <w:szCs w:val="28"/>
        </w:rPr>
      </w:pPr>
      <w:r w:rsidRPr="000E75F8">
        <w:rPr>
          <w:rFonts w:eastAsia="Times New Roman" w:cs="Times New Roman"/>
          <w:b/>
          <w:sz w:val="28"/>
          <w:szCs w:val="28"/>
        </w:rPr>
        <w:t xml:space="preserve">Student Name: </w:t>
      </w:r>
      <w:r w:rsidRPr="000E75F8">
        <w:rPr>
          <w:rFonts w:eastAsia="Times New Roman" w:cs="Times New Roman"/>
          <w:b/>
          <w:sz w:val="28"/>
          <w:szCs w:val="28"/>
          <w:highlight w:val="white"/>
        </w:rPr>
        <w:t>Silvana Mihaela Lorencz</w:t>
      </w:r>
    </w:p>
    <w:p w14:paraId="2B914433" w14:textId="77777777" w:rsidR="00AD1B93" w:rsidRDefault="003E253E">
      <w:pPr>
        <w:spacing w:before="240" w:after="240"/>
        <w:jc w:val="center"/>
        <w:rPr>
          <w:rFonts w:eastAsia="Times New Roman" w:cs="Times New Roman"/>
          <w:b/>
          <w:sz w:val="28"/>
          <w:szCs w:val="28"/>
        </w:rPr>
      </w:pPr>
      <w:r w:rsidRPr="000E75F8">
        <w:rPr>
          <w:rFonts w:eastAsia="Times New Roman" w:cs="Times New Roman"/>
          <w:b/>
          <w:sz w:val="28"/>
          <w:szCs w:val="28"/>
        </w:rPr>
        <w:t>Student ID:</w:t>
      </w:r>
      <w:r w:rsidR="003319C1">
        <w:rPr>
          <w:rFonts w:eastAsia="Times New Roman" w:cs="Times New Roman"/>
          <w:b/>
          <w:sz w:val="28"/>
          <w:szCs w:val="28"/>
        </w:rPr>
        <w:t xml:space="preserve"> </w:t>
      </w:r>
      <w:r w:rsidR="000946A9">
        <w:rPr>
          <w:rFonts w:eastAsia="Times New Roman" w:cs="Times New Roman"/>
          <w:b/>
          <w:sz w:val="28"/>
          <w:szCs w:val="28"/>
        </w:rPr>
        <w:t xml:space="preserve"> </w:t>
      </w:r>
      <w:r w:rsidR="00401E04">
        <w:rPr>
          <w:rFonts w:eastAsia="Times New Roman" w:cs="Times New Roman"/>
          <w:b/>
          <w:sz w:val="28"/>
          <w:szCs w:val="28"/>
        </w:rPr>
        <w:t>2231303</w:t>
      </w:r>
      <w:r w:rsidR="00803C7C">
        <w:rPr>
          <w:rFonts w:eastAsia="Times New Roman" w:cs="Times New Roman"/>
          <w:b/>
          <w:sz w:val="28"/>
          <w:szCs w:val="28"/>
        </w:rPr>
        <w:t xml:space="preserve"> </w:t>
      </w:r>
      <w:r w:rsidR="00401E04">
        <w:rPr>
          <w:rFonts w:eastAsia="Times New Roman" w:cs="Times New Roman"/>
          <w:b/>
          <w:sz w:val="28"/>
          <w:szCs w:val="28"/>
        </w:rPr>
        <w:t xml:space="preserve"> </w:t>
      </w:r>
    </w:p>
    <w:p w14:paraId="0000000A" w14:textId="5E14F733" w:rsidR="00AD47E6" w:rsidRPr="000E75F8" w:rsidRDefault="00AD1B93">
      <w:pPr>
        <w:spacing w:before="240" w:after="240"/>
        <w:jc w:val="center"/>
        <w:rPr>
          <w:b/>
          <w:sz w:val="28"/>
          <w:szCs w:val="28"/>
        </w:rPr>
      </w:pPr>
      <w:r>
        <w:rPr>
          <w:rFonts w:eastAsia="Times New Roman" w:cs="Times New Roman"/>
          <w:b/>
          <w:sz w:val="28"/>
          <w:szCs w:val="28"/>
        </w:rPr>
        <w:t>Modul Lecture:</w:t>
      </w:r>
      <w:r w:rsidR="00C100B8">
        <w:rPr>
          <w:rFonts w:eastAsia="Times New Roman" w:cs="Times New Roman"/>
          <w:b/>
          <w:sz w:val="28"/>
          <w:szCs w:val="28"/>
        </w:rPr>
        <w:t xml:space="preserve"> </w:t>
      </w:r>
      <w:r w:rsidR="0005558A">
        <w:rPr>
          <w:rFonts w:eastAsia="Times New Roman" w:cs="Times New Roman"/>
          <w:b/>
          <w:sz w:val="28"/>
          <w:szCs w:val="28"/>
        </w:rPr>
        <w:t>Kathryn Flynn</w:t>
      </w:r>
      <w:r w:rsidR="00803C7C">
        <w:rPr>
          <w:rFonts w:eastAsia="Times New Roman" w:cs="Times New Roman"/>
          <w:b/>
          <w:sz w:val="28"/>
          <w:szCs w:val="28"/>
        </w:rPr>
        <w:t xml:space="preserve">  </w:t>
      </w:r>
      <w:r w:rsidR="00A57A1A">
        <w:rPr>
          <w:rFonts w:eastAsia="Times New Roman" w:cs="Times New Roman"/>
          <w:b/>
          <w:sz w:val="28"/>
          <w:szCs w:val="28"/>
        </w:rPr>
        <w:t xml:space="preserve"> </w:t>
      </w:r>
      <w:r w:rsidR="00911F54">
        <w:rPr>
          <w:rFonts w:eastAsia="Times New Roman" w:cs="Times New Roman"/>
          <w:b/>
          <w:sz w:val="28"/>
          <w:szCs w:val="28"/>
        </w:rPr>
        <w:t xml:space="preserve"> </w:t>
      </w:r>
      <w:r w:rsidR="00B41E75">
        <w:rPr>
          <w:rFonts w:eastAsia="Times New Roman" w:cs="Times New Roman"/>
          <w:b/>
          <w:sz w:val="28"/>
          <w:szCs w:val="28"/>
        </w:rPr>
        <w:t xml:space="preserve"> </w:t>
      </w:r>
      <w:r w:rsidR="009D13C6">
        <w:rPr>
          <w:rFonts w:eastAsia="Times New Roman" w:cs="Times New Roman"/>
          <w:b/>
          <w:sz w:val="28"/>
          <w:szCs w:val="28"/>
        </w:rPr>
        <w:t xml:space="preserve"> </w:t>
      </w:r>
      <w:r w:rsidR="00137AEF">
        <w:rPr>
          <w:rFonts w:eastAsia="Times New Roman" w:cs="Times New Roman"/>
          <w:b/>
          <w:sz w:val="28"/>
          <w:szCs w:val="28"/>
        </w:rPr>
        <w:t xml:space="preserve"> </w:t>
      </w:r>
      <w:r w:rsidR="00286167">
        <w:rPr>
          <w:rFonts w:eastAsia="Times New Roman" w:cs="Times New Roman"/>
          <w:b/>
          <w:sz w:val="28"/>
          <w:szCs w:val="28"/>
        </w:rPr>
        <w:t xml:space="preserve"> </w:t>
      </w:r>
      <w:r w:rsidR="009B1F31">
        <w:rPr>
          <w:rFonts w:eastAsia="Times New Roman" w:cs="Times New Roman"/>
          <w:b/>
          <w:sz w:val="28"/>
          <w:szCs w:val="28"/>
        </w:rPr>
        <w:t xml:space="preserve"> </w:t>
      </w:r>
      <w:r w:rsidR="005B434C">
        <w:rPr>
          <w:rFonts w:eastAsia="Times New Roman" w:cs="Times New Roman"/>
          <w:b/>
          <w:sz w:val="28"/>
          <w:szCs w:val="28"/>
        </w:rPr>
        <w:t xml:space="preserve"> </w:t>
      </w:r>
      <w:r w:rsidR="00F3432C">
        <w:rPr>
          <w:rFonts w:eastAsia="Times New Roman" w:cs="Times New Roman"/>
          <w:b/>
          <w:sz w:val="28"/>
          <w:szCs w:val="28"/>
        </w:rPr>
        <w:t xml:space="preserve"> </w:t>
      </w:r>
      <w:r w:rsidR="001B1662">
        <w:rPr>
          <w:rFonts w:eastAsia="Times New Roman" w:cs="Times New Roman"/>
          <w:b/>
          <w:sz w:val="28"/>
          <w:szCs w:val="28"/>
        </w:rPr>
        <w:t xml:space="preserve"> </w:t>
      </w:r>
      <w:r w:rsidR="004148E7">
        <w:rPr>
          <w:rFonts w:eastAsia="Times New Roman" w:cs="Times New Roman"/>
          <w:b/>
          <w:sz w:val="28"/>
          <w:szCs w:val="28"/>
        </w:rPr>
        <w:t xml:space="preserve"> </w:t>
      </w:r>
      <w:r w:rsidR="00D35E1F">
        <w:rPr>
          <w:rFonts w:eastAsia="Times New Roman" w:cs="Times New Roman"/>
          <w:b/>
          <w:sz w:val="28"/>
          <w:szCs w:val="28"/>
        </w:rPr>
        <w:t xml:space="preserve"> </w:t>
      </w:r>
      <w:r w:rsidR="003E253E" w:rsidRPr="000E75F8">
        <w:br w:type="page"/>
      </w:r>
    </w:p>
    <w:p w14:paraId="35457BE2" w14:textId="77777777" w:rsidR="002D3D5D" w:rsidRDefault="002D3D5D" w:rsidP="00C17F7B">
      <w:pPr>
        <w:pStyle w:val="Heading1"/>
      </w:pPr>
      <w:r>
        <w:lastRenderedPageBreak/>
        <w:t xml:space="preserve"> </w:t>
      </w:r>
    </w:p>
    <w:p w14:paraId="4ABC2ABF" w14:textId="77777777" w:rsidR="002D3D5D" w:rsidRDefault="002D3D5D" w:rsidP="00C17F7B">
      <w:pPr>
        <w:pStyle w:val="Heading1"/>
      </w:pPr>
    </w:p>
    <w:p w14:paraId="0EB63EF0" w14:textId="77777777" w:rsidR="002D3D5D" w:rsidRDefault="002D3D5D" w:rsidP="00C17F7B">
      <w:pPr>
        <w:pStyle w:val="Heading1"/>
      </w:pPr>
    </w:p>
    <w:p w14:paraId="5C817728" w14:textId="51363042" w:rsidR="002D3D5D" w:rsidRDefault="002D3D5D" w:rsidP="00C17F7B">
      <w:pPr>
        <w:pStyle w:val="Heading1"/>
      </w:pPr>
      <w:r>
        <w:rPr>
          <w:noProof/>
        </w:rPr>
        <w:drawing>
          <wp:inline distT="0" distB="0" distL="0" distR="0" wp14:anchorId="26E641AC" wp14:editId="165D1585">
            <wp:extent cx="5943600" cy="3343275"/>
            <wp:effectExtent l="0" t="0" r="0" b="9525"/>
            <wp:docPr id="1144786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78632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0E602BF" w14:textId="77777777" w:rsidR="002D3D5D" w:rsidRDefault="002D3D5D" w:rsidP="00C17F7B">
      <w:pPr>
        <w:pStyle w:val="Heading1"/>
      </w:pPr>
    </w:p>
    <w:p w14:paraId="63B80388" w14:textId="77777777" w:rsidR="002D3D5D" w:rsidRDefault="002D3D5D" w:rsidP="00C17F7B">
      <w:pPr>
        <w:pStyle w:val="Heading1"/>
      </w:pPr>
    </w:p>
    <w:p w14:paraId="4C649577" w14:textId="77777777" w:rsidR="002D3D5D" w:rsidRDefault="002D3D5D" w:rsidP="00C17F7B">
      <w:pPr>
        <w:pStyle w:val="Heading1"/>
      </w:pPr>
    </w:p>
    <w:p w14:paraId="0000000B" w14:textId="7BEE955F" w:rsidR="00AD47E6" w:rsidRDefault="003E253E" w:rsidP="00C17F7B">
      <w:pPr>
        <w:pStyle w:val="Heading1"/>
      </w:pPr>
      <w:r w:rsidRPr="000E75F8">
        <w:t xml:space="preserve">Introduction </w:t>
      </w:r>
    </w:p>
    <w:p w14:paraId="6481C05E" w14:textId="31FBF24B" w:rsidR="003319C1" w:rsidRPr="003319C1" w:rsidRDefault="003319C1" w:rsidP="003319C1">
      <w:r>
        <w:rPr>
          <w:noProof/>
        </w:rPr>
        <w:lastRenderedPageBreak/>
        <w:drawing>
          <wp:inline distT="0" distB="0" distL="0" distR="0" wp14:anchorId="21C09236" wp14:editId="19C4E7C3">
            <wp:extent cx="5944235" cy="3340735"/>
            <wp:effectExtent l="0" t="0" r="0" b="0"/>
            <wp:docPr id="122286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0C" w14:textId="2BB6A543"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Events in the MICE industry within the hospitality sector require extensive planning and feasibility. This presentation is going to discuss and present planning and a constructive feasibility study for an event to be held on the theme </w:t>
      </w:r>
      <w:r w:rsidR="00C17F7B" w:rsidRPr="000E75F8">
        <w:rPr>
          <w:rFonts w:eastAsia="Times New Roman" w:cs="Times New Roman"/>
          <w:szCs w:val="24"/>
        </w:rPr>
        <w:t>of Equality</w:t>
      </w:r>
      <w:r w:rsidRPr="000E75F8">
        <w:rPr>
          <w:rFonts w:eastAsia="Times New Roman" w:cs="Times New Roman"/>
          <w:szCs w:val="24"/>
        </w:rPr>
        <w:t xml:space="preserve"> Diversity and inclusion". The mega MICE industry event will be conducted in association with IHG Group, one of the largest hospitality brands in the UK. The presentation will, therefore, present a constructive planning </w:t>
      </w:r>
      <w:r w:rsidR="00C17F7B" w:rsidRPr="000E75F8">
        <w:rPr>
          <w:rFonts w:eastAsia="Times New Roman" w:cs="Times New Roman"/>
          <w:szCs w:val="24"/>
        </w:rPr>
        <w:t>process, situational</w:t>
      </w:r>
      <w:r w:rsidRPr="000E75F8">
        <w:rPr>
          <w:rFonts w:eastAsia="Times New Roman" w:cs="Times New Roman"/>
          <w:szCs w:val="24"/>
        </w:rPr>
        <w:t xml:space="preserve"> analysis and consideration of certain factors such as Event Content and context, factors pertaining to market, event operations, and finance. </w:t>
      </w:r>
      <w:r w:rsidRPr="000E75F8">
        <w:rPr>
          <w:rFonts w:cs="Times New Roman"/>
          <w:szCs w:val="24"/>
        </w:rPr>
        <w:br w:type="page"/>
      </w:r>
    </w:p>
    <w:p w14:paraId="0000000D" w14:textId="77777777" w:rsidR="00AD47E6" w:rsidRDefault="003E253E" w:rsidP="00C17F7B">
      <w:pPr>
        <w:pStyle w:val="Heading1"/>
      </w:pPr>
      <w:r w:rsidRPr="000E75F8">
        <w:lastRenderedPageBreak/>
        <w:t>Event content and context</w:t>
      </w:r>
    </w:p>
    <w:p w14:paraId="35D47D9D" w14:textId="4865049D" w:rsidR="003319C1" w:rsidRPr="003319C1" w:rsidRDefault="003319C1" w:rsidP="003319C1">
      <w:r>
        <w:rPr>
          <w:noProof/>
        </w:rPr>
        <w:drawing>
          <wp:inline distT="0" distB="0" distL="0" distR="0" wp14:anchorId="7D07FF00" wp14:editId="7EC43653">
            <wp:extent cx="5944235" cy="3340735"/>
            <wp:effectExtent l="0" t="0" r="0" b="0"/>
            <wp:docPr id="11110696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0E"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 xml:space="preserve">Background to the event </w:t>
      </w:r>
    </w:p>
    <w:p w14:paraId="0000000F"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Hospitality industry has witnessed the issue of diversity, equality and inclusion over the past couple of years (</w:t>
      </w:r>
      <w:proofErr w:type="spellStart"/>
      <w:r w:rsidRPr="000E75F8">
        <w:rPr>
          <w:rFonts w:eastAsia="Times New Roman" w:cs="Times New Roman"/>
          <w:szCs w:val="24"/>
          <w:highlight w:val="white"/>
        </w:rPr>
        <w:t>Dolasinski</w:t>
      </w:r>
      <w:proofErr w:type="spellEnd"/>
      <w:r w:rsidRPr="000E75F8">
        <w:rPr>
          <w:rFonts w:eastAsia="Times New Roman" w:cs="Times New Roman"/>
          <w:szCs w:val="24"/>
          <w:highlight w:val="white"/>
        </w:rPr>
        <w:t xml:space="preserve"> et al., 2021</w:t>
      </w:r>
      <w:r w:rsidRPr="000E75F8">
        <w:rPr>
          <w:rFonts w:eastAsia="Times New Roman" w:cs="Times New Roman"/>
          <w:szCs w:val="24"/>
        </w:rPr>
        <w:t>). IHG, as a leading brand in the UK's hospitality industry, has always maintained its approach to foster the value of Equality, Diversity, and inclusion in the modern workplace (</w:t>
      </w:r>
      <w:r w:rsidRPr="000E75F8">
        <w:rPr>
          <w:rFonts w:eastAsia="Times New Roman" w:cs="Times New Roman"/>
          <w:szCs w:val="24"/>
          <w:highlight w:val="white"/>
        </w:rPr>
        <w:t>Magazine, 2021</w:t>
      </w:r>
      <w:r w:rsidRPr="000E75F8">
        <w:rPr>
          <w:rFonts w:eastAsia="Times New Roman" w:cs="Times New Roman"/>
          <w:szCs w:val="24"/>
        </w:rPr>
        <w:t xml:space="preserve">). </w:t>
      </w:r>
    </w:p>
    <w:p w14:paraId="00000010"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Type and nature of the event</w:t>
      </w:r>
    </w:p>
    <w:p w14:paraId="00000011"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Type of the event</w:t>
      </w:r>
    </w:p>
    <w:p w14:paraId="00000012" w14:textId="0D77539F"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The theme of the event is Equality Diversity and inclusion. This event is based on the MICE industry and its meeting structure. It will be conducted in collaboration with IHG Group. Some of the other brands from the Travel and Tourism industry will also participate in this mega event. Through this event, the significance </w:t>
      </w:r>
      <w:r w:rsidR="00C17F7B" w:rsidRPr="000E75F8">
        <w:rPr>
          <w:rFonts w:eastAsia="Times New Roman" w:cs="Times New Roman"/>
          <w:szCs w:val="24"/>
        </w:rPr>
        <w:t>of Equality</w:t>
      </w:r>
      <w:r w:rsidRPr="000E75F8">
        <w:rPr>
          <w:rFonts w:eastAsia="Times New Roman" w:cs="Times New Roman"/>
          <w:szCs w:val="24"/>
        </w:rPr>
        <w:t xml:space="preserve">, Diversity, and Inclusion in contemporary workplaces will be disseminated in the presence of leading industry players and experts. </w:t>
      </w:r>
    </w:p>
    <w:p w14:paraId="00000013"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 xml:space="preserve">Nature of the event </w:t>
      </w:r>
    </w:p>
    <w:p w14:paraId="00000014" w14:textId="312BA3EB"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lastRenderedPageBreak/>
        <w:t xml:space="preserve">The nature of the event is based on the MICE industry. The MICE </w:t>
      </w:r>
      <w:r w:rsidR="00C17F7B" w:rsidRPr="000E75F8">
        <w:rPr>
          <w:rFonts w:eastAsia="Times New Roman" w:cs="Times New Roman"/>
          <w:szCs w:val="24"/>
        </w:rPr>
        <w:t>consist</w:t>
      </w:r>
      <w:r w:rsidRPr="000E75F8">
        <w:rPr>
          <w:rFonts w:eastAsia="Times New Roman" w:cs="Times New Roman"/>
          <w:szCs w:val="24"/>
        </w:rPr>
        <w:t xml:space="preserve"> of Meetings, Incentives, Conferences, and Exhibitions (</w:t>
      </w:r>
      <w:r w:rsidRPr="000E75F8">
        <w:rPr>
          <w:rFonts w:eastAsia="Times New Roman" w:cs="Times New Roman"/>
          <w:szCs w:val="24"/>
          <w:highlight w:val="white"/>
        </w:rPr>
        <w:t>Getz and Page, 2019</w:t>
      </w:r>
      <w:r w:rsidRPr="000E75F8">
        <w:rPr>
          <w:rFonts w:eastAsia="Times New Roman" w:cs="Times New Roman"/>
          <w:szCs w:val="24"/>
        </w:rPr>
        <w:t xml:space="preserve">). In the Meeting, the major industry players of the Hospitality industry will be present and discuss the benefits of fostering the value of DEI within the workplace. The event is also slated to include the reward programs under incentive.  A large global level of conference will be conducted among the industry leaders. In terms of Exhibitions, IHG will showcase its commitment to the services and products towards fostering DEI. </w:t>
      </w:r>
    </w:p>
    <w:p w14:paraId="00000015" w14:textId="77777777" w:rsidR="00AD47E6" w:rsidRDefault="003E253E" w:rsidP="00C17F7B">
      <w:pPr>
        <w:pStyle w:val="Heading1"/>
      </w:pPr>
      <w:r w:rsidRPr="000E75F8">
        <w:t xml:space="preserve">Market factors </w:t>
      </w:r>
    </w:p>
    <w:p w14:paraId="0DE44AE9" w14:textId="6811C3C5" w:rsidR="003319C1" w:rsidRPr="003319C1" w:rsidRDefault="003319C1" w:rsidP="003319C1">
      <w:r>
        <w:rPr>
          <w:noProof/>
        </w:rPr>
        <w:drawing>
          <wp:inline distT="0" distB="0" distL="0" distR="0" wp14:anchorId="675A8ED6" wp14:editId="49B962D8">
            <wp:extent cx="5944235" cy="3340735"/>
            <wp:effectExtent l="0" t="0" r="0" b="0"/>
            <wp:docPr id="666340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16"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Target market for the event</w:t>
      </w:r>
    </w:p>
    <w:p w14:paraId="00000017"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The Target Market for this event of the IHG group is the professionals, entrepreneurs, and new businesses who have commenced their journey in the hospitality and tourism industry. Determining the target market for the MICE event is appropriate and fructify in achieving its core objectives (</w:t>
      </w:r>
      <w:r w:rsidRPr="000E75F8">
        <w:rPr>
          <w:rFonts w:eastAsia="Times New Roman" w:cs="Times New Roman"/>
          <w:szCs w:val="24"/>
          <w:highlight w:val="white"/>
        </w:rPr>
        <w:t>O’Toole, 2011</w:t>
      </w:r>
      <w:r w:rsidRPr="000E75F8">
        <w:rPr>
          <w:rFonts w:eastAsia="Times New Roman" w:cs="Times New Roman"/>
          <w:szCs w:val="24"/>
        </w:rPr>
        <w:t xml:space="preserve">). </w:t>
      </w:r>
    </w:p>
    <w:p w14:paraId="00000018"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Demand for the event</w:t>
      </w:r>
    </w:p>
    <w:p w14:paraId="00000019"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lastRenderedPageBreak/>
        <w:t>There is a widespread demand for such events in the global hospitality industry. Post-pandemic, the hospitality industry across the world has witnessed a higher turnover rate and employee attrition rate (</w:t>
      </w:r>
      <w:r w:rsidRPr="000E75F8">
        <w:rPr>
          <w:rFonts w:eastAsia="Times New Roman" w:cs="Times New Roman"/>
          <w:szCs w:val="24"/>
          <w:highlight w:val="white"/>
        </w:rPr>
        <w:t>Rogers and Wynn-Moylan, 2022</w:t>
      </w:r>
      <w:r w:rsidRPr="000E75F8">
        <w:rPr>
          <w:rFonts w:eastAsia="Times New Roman" w:cs="Times New Roman"/>
          <w:szCs w:val="24"/>
        </w:rPr>
        <w:t>). Therefore, the demand for such events where the main focus is DEI is always high (</w:t>
      </w:r>
      <w:r w:rsidRPr="000E75F8">
        <w:rPr>
          <w:rFonts w:eastAsia="Times New Roman" w:cs="Times New Roman"/>
          <w:szCs w:val="24"/>
          <w:highlight w:val="white"/>
        </w:rPr>
        <w:t>Smith, 2012</w:t>
      </w:r>
      <w:r w:rsidRPr="000E75F8">
        <w:rPr>
          <w:rFonts w:eastAsia="Times New Roman" w:cs="Times New Roman"/>
          <w:szCs w:val="24"/>
        </w:rPr>
        <w:t>). It is also feasible to determine the surging demand for such events conducted globally at the time of planning an event (</w:t>
      </w:r>
      <w:r w:rsidRPr="000E75F8">
        <w:rPr>
          <w:rFonts w:eastAsia="Times New Roman" w:cs="Times New Roman"/>
          <w:szCs w:val="24"/>
          <w:highlight w:val="white"/>
        </w:rPr>
        <w:t>Hagen, 2021</w:t>
      </w:r>
      <w:r w:rsidRPr="000E75F8">
        <w:rPr>
          <w:rFonts w:eastAsia="Times New Roman" w:cs="Times New Roman"/>
          <w:szCs w:val="24"/>
        </w:rPr>
        <w:t>).</w:t>
      </w:r>
    </w:p>
    <w:p w14:paraId="0000001A" w14:textId="77777777" w:rsidR="00AD47E6" w:rsidRPr="000E75F8" w:rsidRDefault="003E253E" w:rsidP="00C17F7B">
      <w:pPr>
        <w:spacing w:before="240" w:after="240"/>
        <w:rPr>
          <w:rFonts w:eastAsia="Times New Roman" w:cs="Times New Roman"/>
          <w:b/>
          <w:bCs/>
          <w:szCs w:val="24"/>
        </w:rPr>
      </w:pPr>
      <w:r w:rsidRPr="000E75F8">
        <w:rPr>
          <w:rFonts w:eastAsia="Times New Roman" w:cs="Times New Roman"/>
          <w:b/>
          <w:bCs/>
          <w:szCs w:val="24"/>
        </w:rPr>
        <w:t>Supply, competition, and marketing activity for the event</w:t>
      </w:r>
    </w:p>
    <w:p w14:paraId="0000001B" w14:textId="5869621D"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This event of IHG is slated to be conducted in the upcoming months. Conducting such a large and mammoth event requires the support of the supply chain (</w:t>
      </w:r>
      <w:r w:rsidRPr="000E75F8">
        <w:rPr>
          <w:rFonts w:eastAsia="Times New Roman" w:cs="Times New Roman"/>
          <w:szCs w:val="24"/>
          <w:highlight w:val="white"/>
        </w:rPr>
        <w:t>Bernini et al., 2021</w:t>
      </w:r>
      <w:r w:rsidRPr="000E75F8">
        <w:rPr>
          <w:rFonts w:eastAsia="Times New Roman" w:cs="Times New Roman"/>
          <w:szCs w:val="24"/>
        </w:rPr>
        <w:t>). Suppliers play a key role in providing logistics support (</w:t>
      </w:r>
      <w:r w:rsidRPr="000E75F8">
        <w:rPr>
          <w:rFonts w:eastAsia="Times New Roman" w:cs="Times New Roman"/>
          <w:szCs w:val="24"/>
          <w:highlight w:val="white"/>
        </w:rPr>
        <w:t>Bladen et al.,</w:t>
      </w:r>
      <w:r w:rsidR="000E75F8">
        <w:rPr>
          <w:rFonts w:eastAsia="Times New Roman" w:cs="Times New Roman"/>
          <w:szCs w:val="24"/>
          <w:highlight w:val="white"/>
        </w:rPr>
        <w:t xml:space="preserve"> </w:t>
      </w:r>
      <w:r w:rsidRPr="000E75F8">
        <w:rPr>
          <w:rFonts w:eastAsia="Times New Roman" w:cs="Times New Roman"/>
          <w:szCs w:val="24"/>
          <w:highlight w:val="white"/>
        </w:rPr>
        <w:t>2022</w:t>
      </w:r>
      <w:r w:rsidRPr="000E75F8">
        <w:rPr>
          <w:rFonts w:eastAsia="Times New Roman" w:cs="Times New Roman"/>
          <w:szCs w:val="24"/>
        </w:rPr>
        <w:t>). In addition, competition for such events is moderate to high since the UK is home to global tourists. Moreover, Strengthening the operations of tourism as well as the hospitality industry is the need of the hour (</w:t>
      </w:r>
      <w:r w:rsidRPr="000E75F8">
        <w:rPr>
          <w:rFonts w:eastAsia="Times New Roman" w:cs="Times New Roman"/>
          <w:szCs w:val="24"/>
          <w:highlight w:val="white"/>
        </w:rPr>
        <w:t>Bowdin et al., 2023</w:t>
      </w:r>
      <w:r w:rsidRPr="000E75F8">
        <w:rPr>
          <w:rFonts w:eastAsia="Times New Roman" w:cs="Times New Roman"/>
          <w:szCs w:val="24"/>
        </w:rPr>
        <w:t>). Therefore, this need within the industry always scales up the demand for such events.</w:t>
      </w:r>
    </w:p>
    <w:p w14:paraId="0000001C" w14:textId="39A1C6C9"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IHG, the main stakeholder and </w:t>
      </w:r>
      <w:proofErr w:type="spellStart"/>
      <w:r w:rsidRPr="000E75F8">
        <w:rPr>
          <w:rFonts w:eastAsia="Times New Roman" w:cs="Times New Roman"/>
          <w:szCs w:val="24"/>
        </w:rPr>
        <w:t>organiser</w:t>
      </w:r>
      <w:proofErr w:type="spellEnd"/>
      <w:r w:rsidRPr="000E75F8">
        <w:rPr>
          <w:rFonts w:eastAsia="Times New Roman" w:cs="Times New Roman"/>
          <w:szCs w:val="24"/>
        </w:rPr>
        <w:t xml:space="preserve"> of this MICE event, will leverage omni-channel marketing channels for disseminating this type of event.  The usage of digital platforms of marketing will help IHG reach the target and potential audience of this event. In addition, the IHG group will also leverage the tactic of employing social media influencers for canvassing the event. Notably, the planning process of such an event requires the application of the strategic ways of marketing and activities (</w:t>
      </w:r>
      <w:r w:rsidR="00C17F7B" w:rsidRPr="000E75F8">
        <w:rPr>
          <w:rFonts w:eastAsia="Times New Roman" w:cs="Times New Roman"/>
          <w:szCs w:val="24"/>
          <w:highlight w:val="white"/>
        </w:rPr>
        <w:t>Smith, 2020</w:t>
      </w:r>
      <w:r w:rsidRPr="000E75F8">
        <w:rPr>
          <w:rFonts w:eastAsia="Times New Roman" w:cs="Times New Roman"/>
          <w:szCs w:val="24"/>
        </w:rPr>
        <w:t xml:space="preserve">). </w:t>
      </w:r>
    </w:p>
    <w:p w14:paraId="0000001D" w14:textId="77777777" w:rsidR="00AD47E6" w:rsidRDefault="003E253E" w:rsidP="00C17F7B">
      <w:pPr>
        <w:pStyle w:val="Heading1"/>
      </w:pPr>
      <w:r w:rsidRPr="000E75F8">
        <w:lastRenderedPageBreak/>
        <w:t xml:space="preserve">Operational factors </w:t>
      </w:r>
    </w:p>
    <w:p w14:paraId="561C47CE" w14:textId="67EBE81B" w:rsidR="003319C1" w:rsidRPr="003319C1" w:rsidRDefault="003319C1" w:rsidP="003319C1">
      <w:r>
        <w:rPr>
          <w:noProof/>
        </w:rPr>
        <w:drawing>
          <wp:inline distT="0" distB="0" distL="0" distR="0" wp14:anchorId="5E4E8FB8" wp14:editId="6A29FD6B">
            <wp:extent cx="5944235" cy="3340735"/>
            <wp:effectExtent l="0" t="0" r="0" b="0"/>
            <wp:docPr id="4165041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1E"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Location and venue of the event</w:t>
      </w:r>
    </w:p>
    <w:p w14:paraId="0000001F" w14:textId="330BF1F1"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The proposed location for this event is London. One Moorgate Place is the venue where the event will take place. This venue is highly popular for the commercial events and is located in the heart of the city</w:t>
      </w:r>
      <w:sdt>
        <w:sdtPr>
          <w:rPr>
            <w:rFonts w:eastAsia="Times New Roman" w:cs="Times New Roman"/>
            <w:szCs w:val="24"/>
          </w:rPr>
          <w:id w:val="1610699293"/>
          <w:citation/>
        </w:sdtPr>
        <w:sdtEndPr/>
        <w:sdtContent>
          <w:r w:rsidR="00C17F7B" w:rsidRPr="000E75F8">
            <w:rPr>
              <w:rFonts w:eastAsia="Times New Roman" w:cs="Times New Roman"/>
              <w:szCs w:val="24"/>
            </w:rPr>
            <w:fldChar w:fldCharType="begin"/>
          </w:r>
          <w:r w:rsidR="00C17F7B" w:rsidRPr="000E75F8">
            <w:rPr>
              <w:rFonts w:eastAsia="Times New Roman" w:cs="Times New Roman"/>
              <w:szCs w:val="24"/>
              <w:lang w:val="en-US"/>
            </w:rPr>
            <w:instrText xml:space="preserve"> CITATION One25 \l 1033 </w:instrText>
          </w:r>
          <w:r w:rsidR="00C17F7B" w:rsidRPr="000E75F8">
            <w:rPr>
              <w:rFonts w:eastAsia="Times New Roman" w:cs="Times New Roman"/>
              <w:szCs w:val="24"/>
            </w:rPr>
            <w:fldChar w:fldCharType="separate"/>
          </w:r>
          <w:r w:rsidR="00C17F7B" w:rsidRPr="000E75F8">
            <w:rPr>
              <w:rFonts w:eastAsia="Times New Roman" w:cs="Times New Roman"/>
              <w:noProof/>
              <w:szCs w:val="24"/>
              <w:lang w:val="en-US"/>
            </w:rPr>
            <w:t xml:space="preserve"> (Onemoorgateplace, 2025)</w:t>
          </w:r>
          <w:r w:rsidR="00C17F7B" w:rsidRPr="000E75F8">
            <w:rPr>
              <w:rFonts w:eastAsia="Times New Roman" w:cs="Times New Roman"/>
              <w:szCs w:val="24"/>
            </w:rPr>
            <w:fldChar w:fldCharType="end"/>
          </w:r>
        </w:sdtContent>
      </w:sdt>
      <w:r w:rsidRPr="000E75F8">
        <w:rPr>
          <w:rFonts w:eastAsia="Times New Roman" w:cs="Times New Roman"/>
          <w:szCs w:val="24"/>
        </w:rPr>
        <w:t xml:space="preserve">. </w:t>
      </w:r>
    </w:p>
    <w:p w14:paraId="00000020"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Suitability of the venue</w:t>
      </w:r>
    </w:p>
    <w:p w14:paraId="00000021"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One Moorgate Place is a suitable venue for this event. This venue is historical and has conducted a series of events. It has numerous versatile rooms that can accommodate high footfall. The venue can conveniently accommodate 600 guests and is completely feasible for conducting this type of event. </w:t>
      </w:r>
    </w:p>
    <w:p w14:paraId="00000022"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Staffing requirements</w:t>
      </w:r>
    </w:p>
    <w:p w14:paraId="00000023"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IHG’s event on DEI at One Moorgate Place, will require the different types of staff. The types of staff which will be required for this event are such as security staff, caterer staff, technicians, crew </w:t>
      </w:r>
      <w:r w:rsidRPr="000E75F8">
        <w:rPr>
          <w:rFonts w:eastAsia="Times New Roman" w:cs="Times New Roman"/>
          <w:szCs w:val="24"/>
        </w:rPr>
        <w:lastRenderedPageBreak/>
        <w:t>members for the stage, medical staff, coordinators, suppliers for logistic support and others (</w:t>
      </w:r>
      <w:r w:rsidRPr="000E75F8">
        <w:rPr>
          <w:rFonts w:eastAsia="Times New Roman" w:cs="Times New Roman"/>
          <w:szCs w:val="24"/>
          <w:highlight w:val="white"/>
        </w:rPr>
        <w:t>Allen et al., 2022</w:t>
      </w:r>
      <w:r w:rsidRPr="000E75F8">
        <w:rPr>
          <w:rFonts w:eastAsia="Times New Roman" w:cs="Times New Roman"/>
          <w:szCs w:val="24"/>
        </w:rPr>
        <w:t xml:space="preserve">). IHG can hire these staff for this event since the scope of the event is relatively high. </w:t>
      </w:r>
    </w:p>
    <w:p w14:paraId="00000024" w14:textId="77777777" w:rsidR="00AD47E6" w:rsidRDefault="003E253E" w:rsidP="00C17F7B">
      <w:pPr>
        <w:spacing w:before="240" w:after="240"/>
        <w:rPr>
          <w:rFonts w:eastAsia="Times New Roman" w:cs="Times New Roman"/>
          <w:b/>
          <w:szCs w:val="24"/>
        </w:rPr>
      </w:pPr>
      <w:r w:rsidRPr="000E75F8">
        <w:rPr>
          <w:rFonts w:eastAsia="Times New Roman" w:cs="Times New Roman"/>
          <w:b/>
          <w:szCs w:val="24"/>
        </w:rPr>
        <w:t>Skills required for conducting the event</w:t>
      </w:r>
    </w:p>
    <w:p w14:paraId="65EB2300" w14:textId="29DD798B" w:rsidR="003319C1" w:rsidRPr="000E75F8" w:rsidRDefault="003319C1" w:rsidP="00C17F7B">
      <w:pPr>
        <w:spacing w:before="240" w:after="240"/>
        <w:rPr>
          <w:rFonts w:eastAsia="Times New Roman" w:cs="Times New Roman"/>
          <w:b/>
          <w:szCs w:val="24"/>
        </w:rPr>
      </w:pPr>
      <w:r>
        <w:rPr>
          <w:rFonts w:eastAsia="Times New Roman" w:cs="Times New Roman"/>
          <w:b/>
          <w:noProof/>
          <w:szCs w:val="24"/>
        </w:rPr>
        <w:drawing>
          <wp:inline distT="0" distB="0" distL="0" distR="0" wp14:anchorId="07E8F80F" wp14:editId="296885B0">
            <wp:extent cx="5944235" cy="3340735"/>
            <wp:effectExtent l="0" t="0" r="0" b="0"/>
            <wp:docPr id="14346246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25" w14:textId="0DC0E6BD" w:rsidR="00AD47E6" w:rsidRPr="000E75F8" w:rsidRDefault="003E253E" w:rsidP="00C17F7B">
      <w:pPr>
        <w:spacing w:before="240" w:after="240"/>
        <w:rPr>
          <w:rFonts w:eastAsia="Times New Roman" w:cs="Times New Roman"/>
          <w:szCs w:val="24"/>
        </w:rPr>
      </w:pPr>
      <w:r w:rsidRPr="000E75F8">
        <w:rPr>
          <w:rFonts w:eastAsia="Times New Roman" w:cs="Times New Roman"/>
          <w:b/>
          <w:szCs w:val="24"/>
        </w:rPr>
        <w:t>Planning skills</w:t>
      </w:r>
      <w:r w:rsidRPr="000E75F8">
        <w:rPr>
          <w:rFonts w:eastAsia="Times New Roman" w:cs="Times New Roman"/>
          <w:szCs w:val="24"/>
        </w:rPr>
        <w:t xml:space="preserve">: A MICE event of IHG at One Moorgate Place requires extensive planning skills for the </w:t>
      </w:r>
      <w:proofErr w:type="spellStart"/>
      <w:r w:rsidRPr="000E75F8">
        <w:rPr>
          <w:rFonts w:eastAsia="Times New Roman" w:cs="Times New Roman"/>
          <w:szCs w:val="24"/>
        </w:rPr>
        <w:t>organiser</w:t>
      </w:r>
      <w:proofErr w:type="spellEnd"/>
      <w:r w:rsidRPr="000E75F8">
        <w:rPr>
          <w:rFonts w:eastAsia="Times New Roman" w:cs="Times New Roman"/>
          <w:szCs w:val="24"/>
        </w:rPr>
        <w:t xml:space="preserve"> and the stakeholders who are part of the event team. Through this skill, the planning for the venue, timeline, and arrangements for the event can be carried out significantly. The distinguished people from the top corporate giants deliver their speeches on innovation on such occasions</w:t>
      </w:r>
      <w:sdt>
        <w:sdtPr>
          <w:rPr>
            <w:rFonts w:eastAsia="Times New Roman" w:cs="Times New Roman"/>
            <w:szCs w:val="24"/>
          </w:rPr>
          <w:id w:val="1505551500"/>
          <w:citation/>
        </w:sdtPr>
        <w:sdtEndPr/>
        <w:sdtContent>
          <w:r w:rsidR="00C17F7B" w:rsidRPr="000E75F8">
            <w:rPr>
              <w:rFonts w:eastAsia="Times New Roman" w:cs="Times New Roman"/>
              <w:szCs w:val="24"/>
            </w:rPr>
            <w:fldChar w:fldCharType="begin"/>
          </w:r>
          <w:r w:rsidR="00C17F7B" w:rsidRPr="000E75F8">
            <w:rPr>
              <w:rFonts w:eastAsia="Times New Roman" w:cs="Times New Roman"/>
              <w:szCs w:val="24"/>
              <w:lang w:val="en-US"/>
            </w:rPr>
            <w:instrText xml:space="preserve"> CITATION Eco241 \l 1033 </w:instrText>
          </w:r>
          <w:r w:rsidR="00C17F7B" w:rsidRPr="000E75F8">
            <w:rPr>
              <w:rFonts w:eastAsia="Times New Roman" w:cs="Times New Roman"/>
              <w:szCs w:val="24"/>
            </w:rPr>
            <w:fldChar w:fldCharType="separate"/>
          </w:r>
          <w:r w:rsidR="00C17F7B" w:rsidRPr="000E75F8">
            <w:rPr>
              <w:rFonts w:eastAsia="Times New Roman" w:cs="Times New Roman"/>
              <w:noProof/>
              <w:szCs w:val="24"/>
              <w:lang w:val="en-US"/>
            </w:rPr>
            <w:t xml:space="preserve"> (Economictimes, 2024)</w:t>
          </w:r>
          <w:r w:rsidR="00C17F7B" w:rsidRPr="000E75F8">
            <w:rPr>
              <w:rFonts w:eastAsia="Times New Roman" w:cs="Times New Roman"/>
              <w:szCs w:val="24"/>
            </w:rPr>
            <w:fldChar w:fldCharType="end"/>
          </w:r>
        </w:sdtContent>
      </w:sdt>
      <w:r w:rsidRPr="000E75F8">
        <w:rPr>
          <w:rFonts w:eastAsia="Times New Roman" w:cs="Times New Roman"/>
          <w:szCs w:val="24"/>
        </w:rPr>
        <w:t>.</w:t>
      </w:r>
    </w:p>
    <w:p w14:paraId="00000026"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b/>
          <w:szCs w:val="24"/>
        </w:rPr>
        <w:t xml:space="preserve">Communication skills: </w:t>
      </w:r>
      <w:r w:rsidRPr="000E75F8">
        <w:rPr>
          <w:rFonts w:eastAsia="Times New Roman" w:cs="Times New Roman"/>
          <w:szCs w:val="24"/>
        </w:rPr>
        <w:t xml:space="preserve">The proposed MICE event for IHG requires the skill of communication and stakeholder management. This becomes significantly important for the </w:t>
      </w:r>
      <w:proofErr w:type="spellStart"/>
      <w:r w:rsidRPr="000E75F8">
        <w:rPr>
          <w:rFonts w:eastAsia="Times New Roman" w:cs="Times New Roman"/>
          <w:szCs w:val="24"/>
        </w:rPr>
        <w:t>organisers</w:t>
      </w:r>
      <w:proofErr w:type="spellEnd"/>
      <w:r w:rsidRPr="000E75F8">
        <w:rPr>
          <w:rFonts w:eastAsia="Times New Roman" w:cs="Times New Roman"/>
          <w:szCs w:val="24"/>
        </w:rPr>
        <w:t xml:space="preserve"> to develop this skill of communication. Notably, developing this skill of communication will help promote the event and disseminate the core objectives of this event. In addition, the skills of communication also facilitate managing and strengthening the client relationship (</w:t>
      </w:r>
      <w:r w:rsidRPr="000E75F8">
        <w:rPr>
          <w:rFonts w:eastAsia="Times New Roman" w:cs="Times New Roman"/>
          <w:szCs w:val="24"/>
          <w:highlight w:val="white"/>
        </w:rPr>
        <w:t>Berridge, 2020</w:t>
      </w:r>
      <w:r w:rsidRPr="000E75F8">
        <w:rPr>
          <w:rFonts w:eastAsia="Times New Roman" w:cs="Times New Roman"/>
          <w:b/>
          <w:szCs w:val="24"/>
        </w:rPr>
        <w:t>)</w:t>
      </w:r>
      <w:r w:rsidRPr="000E75F8">
        <w:rPr>
          <w:rFonts w:eastAsia="Times New Roman" w:cs="Times New Roman"/>
          <w:szCs w:val="24"/>
        </w:rPr>
        <w:t xml:space="preserve">. </w:t>
      </w:r>
    </w:p>
    <w:p w14:paraId="00000027"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 xml:space="preserve">Technical skills: </w:t>
      </w:r>
      <w:r w:rsidRPr="000E75F8">
        <w:rPr>
          <w:rFonts w:eastAsia="Times New Roman" w:cs="Times New Roman"/>
          <w:szCs w:val="24"/>
        </w:rPr>
        <w:t xml:space="preserve">The team of event planners for this event is also required to have the technical skills for dealing with any technical disruption. The technical expertise of this event will help deal </w:t>
      </w:r>
      <w:r w:rsidRPr="000E75F8">
        <w:rPr>
          <w:rFonts w:eastAsia="Times New Roman" w:cs="Times New Roman"/>
          <w:szCs w:val="24"/>
        </w:rPr>
        <w:lastRenderedPageBreak/>
        <w:t>with the issue of technological integration in the event. IHG is mulling over to leverage the use of technological applications to make this even a great success. This becomes significant for event planning to integrate a wide range of technological applications (</w:t>
      </w:r>
      <w:r w:rsidRPr="000E75F8">
        <w:rPr>
          <w:rFonts w:eastAsia="Times New Roman" w:cs="Times New Roman"/>
          <w:szCs w:val="24"/>
          <w:highlight w:val="white"/>
        </w:rPr>
        <w:t>Dowson et al., 2022</w:t>
      </w:r>
      <w:r w:rsidRPr="000E75F8">
        <w:rPr>
          <w:rFonts w:eastAsia="Times New Roman" w:cs="Times New Roman"/>
          <w:b/>
          <w:szCs w:val="24"/>
        </w:rPr>
        <w:t xml:space="preserve">). </w:t>
      </w:r>
    </w:p>
    <w:p w14:paraId="00000028"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b/>
          <w:szCs w:val="24"/>
        </w:rPr>
        <w:t xml:space="preserve">Financial skills: </w:t>
      </w:r>
      <w:r w:rsidRPr="000E75F8">
        <w:rPr>
          <w:rFonts w:eastAsia="Times New Roman" w:cs="Times New Roman"/>
          <w:szCs w:val="24"/>
        </w:rPr>
        <w:t>Conducting a mammoth event such as MICE for IHG will require financial skills (</w:t>
      </w:r>
      <w:proofErr w:type="spellStart"/>
      <w:r w:rsidRPr="000E75F8">
        <w:rPr>
          <w:rFonts w:eastAsia="Times New Roman" w:cs="Times New Roman"/>
          <w:szCs w:val="24"/>
          <w:highlight w:val="white"/>
        </w:rPr>
        <w:t>Dragin</w:t>
      </w:r>
      <w:proofErr w:type="spellEnd"/>
      <w:r w:rsidRPr="000E75F8">
        <w:rPr>
          <w:rFonts w:eastAsia="Times New Roman" w:cs="Times New Roman"/>
          <w:szCs w:val="24"/>
          <w:highlight w:val="white"/>
        </w:rPr>
        <w:t>-Jensen et al., 2022</w:t>
      </w:r>
      <w:r w:rsidRPr="000E75F8">
        <w:rPr>
          <w:rFonts w:eastAsia="Times New Roman" w:cs="Times New Roman"/>
          <w:szCs w:val="24"/>
        </w:rPr>
        <w:t>). Financial skills will be used at the time of making a cost analysis, and budget for the event (</w:t>
      </w:r>
      <w:proofErr w:type="spellStart"/>
      <w:r w:rsidRPr="000E75F8">
        <w:rPr>
          <w:rFonts w:eastAsia="Times New Roman" w:cs="Times New Roman"/>
          <w:szCs w:val="24"/>
          <w:highlight w:val="white"/>
        </w:rPr>
        <w:t>Yozukmaz</w:t>
      </w:r>
      <w:proofErr w:type="spellEnd"/>
      <w:r w:rsidRPr="000E75F8">
        <w:rPr>
          <w:rFonts w:eastAsia="Times New Roman" w:cs="Times New Roman"/>
          <w:szCs w:val="24"/>
          <w:highlight w:val="white"/>
        </w:rPr>
        <w:t xml:space="preserve"> et al., 2020</w:t>
      </w:r>
      <w:r w:rsidRPr="000E75F8">
        <w:rPr>
          <w:rFonts w:eastAsia="Times New Roman" w:cs="Times New Roman"/>
          <w:szCs w:val="24"/>
        </w:rPr>
        <w:t xml:space="preserve">). Each of these financial aspects requires the integration of financial expertise for this event. </w:t>
      </w:r>
    </w:p>
    <w:p w14:paraId="00000029"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Resource allocations</w:t>
      </w:r>
    </w:p>
    <w:p w14:paraId="0000002A" w14:textId="77777777"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Resources for this event will be allocated on the basis of some of the certain areas. These areas where the resources for this grand event will be allocated are lighting, catering, seating arrangement, and others. The team coordinator to be appointed for the event will be liable for managing this task of resource allocation. In the wake of the nature of this event, all the resources should be strategically distributed and allocated to ensure the success of this event (</w:t>
      </w:r>
      <w:r w:rsidRPr="000E75F8">
        <w:rPr>
          <w:rFonts w:eastAsia="Times New Roman" w:cs="Times New Roman"/>
          <w:szCs w:val="24"/>
          <w:highlight w:val="white"/>
        </w:rPr>
        <w:t>Schlemmer et al., 2020</w:t>
      </w:r>
      <w:r w:rsidRPr="000E75F8">
        <w:rPr>
          <w:rFonts w:eastAsia="Times New Roman" w:cs="Times New Roman"/>
          <w:szCs w:val="24"/>
        </w:rPr>
        <w:t xml:space="preserve">). </w:t>
      </w:r>
    </w:p>
    <w:p w14:paraId="0000002B" w14:textId="77777777" w:rsidR="00AD47E6" w:rsidRDefault="003E253E" w:rsidP="00C17F7B">
      <w:pPr>
        <w:pStyle w:val="Heading1"/>
      </w:pPr>
      <w:r w:rsidRPr="000E75F8">
        <w:t>Financial factors</w:t>
      </w:r>
    </w:p>
    <w:p w14:paraId="7B615AD9" w14:textId="4F302A48" w:rsidR="003319C1" w:rsidRPr="003319C1" w:rsidRDefault="003319C1" w:rsidP="003319C1">
      <w:r>
        <w:rPr>
          <w:noProof/>
        </w:rPr>
        <w:drawing>
          <wp:inline distT="0" distB="0" distL="0" distR="0" wp14:anchorId="1B961729" wp14:editId="70B0F191">
            <wp:extent cx="5944235" cy="3340735"/>
            <wp:effectExtent l="0" t="0" r="0" b="0"/>
            <wp:docPr id="16551044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2D"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lastRenderedPageBreak/>
        <w:t>Estimated expenditure</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E75F8" w:rsidRPr="000E75F8" w14:paraId="7B94308D" w14:textId="77777777">
        <w:tc>
          <w:tcPr>
            <w:tcW w:w="4680" w:type="dxa"/>
            <w:shd w:val="clear" w:color="auto" w:fill="auto"/>
            <w:tcMar>
              <w:top w:w="100" w:type="dxa"/>
              <w:left w:w="100" w:type="dxa"/>
              <w:bottom w:w="100" w:type="dxa"/>
              <w:right w:w="100" w:type="dxa"/>
            </w:tcMar>
          </w:tcPr>
          <w:p w14:paraId="0000002E" w14:textId="77777777" w:rsidR="00AD47E6" w:rsidRPr="000E75F8" w:rsidRDefault="003E253E" w:rsidP="00C17F7B">
            <w:pPr>
              <w:widowControl w:val="0"/>
              <w:pBdr>
                <w:top w:val="nil"/>
                <w:left w:val="nil"/>
                <w:bottom w:val="nil"/>
                <w:right w:val="nil"/>
                <w:between w:val="nil"/>
              </w:pBdr>
              <w:jc w:val="center"/>
              <w:rPr>
                <w:rFonts w:eastAsia="Times New Roman" w:cs="Times New Roman"/>
                <w:b/>
                <w:bCs/>
                <w:szCs w:val="24"/>
              </w:rPr>
            </w:pPr>
            <w:r w:rsidRPr="000E75F8">
              <w:rPr>
                <w:rFonts w:eastAsia="Times New Roman" w:cs="Times New Roman"/>
                <w:b/>
                <w:bCs/>
                <w:szCs w:val="24"/>
              </w:rPr>
              <w:t xml:space="preserve">Categories of expenditure </w:t>
            </w:r>
          </w:p>
        </w:tc>
        <w:tc>
          <w:tcPr>
            <w:tcW w:w="4680" w:type="dxa"/>
            <w:shd w:val="clear" w:color="auto" w:fill="auto"/>
            <w:tcMar>
              <w:top w:w="100" w:type="dxa"/>
              <w:left w:w="100" w:type="dxa"/>
              <w:bottom w:w="100" w:type="dxa"/>
              <w:right w:w="100" w:type="dxa"/>
            </w:tcMar>
          </w:tcPr>
          <w:p w14:paraId="0000002F" w14:textId="77777777" w:rsidR="00AD47E6" w:rsidRPr="000E75F8" w:rsidRDefault="003E253E" w:rsidP="00C17F7B">
            <w:pPr>
              <w:widowControl w:val="0"/>
              <w:pBdr>
                <w:top w:val="nil"/>
                <w:left w:val="nil"/>
                <w:bottom w:val="nil"/>
                <w:right w:val="nil"/>
                <w:between w:val="nil"/>
              </w:pBdr>
              <w:jc w:val="center"/>
              <w:rPr>
                <w:rFonts w:eastAsia="Times New Roman" w:cs="Times New Roman"/>
                <w:b/>
                <w:bCs/>
                <w:szCs w:val="24"/>
              </w:rPr>
            </w:pPr>
            <w:r w:rsidRPr="000E75F8">
              <w:rPr>
                <w:rFonts w:eastAsia="Times New Roman" w:cs="Times New Roman"/>
                <w:b/>
                <w:bCs/>
                <w:szCs w:val="24"/>
              </w:rPr>
              <w:t xml:space="preserve">Estimated cost </w:t>
            </w:r>
          </w:p>
        </w:tc>
      </w:tr>
      <w:tr w:rsidR="000E75F8" w:rsidRPr="000E75F8" w14:paraId="7F178E59" w14:textId="77777777">
        <w:trPr>
          <w:trHeight w:val="571"/>
        </w:trPr>
        <w:tc>
          <w:tcPr>
            <w:tcW w:w="4680" w:type="dxa"/>
            <w:shd w:val="clear" w:color="auto" w:fill="auto"/>
            <w:tcMar>
              <w:top w:w="100" w:type="dxa"/>
              <w:left w:w="100" w:type="dxa"/>
              <w:bottom w:w="100" w:type="dxa"/>
              <w:right w:w="100" w:type="dxa"/>
            </w:tcMar>
          </w:tcPr>
          <w:p w14:paraId="00000030"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Rental for the venue</w:t>
            </w:r>
          </w:p>
        </w:tc>
        <w:tc>
          <w:tcPr>
            <w:tcW w:w="4680" w:type="dxa"/>
            <w:shd w:val="clear" w:color="auto" w:fill="auto"/>
            <w:tcMar>
              <w:top w:w="100" w:type="dxa"/>
              <w:left w:w="100" w:type="dxa"/>
              <w:bottom w:w="100" w:type="dxa"/>
              <w:right w:w="100" w:type="dxa"/>
            </w:tcMar>
          </w:tcPr>
          <w:p w14:paraId="00000031"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highlight w:val="white"/>
              </w:rPr>
            </w:pPr>
            <w:r w:rsidRPr="000E75F8">
              <w:rPr>
                <w:rFonts w:eastAsia="Times New Roman" w:cs="Times New Roman"/>
                <w:szCs w:val="24"/>
                <w:highlight w:val="white"/>
              </w:rPr>
              <w:t xml:space="preserve"> £5000</w:t>
            </w:r>
          </w:p>
          <w:p w14:paraId="00000032" w14:textId="77777777" w:rsidR="00AD47E6" w:rsidRPr="000E75F8" w:rsidRDefault="00AD47E6" w:rsidP="00C17F7B">
            <w:pPr>
              <w:widowControl w:val="0"/>
              <w:pBdr>
                <w:top w:val="nil"/>
                <w:left w:val="nil"/>
                <w:bottom w:val="nil"/>
                <w:right w:val="nil"/>
                <w:between w:val="nil"/>
              </w:pBdr>
              <w:jc w:val="center"/>
              <w:rPr>
                <w:rFonts w:cs="Times New Roman"/>
                <w:szCs w:val="24"/>
                <w:highlight w:val="white"/>
              </w:rPr>
            </w:pPr>
          </w:p>
        </w:tc>
      </w:tr>
      <w:tr w:rsidR="000E75F8" w:rsidRPr="000E75F8" w14:paraId="45BCF9B9" w14:textId="77777777">
        <w:tc>
          <w:tcPr>
            <w:tcW w:w="4680" w:type="dxa"/>
            <w:shd w:val="clear" w:color="auto" w:fill="auto"/>
            <w:tcMar>
              <w:top w:w="100" w:type="dxa"/>
              <w:left w:w="100" w:type="dxa"/>
              <w:bottom w:w="100" w:type="dxa"/>
              <w:right w:w="100" w:type="dxa"/>
            </w:tcMar>
          </w:tcPr>
          <w:p w14:paraId="00000033"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Catering services</w:t>
            </w:r>
          </w:p>
        </w:tc>
        <w:tc>
          <w:tcPr>
            <w:tcW w:w="4680" w:type="dxa"/>
            <w:shd w:val="clear" w:color="auto" w:fill="auto"/>
            <w:tcMar>
              <w:top w:w="100" w:type="dxa"/>
              <w:left w:w="100" w:type="dxa"/>
              <w:bottom w:w="100" w:type="dxa"/>
              <w:right w:w="100" w:type="dxa"/>
            </w:tcMar>
          </w:tcPr>
          <w:p w14:paraId="00000034"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£600</w:t>
            </w:r>
          </w:p>
        </w:tc>
      </w:tr>
      <w:tr w:rsidR="000E75F8" w:rsidRPr="000E75F8" w14:paraId="7DC4FEC0" w14:textId="77777777">
        <w:tc>
          <w:tcPr>
            <w:tcW w:w="4680" w:type="dxa"/>
            <w:shd w:val="clear" w:color="auto" w:fill="auto"/>
            <w:tcMar>
              <w:top w:w="100" w:type="dxa"/>
              <w:left w:w="100" w:type="dxa"/>
              <w:bottom w:w="100" w:type="dxa"/>
              <w:right w:w="100" w:type="dxa"/>
            </w:tcMar>
          </w:tcPr>
          <w:p w14:paraId="00000035" w14:textId="66CCBC79" w:rsidR="00AD47E6" w:rsidRPr="000E75F8" w:rsidRDefault="00C17F7B"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Equipment for AV</w:t>
            </w:r>
          </w:p>
        </w:tc>
        <w:tc>
          <w:tcPr>
            <w:tcW w:w="4680" w:type="dxa"/>
            <w:shd w:val="clear" w:color="auto" w:fill="auto"/>
            <w:tcMar>
              <w:top w:w="100" w:type="dxa"/>
              <w:left w:w="100" w:type="dxa"/>
              <w:bottom w:w="100" w:type="dxa"/>
              <w:right w:w="100" w:type="dxa"/>
            </w:tcMar>
          </w:tcPr>
          <w:p w14:paraId="00000036"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£500</w:t>
            </w:r>
          </w:p>
        </w:tc>
      </w:tr>
      <w:tr w:rsidR="000E75F8" w:rsidRPr="000E75F8" w14:paraId="096E1612" w14:textId="77777777">
        <w:tc>
          <w:tcPr>
            <w:tcW w:w="4680" w:type="dxa"/>
            <w:shd w:val="clear" w:color="auto" w:fill="auto"/>
            <w:tcMar>
              <w:top w:w="100" w:type="dxa"/>
              <w:left w:w="100" w:type="dxa"/>
              <w:bottom w:w="100" w:type="dxa"/>
              <w:right w:w="100" w:type="dxa"/>
            </w:tcMar>
          </w:tcPr>
          <w:p w14:paraId="00000037"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 xml:space="preserve">Promotional activities </w:t>
            </w:r>
          </w:p>
        </w:tc>
        <w:tc>
          <w:tcPr>
            <w:tcW w:w="4680" w:type="dxa"/>
            <w:shd w:val="clear" w:color="auto" w:fill="auto"/>
            <w:tcMar>
              <w:top w:w="100" w:type="dxa"/>
              <w:left w:w="100" w:type="dxa"/>
              <w:bottom w:w="100" w:type="dxa"/>
              <w:right w:w="100" w:type="dxa"/>
            </w:tcMar>
          </w:tcPr>
          <w:p w14:paraId="00000038"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£1000</w:t>
            </w:r>
          </w:p>
        </w:tc>
      </w:tr>
      <w:tr w:rsidR="000E75F8" w:rsidRPr="000E75F8" w14:paraId="5F517000" w14:textId="77777777">
        <w:tc>
          <w:tcPr>
            <w:tcW w:w="4680" w:type="dxa"/>
            <w:shd w:val="clear" w:color="auto" w:fill="auto"/>
            <w:tcMar>
              <w:top w:w="100" w:type="dxa"/>
              <w:left w:w="100" w:type="dxa"/>
              <w:bottom w:w="100" w:type="dxa"/>
              <w:right w:w="100" w:type="dxa"/>
            </w:tcMar>
          </w:tcPr>
          <w:p w14:paraId="00000039"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 xml:space="preserve">Wages for Hired staff </w:t>
            </w:r>
          </w:p>
        </w:tc>
        <w:tc>
          <w:tcPr>
            <w:tcW w:w="4680" w:type="dxa"/>
            <w:shd w:val="clear" w:color="auto" w:fill="auto"/>
            <w:tcMar>
              <w:top w:w="100" w:type="dxa"/>
              <w:left w:w="100" w:type="dxa"/>
              <w:bottom w:w="100" w:type="dxa"/>
              <w:right w:w="100" w:type="dxa"/>
            </w:tcMar>
          </w:tcPr>
          <w:p w14:paraId="0000003A"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£1000</w:t>
            </w:r>
          </w:p>
        </w:tc>
      </w:tr>
      <w:tr w:rsidR="000E75F8" w:rsidRPr="000E75F8" w14:paraId="5242AA6F" w14:textId="77777777">
        <w:tc>
          <w:tcPr>
            <w:tcW w:w="4680" w:type="dxa"/>
            <w:shd w:val="clear" w:color="auto" w:fill="auto"/>
            <w:tcMar>
              <w:top w:w="100" w:type="dxa"/>
              <w:left w:w="100" w:type="dxa"/>
              <w:bottom w:w="100" w:type="dxa"/>
              <w:right w:w="100" w:type="dxa"/>
            </w:tcMar>
          </w:tcPr>
          <w:p w14:paraId="0000003B" w14:textId="1754C554"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 xml:space="preserve">Transportation and </w:t>
            </w:r>
            <w:r w:rsidR="00C17F7B" w:rsidRPr="000E75F8">
              <w:rPr>
                <w:rFonts w:eastAsia="Times New Roman" w:cs="Times New Roman"/>
                <w:szCs w:val="24"/>
              </w:rPr>
              <w:t>logistics</w:t>
            </w:r>
            <w:r w:rsidRPr="000E75F8">
              <w:rPr>
                <w:rFonts w:eastAsia="Times New Roman" w:cs="Times New Roman"/>
                <w:szCs w:val="24"/>
              </w:rPr>
              <w:t xml:space="preserve"> costs</w:t>
            </w:r>
          </w:p>
        </w:tc>
        <w:tc>
          <w:tcPr>
            <w:tcW w:w="4680" w:type="dxa"/>
            <w:shd w:val="clear" w:color="auto" w:fill="auto"/>
            <w:tcMar>
              <w:top w:w="100" w:type="dxa"/>
              <w:left w:w="100" w:type="dxa"/>
              <w:bottom w:w="100" w:type="dxa"/>
              <w:right w:w="100" w:type="dxa"/>
            </w:tcMar>
          </w:tcPr>
          <w:p w14:paraId="0000003C"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£700</w:t>
            </w:r>
          </w:p>
        </w:tc>
      </w:tr>
      <w:tr w:rsidR="000E75F8" w:rsidRPr="000E75F8" w14:paraId="62913685" w14:textId="77777777">
        <w:tc>
          <w:tcPr>
            <w:tcW w:w="4680" w:type="dxa"/>
            <w:shd w:val="clear" w:color="auto" w:fill="auto"/>
            <w:tcMar>
              <w:top w:w="100" w:type="dxa"/>
              <w:left w:w="100" w:type="dxa"/>
              <w:bottom w:w="100" w:type="dxa"/>
              <w:right w:w="100" w:type="dxa"/>
            </w:tcMar>
          </w:tcPr>
          <w:p w14:paraId="0000003D"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Miscellaneous</w:t>
            </w:r>
          </w:p>
        </w:tc>
        <w:tc>
          <w:tcPr>
            <w:tcW w:w="4680" w:type="dxa"/>
            <w:shd w:val="clear" w:color="auto" w:fill="auto"/>
            <w:tcMar>
              <w:top w:w="100" w:type="dxa"/>
              <w:left w:w="100" w:type="dxa"/>
              <w:bottom w:w="100" w:type="dxa"/>
              <w:right w:w="100" w:type="dxa"/>
            </w:tcMar>
          </w:tcPr>
          <w:p w14:paraId="0000003E" w14:textId="77777777" w:rsidR="00AD47E6" w:rsidRPr="000E75F8" w:rsidRDefault="003E253E" w:rsidP="00C17F7B">
            <w:pPr>
              <w:widowControl w:val="0"/>
              <w:jc w:val="center"/>
              <w:rPr>
                <w:rFonts w:eastAsia="Times New Roman" w:cs="Times New Roman"/>
                <w:szCs w:val="24"/>
              </w:rPr>
            </w:pPr>
            <w:r w:rsidRPr="000E75F8">
              <w:rPr>
                <w:rFonts w:eastAsia="Times New Roman" w:cs="Times New Roman"/>
                <w:szCs w:val="24"/>
                <w:highlight w:val="white"/>
              </w:rPr>
              <w:t xml:space="preserve"> £2500</w:t>
            </w:r>
          </w:p>
        </w:tc>
      </w:tr>
      <w:tr w:rsidR="000E75F8" w:rsidRPr="000E75F8" w14:paraId="77E5701E" w14:textId="77777777">
        <w:tc>
          <w:tcPr>
            <w:tcW w:w="4680" w:type="dxa"/>
            <w:shd w:val="clear" w:color="auto" w:fill="auto"/>
            <w:tcMar>
              <w:top w:w="100" w:type="dxa"/>
              <w:left w:w="100" w:type="dxa"/>
              <w:bottom w:w="100" w:type="dxa"/>
              <w:right w:w="100" w:type="dxa"/>
            </w:tcMar>
          </w:tcPr>
          <w:p w14:paraId="0000003F" w14:textId="77777777" w:rsidR="00AD47E6" w:rsidRPr="003319C1" w:rsidRDefault="003E253E" w:rsidP="00C17F7B">
            <w:pPr>
              <w:widowControl w:val="0"/>
              <w:pBdr>
                <w:top w:val="nil"/>
                <w:left w:val="nil"/>
                <w:bottom w:val="nil"/>
                <w:right w:val="nil"/>
                <w:between w:val="nil"/>
              </w:pBdr>
              <w:jc w:val="center"/>
              <w:rPr>
                <w:rFonts w:eastAsia="Times New Roman" w:cs="Times New Roman"/>
                <w:b/>
                <w:bCs/>
                <w:szCs w:val="24"/>
              </w:rPr>
            </w:pPr>
            <w:r w:rsidRPr="003319C1">
              <w:rPr>
                <w:rFonts w:eastAsia="Times New Roman" w:cs="Times New Roman"/>
                <w:b/>
                <w:bCs/>
                <w:szCs w:val="24"/>
              </w:rPr>
              <w:t>Total</w:t>
            </w:r>
          </w:p>
        </w:tc>
        <w:tc>
          <w:tcPr>
            <w:tcW w:w="4680" w:type="dxa"/>
            <w:shd w:val="clear" w:color="auto" w:fill="auto"/>
            <w:tcMar>
              <w:top w:w="100" w:type="dxa"/>
              <w:left w:w="100" w:type="dxa"/>
              <w:bottom w:w="100" w:type="dxa"/>
              <w:right w:w="100" w:type="dxa"/>
            </w:tcMar>
          </w:tcPr>
          <w:p w14:paraId="00000040" w14:textId="77777777" w:rsidR="00AD47E6" w:rsidRPr="003319C1" w:rsidRDefault="003E253E" w:rsidP="00C17F7B">
            <w:pPr>
              <w:widowControl w:val="0"/>
              <w:jc w:val="center"/>
              <w:rPr>
                <w:rFonts w:eastAsia="Times New Roman" w:cs="Times New Roman"/>
                <w:b/>
                <w:bCs/>
                <w:szCs w:val="24"/>
                <w:highlight w:val="white"/>
              </w:rPr>
            </w:pPr>
            <w:r w:rsidRPr="003319C1">
              <w:rPr>
                <w:rFonts w:eastAsia="Times New Roman" w:cs="Times New Roman"/>
                <w:b/>
                <w:bCs/>
                <w:szCs w:val="24"/>
                <w:highlight w:val="white"/>
              </w:rPr>
              <w:t>£10300</w:t>
            </w:r>
          </w:p>
        </w:tc>
      </w:tr>
    </w:tbl>
    <w:p w14:paraId="00000041"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 xml:space="preserve">Estimated income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E75F8" w:rsidRPr="000E75F8" w14:paraId="380B2D01" w14:textId="77777777">
        <w:tc>
          <w:tcPr>
            <w:tcW w:w="4680" w:type="dxa"/>
            <w:shd w:val="clear" w:color="auto" w:fill="auto"/>
            <w:tcMar>
              <w:top w:w="100" w:type="dxa"/>
              <w:left w:w="100" w:type="dxa"/>
              <w:bottom w:w="100" w:type="dxa"/>
              <w:right w:w="100" w:type="dxa"/>
            </w:tcMar>
          </w:tcPr>
          <w:p w14:paraId="00000042" w14:textId="77777777" w:rsidR="00AD47E6" w:rsidRPr="000E75F8" w:rsidRDefault="003E253E" w:rsidP="00C17F7B">
            <w:pPr>
              <w:widowControl w:val="0"/>
              <w:pBdr>
                <w:top w:val="nil"/>
                <w:left w:val="nil"/>
                <w:bottom w:val="nil"/>
                <w:right w:val="nil"/>
                <w:between w:val="nil"/>
              </w:pBdr>
              <w:jc w:val="center"/>
              <w:rPr>
                <w:rFonts w:eastAsia="Times New Roman" w:cs="Times New Roman"/>
                <w:b/>
                <w:bCs/>
                <w:szCs w:val="24"/>
              </w:rPr>
            </w:pPr>
            <w:r w:rsidRPr="000E75F8">
              <w:rPr>
                <w:rFonts w:eastAsia="Times New Roman" w:cs="Times New Roman"/>
                <w:b/>
                <w:bCs/>
                <w:szCs w:val="24"/>
              </w:rPr>
              <w:t xml:space="preserve">Categories of income </w:t>
            </w:r>
          </w:p>
        </w:tc>
        <w:tc>
          <w:tcPr>
            <w:tcW w:w="4680" w:type="dxa"/>
            <w:shd w:val="clear" w:color="auto" w:fill="auto"/>
            <w:tcMar>
              <w:top w:w="100" w:type="dxa"/>
              <w:left w:w="100" w:type="dxa"/>
              <w:bottom w:w="100" w:type="dxa"/>
              <w:right w:w="100" w:type="dxa"/>
            </w:tcMar>
          </w:tcPr>
          <w:p w14:paraId="00000043" w14:textId="77777777" w:rsidR="00AD47E6" w:rsidRPr="000E75F8" w:rsidRDefault="003E253E" w:rsidP="00C17F7B">
            <w:pPr>
              <w:widowControl w:val="0"/>
              <w:pBdr>
                <w:top w:val="nil"/>
                <w:left w:val="nil"/>
                <w:bottom w:val="nil"/>
                <w:right w:val="nil"/>
                <w:between w:val="nil"/>
              </w:pBdr>
              <w:jc w:val="center"/>
              <w:rPr>
                <w:rFonts w:eastAsia="Times New Roman" w:cs="Times New Roman"/>
                <w:b/>
                <w:bCs/>
                <w:szCs w:val="24"/>
              </w:rPr>
            </w:pPr>
            <w:r w:rsidRPr="000E75F8">
              <w:rPr>
                <w:rFonts w:eastAsia="Times New Roman" w:cs="Times New Roman"/>
                <w:b/>
                <w:bCs/>
                <w:szCs w:val="24"/>
              </w:rPr>
              <w:t>Estimated income</w:t>
            </w:r>
          </w:p>
        </w:tc>
      </w:tr>
      <w:tr w:rsidR="000E75F8" w:rsidRPr="000E75F8" w14:paraId="1FCA4DD1" w14:textId="77777777">
        <w:tc>
          <w:tcPr>
            <w:tcW w:w="4680" w:type="dxa"/>
            <w:shd w:val="clear" w:color="auto" w:fill="auto"/>
            <w:tcMar>
              <w:top w:w="100" w:type="dxa"/>
              <w:left w:w="100" w:type="dxa"/>
              <w:bottom w:w="100" w:type="dxa"/>
              <w:right w:w="100" w:type="dxa"/>
            </w:tcMar>
          </w:tcPr>
          <w:p w14:paraId="00000044"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 xml:space="preserve">Ticket pricing </w:t>
            </w:r>
          </w:p>
        </w:tc>
        <w:tc>
          <w:tcPr>
            <w:tcW w:w="4680" w:type="dxa"/>
            <w:shd w:val="clear" w:color="auto" w:fill="auto"/>
            <w:tcMar>
              <w:top w:w="100" w:type="dxa"/>
              <w:left w:w="100" w:type="dxa"/>
              <w:bottom w:w="100" w:type="dxa"/>
              <w:right w:w="100" w:type="dxa"/>
            </w:tcMar>
          </w:tcPr>
          <w:p w14:paraId="00000045"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highlight w:val="white"/>
              </w:rPr>
              <w:t>£</w:t>
            </w:r>
            <w:r w:rsidRPr="000E75F8">
              <w:rPr>
                <w:rFonts w:eastAsia="Times New Roman" w:cs="Times New Roman"/>
                <w:szCs w:val="24"/>
              </w:rPr>
              <w:t>10000</w:t>
            </w:r>
          </w:p>
        </w:tc>
      </w:tr>
      <w:tr w:rsidR="000E75F8" w:rsidRPr="000E75F8" w14:paraId="2F180539" w14:textId="77777777">
        <w:tc>
          <w:tcPr>
            <w:tcW w:w="4680" w:type="dxa"/>
            <w:shd w:val="clear" w:color="auto" w:fill="auto"/>
            <w:tcMar>
              <w:top w:w="100" w:type="dxa"/>
              <w:left w:w="100" w:type="dxa"/>
              <w:bottom w:w="100" w:type="dxa"/>
              <w:right w:w="100" w:type="dxa"/>
            </w:tcMar>
          </w:tcPr>
          <w:p w14:paraId="00000046"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Sponsorship</w:t>
            </w:r>
          </w:p>
        </w:tc>
        <w:tc>
          <w:tcPr>
            <w:tcW w:w="4680" w:type="dxa"/>
            <w:shd w:val="clear" w:color="auto" w:fill="auto"/>
            <w:tcMar>
              <w:top w:w="100" w:type="dxa"/>
              <w:left w:w="100" w:type="dxa"/>
              <w:bottom w:w="100" w:type="dxa"/>
              <w:right w:w="100" w:type="dxa"/>
            </w:tcMar>
          </w:tcPr>
          <w:p w14:paraId="00000047"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highlight w:val="white"/>
              </w:rPr>
              <w:t>£</w:t>
            </w:r>
            <w:r w:rsidRPr="000E75F8">
              <w:rPr>
                <w:rFonts w:eastAsia="Times New Roman" w:cs="Times New Roman"/>
                <w:szCs w:val="24"/>
              </w:rPr>
              <w:t>10000</w:t>
            </w:r>
          </w:p>
        </w:tc>
      </w:tr>
      <w:tr w:rsidR="000E75F8" w:rsidRPr="000E75F8" w14:paraId="478D1B52" w14:textId="77777777">
        <w:tc>
          <w:tcPr>
            <w:tcW w:w="4680" w:type="dxa"/>
            <w:shd w:val="clear" w:color="auto" w:fill="auto"/>
            <w:tcMar>
              <w:top w:w="100" w:type="dxa"/>
              <w:left w:w="100" w:type="dxa"/>
              <w:bottom w:w="100" w:type="dxa"/>
              <w:right w:w="100" w:type="dxa"/>
            </w:tcMar>
          </w:tcPr>
          <w:p w14:paraId="00000048"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Merchandise sale</w:t>
            </w:r>
          </w:p>
        </w:tc>
        <w:tc>
          <w:tcPr>
            <w:tcW w:w="4680" w:type="dxa"/>
            <w:shd w:val="clear" w:color="auto" w:fill="auto"/>
            <w:tcMar>
              <w:top w:w="100" w:type="dxa"/>
              <w:left w:w="100" w:type="dxa"/>
              <w:bottom w:w="100" w:type="dxa"/>
              <w:right w:w="100" w:type="dxa"/>
            </w:tcMar>
          </w:tcPr>
          <w:p w14:paraId="00000049"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highlight w:val="white"/>
              </w:rPr>
              <w:t>£</w:t>
            </w:r>
            <w:r w:rsidRPr="000E75F8">
              <w:rPr>
                <w:rFonts w:eastAsia="Times New Roman" w:cs="Times New Roman"/>
                <w:szCs w:val="24"/>
              </w:rPr>
              <w:t>4000</w:t>
            </w:r>
          </w:p>
        </w:tc>
      </w:tr>
      <w:tr w:rsidR="000E75F8" w:rsidRPr="000E75F8" w14:paraId="0B5DFACC" w14:textId="77777777">
        <w:tc>
          <w:tcPr>
            <w:tcW w:w="4680" w:type="dxa"/>
            <w:shd w:val="clear" w:color="auto" w:fill="auto"/>
            <w:tcMar>
              <w:top w:w="100" w:type="dxa"/>
              <w:left w:w="100" w:type="dxa"/>
              <w:bottom w:w="100" w:type="dxa"/>
              <w:right w:w="100" w:type="dxa"/>
            </w:tcMar>
          </w:tcPr>
          <w:p w14:paraId="0000004A"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rPr>
              <w:t>Value based services</w:t>
            </w:r>
          </w:p>
        </w:tc>
        <w:tc>
          <w:tcPr>
            <w:tcW w:w="4680" w:type="dxa"/>
            <w:shd w:val="clear" w:color="auto" w:fill="auto"/>
            <w:tcMar>
              <w:top w:w="100" w:type="dxa"/>
              <w:left w:w="100" w:type="dxa"/>
              <w:bottom w:w="100" w:type="dxa"/>
              <w:right w:w="100" w:type="dxa"/>
            </w:tcMar>
          </w:tcPr>
          <w:p w14:paraId="0000004B" w14:textId="77777777" w:rsidR="00AD47E6" w:rsidRPr="000E75F8" w:rsidRDefault="003E253E" w:rsidP="00C17F7B">
            <w:pPr>
              <w:widowControl w:val="0"/>
              <w:pBdr>
                <w:top w:val="nil"/>
                <w:left w:val="nil"/>
                <w:bottom w:val="nil"/>
                <w:right w:val="nil"/>
                <w:between w:val="nil"/>
              </w:pBdr>
              <w:jc w:val="center"/>
              <w:rPr>
                <w:rFonts w:eastAsia="Times New Roman" w:cs="Times New Roman"/>
                <w:szCs w:val="24"/>
              </w:rPr>
            </w:pPr>
            <w:r w:rsidRPr="000E75F8">
              <w:rPr>
                <w:rFonts w:eastAsia="Times New Roman" w:cs="Times New Roman"/>
                <w:szCs w:val="24"/>
                <w:highlight w:val="white"/>
              </w:rPr>
              <w:t>£</w:t>
            </w:r>
            <w:r w:rsidRPr="000E75F8">
              <w:rPr>
                <w:rFonts w:eastAsia="Times New Roman" w:cs="Times New Roman"/>
                <w:szCs w:val="24"/>
              </w:rPr>
              <w:t>2000</w:t>
            </w:r>
          </w:p>
        </w:tc>
      </w:tr>
      <w:tr w:rsidR="000E75F8" w:rsidRPr="000E75F8" w14:paraId="2F6B2E11" w14:textId="77777777">
        <w:tc>
          <w:tcPr>
            <w:tcW w:w="4680" w:type="dxa"/>
            <w:shd w:val="clear" w:color="auto" w:fill="auto"/>
            <w:tcMar>
              <w:top w:w="100" w:type="dxa"/>
              <w:left w:w="100" w:type="dxa"/>
              <w:bottom w:w="100" w:type="dxa"/>
              <w:right w:w="100" w:type="dxa"/>
            </w:tcMar>
          </w:tcPr>
          <w:p w14:paraId="0000004C" w14:textId="77777777" w:rsidR="00AD47E6" w:rsidRPr="003319C1" w:rsidRDefault="003E253E" w:rsidP="00C17F7B">
            <w:pPr>
              <w:widowControl w:val="0"/>
              <w:jc w:val="center"/>
              <w:rPr>
                <w:rFonts w:eastAsia="Times New Roman" w:cs="Times New Roman"/>
                <w:b/>
                <w:bCs/>
                <w:szCs w:val="24"/>
              </w:rPr>
            </w:pPr>
            <w:r w:rsidRPr="003319C1">
              <w:rPr>
                <w:rFonts w:eastAsia="Times New Roman" w:cs="Times New Roman"/>
                <w:b/>
                <w:bCs/>
                <w:szCs w:val="24"/>
              </w:rPr>
              <w:t>Total</w:t>
            </w:r>
          </w:p>
        </w:tc>
        <w:tc>
          <w:tcPr>
            <w:tcW w:w="4680" w:type="dxa"/>
            <w:shd w:val="clear" w:color="auto" w:fill="auto"/>
            <w:tcMar>
              <w:top w:w="100" w:type="dxa"/>
              <w:left w:w="100" w:type="dxa"/>
              <w:bottom w:w="100" w:type="dxa"/>
              <w:right w:w="100" w:type="dxa"/>
            </w:tcMar>
          </w:tcPr>
          <w:p w14:paraId="0000004D" w14:textId="77777777" w:rsidR="00AD47E6" w:rsidRPr="003319C1" w:rsidRDefault="003E253E" w:rsidP="00C17F7B">
            <w:pPr>
              <w:widowControl w:val="0"/>
              <w:pBdr>
                <w:top w:val="nil"/>
                <w:left w:val="nil"/>
                <w:bottom w:val="nil"/>
                <w:right w:val="nil"/>
                <w:between w:val="nil"/>
              </w:pBdr>
              <w:jc w:val="center"/>
              <w:rPr>
                <w:rFonts w:eastAsia="Times New Roman" w:cs="Times New Roman"/>
                <w:b/>
                <w:bCs/>
                <w:szCs w:val="24"/>
                <w:highlight w:val="white"/>
              </w:rPr>
            </w:pPr>
            <w:r w:rsidRPr="003319C1">
              <w:rPr>
                <w:rFonts w:eastAsia="Times New Roman" w:cs="Times New Roman"/>
                <w:b/>
                <w:bCs/>
                <w:szCs w:val="24"/>
                <w:highlight w:val="white"/>
              </w:rPr>
              <w:t>£26000</w:t>
            </w:r>
          </w:p>
        </w:tc>
      </w:tr>
    </w:tbl>
    <w:p w14:paraId="0000004E"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Sources of funding</w:t>
      </w:r>
    </w:p>
    <w:p w14:paraId="0000004F" w14:textId="13B6C1CB"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lastRenderedPageBreak/>
        <w:t xml:space="preserve">The main sources of funding for the event </w:t>
      </w:r>
      <w:r w:rsidR="00C17F7B" w:rsidRPr="000E75F8">
        <w:rPr>
          <w:rFonts w:eastAsia="Times New Roman" w:cs="Times New Roman"/>
          <w:szCs w:val="24"/>
        </w:rPr>
        <w:t>are</w:t>
      </w:r>
      <w:r w:rsidRPr="000E75F8">
        <w:rPr>
          <w:rFonts w:eastAsia="Times New Roman" w:cs="Times New Roman"/>
          <w:szCs w:val="24"/>
        </w:rPr>
        <w:t xml:space="preserve"> from the exchequer of the IHG and funds from third-sector </w:t>
      </w:r>
      <w:proofErr w:type="spellStart"/>
      <w:r w:rsidRPr="000E75F8">
        <w:rPr>
          <w:rFonts w:eastAsia="Times New Roman" w:cs="Times New Roman"/>
          <w:szCs w:val="24"/>
        </w:rPr>
        <w:t>organisations</w:t>
      </w:r>
      <w:proofErr w:type="spellEnd"/>
      <w:r w:rsidRPr="000E75F8">
        <w:rPr>
          <w:rFonts w:eastAsia="Times New Roman" w:cs="Times New Roman"/>
          <w:szCs w:val="24"/>
        </w:rPr>
        <w:t xml:space="preserve">. IHG is poised to take assistance from the government's fund apart from its own expenditure from the exchequer. These are the areas of funding where the </w:t>
      </w:r>
      <w:proofErr w:type="spellStart"/>
      <w:r w:rsidRPr="000E75F8">
        <w:rPr>
          <w:rFonts w:eastAsia="Times New Roman" w:cs="Times New Roman"/>
          <w:szCs w:val="24"/>
        </w:rPr>
        <w:t>organiser</w:t>
      </w:r>
      <w:proofErr w:type="spellEnd"/>
      <w:r w:rsidRPr="000E75F8">
        <w:rPr>
          <w:rFonts w:eastAsia="Times New Roman" w:cs="Times New Roman"/>
          <w:szCs w:val="24"/>
        </w:rPr>
        <w:t xml:space="preserve"> is expecting adequate fund collection for this grand event. </w:t>
      </w:r>
    </w:p>
    <w:p w14:paraId="00000050" w14:textId="77777777" w:rsidR="00AD47E6" w:rsidRPr="000E75F8" w:rsidRDefault="003E253E" w:rsidP="00C17F7B">
      <w:pPr>
        <w:spacing w:before="240" w:after="240"/>
        <w:rPr>
          <w:rFonts w:eastAsia="Times New Roman" w:cs="Times New Roman"/>
          <w:b/>
          <w:szCs w:val="24"/>
        </w:rPr>
      </w:pPr>
      <w:r w:rsidRPr="000E75F8">
        <w:rPr>
          <w:rFonts w:eastAsia="Times New Roman" w:cs="Times New Roman"/>
          <w:b/>
          <w:szCs w:val="24"/>
        </w:rPr>
        <w:t>Revenue generation</w:t>
      </w:r>
    </w:p>
    <w:p w14:paraId="00000051" w14:textId="05828BE8" w:rsidR="00AD47E6"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The event will have a large gathering with its 800 guests from the different sub-sectors of the tourism and hospitality industry. Therefore, the main sources of generating revenue for this event are such as ticket pricing, sponsorship, merchandise sale, VBS as </w:t>
      </w:r>
      <w:proofErr w:type="spellStart"/>
      <w:r w:rsidRPr="000E75F8">
        <w:rPr>
          <w:rFonts w:eastAsia="Times New Roman" w:cs="Times New Roman"/>
          <w:szCs w:val="24"/>
        </w:rPr>
        <w:t>categorised</w:t>
      </w:r>
      <w:proofErr w:type="spellEnd"/>
      <w:r w:rsidRPr="000E75F8">
        <w:rPr>
          <w:rFonts w:eastAsia="Times New Roman" w:cs="Times New Roman"/>
          <w:szCs w:val="24"/>
        </w:rPr>
        <w:t xml:space="preserve"> in the table. Going forward, the </w:t>
      </w:r>
      <w:proofErr w:type="spellStart"/>
      <w:r w:rsidRPr="000E75F8">
        <w:rPr>
          <w:rFonts w:eastAsia="Times New Roman" w:cs="Times New Roman"/>
          <w:szCs w:val="24"/>
        </w:rPr>
        <w:t>organiser</w:t>
      </w:r>
      <w:proofErr w:type="spellEnd"/>
      <w:r w:rsidRPr="000E75F8">
        <w:rPr>
          <w:rFonts w:eastAsia="Times New Roman" w:cs="Times New Roman"/>
          <w:szCs w:val="24"/>
        </w:rPr>
        <w:t xml:space="preserve"> is seeking an expected income of around </w:t>
      </w:r>
      <w:r w:rsidRPr="000E75F8">
        <w:rPr>
          <w:rFonts w:eastAsia="Times New Roman" w:cs="Times New Roman"/>
          <w:szCs w:val="24"/>
          <w:highlight w:val="white"/>
        </w:rPr>
        <w:t xml:space="preserve">£26000. It is important for assessing the expected income for the event to be conducted under the hospitality (Park and Jones, 2021). Determining the expected income also helps assess the required ROI from the event. </w:t>
      </w:r>
    </w:p>
    <w:p w14:paraId="00000052" w14:textId="77777777" w:rsidR="00AD47E6" w:rsidRPr="000E75F8" w:rsidRDefault="00AD47E6" w:rsidP="00C17F7B">
      <w:pPr>
        <w:spacing w:before="240" w:after="240"/>
        <w:rPr>
          <w:rFonts w:eastAsia="Times New Roman" w:cs="Times New Roman"/>
          <w:b/>
          <w:szCs w:val="24"/>
        </w:rPr>
      </w:pPr>
    </w:p>
    <w:p w14:paraId="00000054" w14:textId="438FFA4F" w:rsidR="00AD47E6" w:rsidRDefault="003E253E" w:rsidP="00C17F7B">
      <w:pPr>
        <w:pStyle w:val="Heading1"/>
      </w:pPr>
      <w:r w:rsidRPr="000E75F8">
        <w:br w:type="page"/>
      </w:r>
      <w:r w:rsidRPr="000E75F8">
        <w:lastRenderedPageBreak/>
        <w:t>Conclusion</w:t>
      </w:r>
    </w:p>
    <w:p w14:paraId="4DF9AAE7" w14:textId="5A1748EA" w:rsidR="003319C1" w:rsidRPr="003319C1" w:rsidRDefault="003319C1" w:rsidP="003319C1">
      <w:r>
        <w:rPr>
          <w:noProof/>
        </w:rPr>
        <w:drawing>
          <wp:inline distT="0" distB="0" distL="0" distR="0" wp14:anchorId="2134D525" wp14:editId="386D7466">
            <wp:extent cx="5944235" cy="3340735"/>
            <wp:effectExtent l="0" t="0" r="0" b="0"/>
            <wp:docPr id="7182287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0000055" w14:textId="5F09D824" w:rsidR="00C17F7B" w:rsidRPr="000E75F8" w:rsidRDefault="003E253E" w:rsidP="00C17F7B">
      <w:pPr>
        <w:spacing w:before="240" w:after="240"/>
        <w:rPr>
          <w:rFonts w:eastAsia="Times New Roman" w:cs="Times New Roman"/>
          <w:szCs w:val="24"/>
        </w:rPr>
      </w:pPr>
      <w:r w:rsidRPr="000E75F8">
        <w:rPr>
          <w:rFonts w:eastAsia="Times New Roman" w:cs="Times New Roman"/>
          <w:szCs w:val="24"/>
        </w:rPr>
        <w:t xml:space="preserve">Planning and feasibility study for an event in the future helps determine the course of action and provides a pathway to achieve the goals associated with the event. This presentation has concluded that extensive planning as well as </w:t>
      </w:r>
      <w:r w:rsidR="00C17F7B" w:rsidRPr="000E75F8">
        <w:rPr>
          <w:rFonts w:eastAsia="Times New Roman" w:cs="Times New Roman"/>
          <w:szCs w:val="24"/>
        </w:rPr>
        <w:t>feasibility-based</w:t>
      </w:r>
      <w:r w:rsidRPr="000E75F8">
        <w:rPr>
          <w:rFonts w:eastAsia="Times New Roman" w:cs="Times New Roman"/>
          <w:szCs w:val="24"/>
        </w:rPr>
        <w:t xml:space="preserve"> study intends to aid IHG, the main </w:t>
      </w:r>
      <w:proofErr w:type="spellStart"/>
      <w:r w:rsidRPr="000E75F8">
        <w:rPr>
          <w:rFonts w:eastAsia="Times New Roman" w:cs="Times New Roman"/>
          <w:szCs w:val="24"/>
        </w:rPr>
        <w:t>organiser</w:t>
      </w:r>
      <w:proofErr w:type="spellEnd"/>
      <w:r w:rsidRPr="000E75F8">
        <w:rPr>
          <w:rFonts w:eastAsia="Times New Roman" w:cs="Times New Roman"/>
          <w:szCs w:val="24"/>
        </w:rPr>
        <w:t xml:space="preserve"> of the MICE event within the hospitality sector, to assess the commercial gain in the form of expected income. It has been further concluded that the chosen theme for this event is comprehensive and has a higher demand from its designated target audience.  In assessing the feasibility study of this event, the presentation also concluded that the proposed event on this key theme of DEI, is set to achieve the goals.</w:t>
      </w:r>
    </w:p>
    <w:p w14:paraId="17B5C2C2" w14:textId="77777777" w:rsidR="00C17F7B" w:rsidRPr="000E75F8" w:rsidRDefault="00C17F7B">
      <w:pPr>
        <w:spacing w:line="276" w:lineRule="auto"/>
        <w:jc w:val="left"/>
        <w:rPr>
          <w:rFonts w:eastAsia="Times New Roman" w:cs="Times New Roman"/>
          <w:szCs w:val="24"/>
        </w:rPr>
      </w:pPr>
      <w:r w:rsidRPr="000E75F8">
        <w:rPr>
          <w:rFonts w:eastAsia="Times New Roman" w:cs="Times New Roman"/>
          <w:szCs w:val="24"/>
        </w:rPr>
        <w:br w:type="page"/>
      </w:r>
    </w:p>
    <w:p w14:paraId="4BCFFB8C" w14:textId="77777777" w:rsidR="003319C1" w:rsidRDefault="00C17F7B" w:rsidP="000E75F8">
      <w:pPr>
        <w:pStyle w:val="Heading1"/>
        <w:spacing w:after="0"/>
        <w:rPr>
          <w:lang w:val="en-US"/>
        </w:rPr>
      </w:pPr>
      <w:r w:rsidRPr="000E75F8">
        <w:rPr>
          <w:lang w:val="en-US"/>
        </w:rPr>
        <w:lastRenderedPageBreak/>
        <w:t>References</w:t>
      </w:r>
      <w:r w:rsidR="000E75F8">
        <w:rPr>
          <w:lang w:val="en-US"/>
        </w:rPr>
        <w:t xml:space="preserve"> </w:t>
      </w:r>
      <w:r w:rsidR="00312917">
        <w:rPr>
          <w:lang w:val="en-US"/>
        </w:rPr>
        <w:t xml:space="preserve"> </w:t>
      </w:r>
      <w:r w:rsidR="00D24578">
        <w:rPr>
          <w:lang w:val="en-US"/>
        </w:rPr>
        <w:t xml:space="preserve"> </w:t>
      </w:r>
    </w:p>
    <w:p w14:paraId="7EF83C3A" w14:textId="71D32B51" w:rsidR="00C17F7B" w:rsidRPr="000E75F8" w:rsidRDefault="003319C1" w:rsidP="003319C1">
      <w:pPr>
        <w:rPr>
          <w:lang w:val="en-US"/>
        </w:rPr>
      </w:pPr>
      <w:r>
        <w:rPr>
          <w:noProof/>
          <w:lang w:val="en-US"/>
        </w:rPr>
        <w:drawing>
          <wp:inline distT="0" distB="0" distL="0" distR="0" wp14:anchorId="21A8C2FB" wp14:editId="6779F7D2">
            <wp:extent cx="5944235" cy="3340735"/>
            <wp:effectExtent l="0" t="0" r="0" b="0"/>
            <wp:docPr id="5259257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08FD48F7"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Allen, J., Harris, R. and Jago, L., (2022). </w:t>
      </w:r>
      <w:r w:rsidRPr="000E75F8">
        <w:rPr>
          <w:rFonts w:eastAsia="Times New Roman" w:cs="Times New Roman"/>
          <w:i/>
          <w:iCs/>
          <w:szCs w:val="24"/>
          <w:lang w:val="en-US"/>
        </w:rPr>
        <w:t>Festival &amp; special event management</w:t>
      </w:r>
      <w:r w:rsidRPr="000E75F8">
        <w:rPr>
          <w:rFonts w:eastAsia="Times New Roman" w:cs="Times New Roman"/>
          <w:szCs w:val="24"/>
          <w:lang w:val="en-US"/>
        </w:rPr>
        <w:t>. John Wiley &amp; Sons.</w:t>
      </w:r>
    </w:p>
    <w:p w14:paraId="77E4CFC5"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Bernini, C., Emili, S. and </w:t>
      </w:r>
      <w:proofErr w:type="spellStart"/>
      <w:r w:rsidRPr="000E75F8">
        <w:rPr>
          <w:rFonts w:eastAsia="Times New Roman" w:cs="Times New Roman"/>
          <w:szCs w:val="24"/>
          <w:lang w:val="en-US"/>
        </w:rPr>
        <w:t>Medei</w:t>
      </w:r>
      <w:proofErr w:type="spellEnd"/>
      <w:r w:rsidRPr="000E75F8">
        <w:rPr>
          <w:rFonts w:eastAsia="Times New Roman" w:cs="Times New Roman"/>
          <w:szCs w:val="24"/>
          <w:lang w:val="en-US"/>
        </w:rPr>
        <w:t xml:space="preserve">, R., (2021). The spatial agglomeration of the MICE industry. </w:t>
      </w:r>
      <w:r w:rsidRPr="000E75F8">
        <w:rPr>
          <w:rFonts w:eastAsia="Times New Roman" w:cs="Times New Roman"/>
          <w:i/>
          <w:iCs/>
          <w:szCs w:val="24"/>
          <w:lang w:val="en-US"/>
        </w:rPr>
        <w:t>International Journal of Tourism Research</w:t>
      </w:r>
      <w:r w:rsidRPr="000E75F8">
        <w:rPr>
          <w:rFonts w:eastAsia="Times New Roman" w:cs="Times New Roman"/>
          <w:szCs w:val="24"/>
          <w:lang w:val="en-US"/>
        </w:rPr>
        <w:t xml:space="preserve">, </w:t>
      </w:r>
      <w:r w:rsidRPr="000E75F8">
        <w:rPr>
          <w:rFonts w:eastAsia="Times New Roman" w:cs="Times New Roman"/>
          <w:i/>
          <w:iCs/>
          <w:szCs w:val="24"/>
          <w:lang w:val="en-US"/>
        </w:rPr>
        <w:t>23</w:t>
      </w:r>
      <w:r w:rsidRPr="000E75F8">
        <w:rPr>
          <w:rFonts w:eastAsia="Times New Roman" w:cs="Times New Roman"/>
          <w:szCs w:val="24"/>
          <w:lang w:val="en-US"/>
        </w:rPr>
        <w:t>(5), pp.770-780.</w:t>
      </w:r>
    </w:p>
    <w:p w14:paraId="2003A092"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Berridge, G., (2020). Designing event experiences. In </w:t>
      </w:r>
      <w:r w:rsidRPr="000E75F8">
        <w:rPr>
          <w:rFonts w:eastAsia="Times New Roman" w:cs="Times New Roman"/>
          <w:i/>
          <w:iCs/>
          <w:szCs w:val="24"/>
          <w:lang w:val="en-US"/>
        </w:rPr>
        <w:t>The Routledge handbook of events</w:t>
      </w:r>
      <w:r w:rsidRPr="000E75F8">
        <w:rPr>
          <w:rFonts w:eastAsia="Times New Roman" w:cs="Times New Roman"/>
          <w:szCs w:val="24"/>
          <w:lang w:val="en-US"/>
        </w:rPr>
        <w:t xml:space="preserve"> (pp. 378-395). Routledge.</w:t>
      </w:r>
    </w:p>
    <w:p w14:paraId="4633B903"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Bladen, C., Kennell, J., Abson, E. and Wilde, N., (2022). </w:t>
      </w:r>
      <w:r w:rsidRPr="000E75F8">
        <w:rPr>
          <w:rFonts w:eastAsia="Times New Roman" w:cs="Times New Roman"/>
          <w:i/>
          <w:iCs/>
          <w:szCs w:val="24"/>
          <w:lang w:val="en-US"/>
        </w:rPr>
        <w:t>Events management: An introduction</w:t>
      </w:r>
      <w:r w:rsidRPr="000E75F8">
        <w:rPr>
          <w:rFonts w:eastAsia="Times New Roman" w:cs="Times New Roman"/>
          <w:szCs w:val="24"/>
          <w:lang w:val="en-US"/>
        </w:rPr>
        <w:t>. Routledge.</w:t>
      </w:r>
    </w:p>
    <w:p w14:paraId="494D75DD"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Bowdin, G.A., Allen, J., Harris, R., Jago, L., </w:t>
      </w:r>
      <w:proofErr w:type="spellStart"/>
      <w:r w:rsidRPr="000E75F8">
        <w:rPr>
          <w:rFonts w:eastAsia="Times New Roman" w:cs="Times New Roman"/>
          <w:szCs w:val="24"/>
          <w:lang w:val="en-US"/>
        </w:rPr>
        <w:t>O'toole</w:t>
      </w:r>
      <w:proofErr w:type="spellEnd"/>
      <w:r w:rsidRPr="000E75F8">
        <w:rPr>
          <w:rFonts w:eastAsia="Times New Roman" w:cs="Times New Roman"/>
          <w:szCs w:val="24"/>
          <w:lang w:val="en-US"/>
        </w:rPr>
        <w:t xml:space="preserve">, W. and McDonnell, I., (2023). </w:t>
      </w:r>
      <w:r w:rsidRPr="000E75F8">
        <w:rPr>
          <w:rFonts w:eastAsia="Times New Roman" w:cs="Times New Roman"/>
          <w:i/>
          <w:iCs/>
          <w:szCs w:val="24"/>
          <w:lang w:val="en-US"/>
        </w:rPr>
        <w:t>Events management</w:t>
      </w:r>
      <w:r w:rsidRPr="000E75F8">
        <w:rPr>
          <w:rFonts w:eastAsia="Times New Roman" w:cs="Times New Roman"/>
          <w:szCs w:val="24"/>
          <w:lang w:val="en-US"/>
        </w:rPr>
        <w:t>. Routledge.</w:t>
      </w:r>
    </w:p>
    <w:p w14:paraId="3BAF8DF4" w14:textId="77777777" w:rsidR="000E75F8" w:rsidRPr="000E75F8" w:rsidRDefault="000E75F8" w:rsidP="000E75F8">
      <w:pPr>
        <w:rPr>
          <w:rFonts w:eastAsia="Times New Roman" w:cs="Times New Roman"/>
          <w:szCs w:val="24"/>
          <w:lang w:val="en-US"/>
        </w:rPr>
      </w:pPr>
      <w:proofErr w:type="spellStart"/>
      <w:r w:rsidRPr="000E75F8">
        <w:rPr>
          <w:rFonts w:eastAsia="Times New Roman" w:cs="Times New Roman"/>
          <w:szCs w:val="24"/>
          <w:lang w:val="en-US"/>
        </w:rPr>
        <w:t>Dolasinski</w:t>
      </w:r>
      <w:proofErr w:type="spellEnd"/>
      <w:r w:rsidRPr="000E75F8">
        <w:rPr>
          <w:rFonts w:eastAsia="Times New Roman" w:cs="Times New Roman"/>
          <w:szCs w:val="24"/>
          <w:lang w:val="en-US"/>
        </w:rPr>
        <w:t xml:space="preserve">, M.J., Roberts, C., Reynolds, J. and Johanson, M., (2021). Defining the field of events. </w:t>
      </w:r>
      <w:r w:rsidRPr="000E75F8">
        <w:rPr>
          <w:rFonts w:eastAsia="Times New Roman" w:cs="Times New Roman"/>
          <w:i/>
          <w:iCs/>
          <w:szCs w:val="24"/>
          <w:lang w:val="en-US"/>
        </w:rPr>
        <w:t>Journal of Hospitality &amp; Tourism Research</w:t>
      </w:r>
      <w:r w:rsidRPr="000E75F8">
        <w:rPr>
          <w:rFonts w:eastAsia="Times New Roman" w:cs="Times New Roman"/>
          <w:szCs w:val="24"/>
          <w:lang w:val="en-US"/>
        </w:rPr>
        <w:t xml:space="preserve">, </w:t>
      </w:r>
      <w:r w:rsidRPr="000E75F8">
        <w:rPr>
          <w:rFonts w:eastAsia="Times New Roman" w:cs="Times New Roman"/>
          <w:i/>
          <w:iCs/>
          <w:szCs w:val="24"/>
          <w:lang w:val="en-US"/>
        </w:rPr>
        <w:t>45</w:t>
      </w:r>
      <w:r w:rsidRPr="000E75F8">
        <w:rPr>
          <w:rFonts w:eastAsia="Times New Roman" w:cs="Times New Roman"/>
          <w:szCs w:val="24"/>
          <w:lang w:val="en-US"/>
        </w:rPr>
        <w:t>(3), pp.553-572.</w:t>
      </w:r>
    </w:p>
    <w:p w14:paraId="58E5AE58"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Dowson, R., Albert, B. and Lomax, D., (2022). </w:t>
      </w:r>
      <w:r w:rsidRPr="000E75F8">
        <w:rPr>
          <w:rFonts w:eastAsia="Times New Roman" w:cs="Times New Roman"/>
          <w:i/>
          <w:iCs/>
          <w:szCs w:val="24"/>
          <w:lang w:val="en-US"/>
        </w:rPr>
        <w:t>Event planning and management: Principles, planning and practice</w:t>
      </w:r>
      <w:r w:rsidRPr="000E75F8">
        <w:rPr>
          <w:rFonts w:eastAsia="Times New Roman" w:cs="Times New Roman"/>
          <w:szCs w:val="24"/>
          <w:lang w:val="en-US"/>
        </w:rPr>
        <w:t>. Kogan Page Publishers.</w:t>
      </w:r>
    </w:p>
    <w:p w14:paraId="7E5E449A" w14:textId="77777777" w:rsidR="000E75F8" w:rsidRPr="000E75F8" w:rsidRDefault="000E75F8" w:rsidP="000E75F8">
      <w:pPr>
        <w:rPr>
          <w:rFonts w:eastAsia="Times New Roman" w:cs="Times New Roman"/>
          <w:szCs w:val="24"/>
          <w:lang w:val="en-US"/>
        </w:rPr>
      </w:pPr>
      <w:proofErr w:type="spellStart"/>
      <w:r w:rsidRPr="000E75F8">
        <w:rPr>
          <w:rFonts w:eastAsia="Times New Roman" w:cs="Times New Roman"/>
          <w:szCs w:val="24"/>
          <w:lang w:val="en-US"/>
        </w:rPr>
        <w:t>Dragin</w:t>
      </w:r>
      <w:proofErr w:type="spellEnd"/>
      <w:r w:rsidRPr="000E75F8">
        <w:rPr>
          <w:rFonts w:eastAsia="Times New Roman" w:cs="Times New Roman"/>
          <w:szCs w:val="24"/>
          <w:lang w:val="en-US"/>
        </w:rPr>
        <w:t xml:space="preserve">-Jensen, C., Kwiatkowski, G., Lien, V.H., Ossowska, L., Janiszewska, D., Kloskowski, D. and Strzelecka, M., (2022). Event innovation in times of uncertainty. </w:t>
      </w:r>
      <w:r w:rsidRPr="000E75F8">
        <w:rPr>
          <w:rFonts w:eastAsia="Times New Roman" w:cs="Times New Roman"/>
          <w:i/>
          <w:iCs/>
          <w:szCs w:val="24"/>
          <w:lang w:val="en-US"/>
        </w:rPr>
        <w:t>International Journal of Event and Festival Management</w:t>
      </w:r>
      <w:r w:rsidRPr="000E75F8">
        <w:rPr>
          <w:rFonts w:eastAsia="Times New Roman" w:cs="Times New Roman"/>
          <w:szCs w:val="24"/>
          <w:lang w:val="en-US"/>
        </w:rPr>
        <w:t xml:space="preserve">, </w:t>
      </w:r>
      <w:r w:rsidRPr="000E75F8">
        <w:rPr>
          <w:rFonts w:eastAsia="Times New Roman" w:cs="Times New Roman"/>
          <w:i/>
          <w:iCs/>
          <w:szCs w:val="24"/>
          <w:lang w:val="en-US"/>
        </w:rPr>
        <w:t>13</w:t>
      </w:r>
      <w:r w:rsidRPr="000E75F8">
        <w:rPr>
          <w:rFonts w:eastAsia="Times New Roman" w:cs="Times New Roman"/>
          <w:szCs w:val="24"/>
          <w:lang w:val="en-US"/>
        </w:rPr>
        <w:t>(4), pp.387-405.</w:t>
      </w:r>
    </w:p>
    <w:p w14:paraId="017AB199" w14:textId="77777777" w:rsidR="000E75F8" w:rsidRPr="000E75F8" w:rsidRDefault="000E75F8" w:rsidP="000E75F8">
      <w:pPr>
        <w:rPr>
          <w:rFonts w:eastAsia="Times New Roman" w:cs="Times New Roman"/>
          <w:szCs w:val="24"/>
          <w:lang w:val="en-US"/>
        </w:rPr>
      </w:pPr>
      <w:proofErr w:type="spellStart"/>
      <w:r w:rsidRPr="000E75F8">
        <w:rPr>
          <w:rFonts w:eastAsia="Times New Roman" w:cs="Times New Roman"/>
          <w:szCs w:val="24"/>
          <w:lang w:val="en-US"/>
        </w:rPr>
        <w:lastRenderedPageBreak/>
        <w:t>Economictimes</w:t>
      </w:r>
      <w:proofErr w:type="spellEnd"/>
      <w:r w:rsidRPr="000E75F8">
        <w:rPr>
          <w:rFonts w:eastAsia="Times New Roman" w:cs="Times New Roman"/>
          <w:szCs w:val="24"/>
          <w:lang w:val="en-US"/>
        </w:rPr>
        <w:t xml:space="preserve">, (2024). </w:t>
      </w:r>
      <w:r w:rsidRPr="000E75F8">
        <w:rPr>
          <w:rFonts w:eastAsia="Times New Roman" w:cs="Times New Roman"/>
          <w:i/>
          <w:iCs/>
          <w:szCs w:val="24"/>
          <w:lang w:val="en-US"/>
        </w:rPr>
        <w:t xml:space="preserve">A triumphant gathering: 2nd ET MICE &amp; Wedding Tourism Summit &amp; Awards. </w:t>
      </w:r>
      <w:r w:rsidRPr="000E75F8">
        <w:rPr>
          <w:rFonts w:eastAsia="Times New Roman" w:cs="Times New Roman"/>
          <w:szCs w:val="24"/>
          <w:lang w:val="en-US"/>
        </w:rPr>
        <w:t>[Online] Available at: https://travel.economictimes.indiatimes.com/news/events/domestic/a-triumphant-gathering-2nd-et-mice-wedding-tourism-summit-awards-brings-together-industry/111356447 [Accessed 11 January 2025].</w:t>
      </w:r>
    </w:p>
    <w:p w14:paraId="5AFBF28D"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Getz, D. and Page, S. (2019). Event studies: theory, research and policy for planned events. 3rd Edition. Routledge: Oxford</w:t>
      </w:r>
    </w:p>
    <w:p w14:paraId="0E94FF5E"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Hagen, D., (2021). Sustainable event management: new perspectives for the meeting industry through innovation and </w:t>
      </w:r>
      <w:proofErr w:type="spellStart"/>
      <w:proofErr w:type="gramStart"/>
      <w:r w:rsidRPr="000E75F8">
        <w:rPr>
          <w:rFonts w:eastAsia="Times New Roman" w:cs="Times New Roman"/>
          <w:szCs w:val="24"/>
          <w:lang w:val="en-US"/>
        </w:rPr>
        <w:t>digitalisation</w:t>
      </w:r>
      <w:proofErr w:type="spellEnd"/>
      <w:r w:rsidRPr="000E75F8">
        <w:rPr>
          <w:rFonts w:eastAsia="Times New Roman" w:cs="Times New Roman"/>
          <w:szCs w:val="24"/>
          <w:lang w:val="en-US"/>
        </w:rPr>
        <w:t>?.</w:t>
      </w:r>
      <w:proofErr w:type="gramEnd"/>
      <w:r w:rsidRPr="000E75F8">
        <w:rPr>
          <w:rFonts w:eastAsia="Times New Roman" w:cs="Times New Roman"/>
          <w:szCs w:val="24"/>
          <w:lang w:val="en-US"/>
        </w:rPr>
        <w:t xml:space="preserve"> </w:t>
      </w:r>
      <w:r w:rsidRPr="000E75F8">
        <w:rPr>
          <w:rFonts w:eastAsia="Times New Roman" w:cs="Times New Roman"/>
          <w:i/>
          <w:iCs/>
          <w:szCs w:val="24"/>
          <w:lang w:val="en-US"/>
        </w:rPr>
        <w:t>Innovations and Traditions for Sustainable Development</w:t>
      </w:r>
      <w:r w:rsidRPr="000E75F8">
        <w:rPr>
          <w:rFonts w:eastAsia="Times New Roman" w:cs="Times New Roman"/>
          <w:szCs w:val="24"/>
          <w:lang w:val="en-US"/>
        </w:rPr>
        <w:t>, pp.259-275.</w:t>
      </w:r>
    </w:p>
    <w:p w14:paraId="0515668F"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Magazine, L., (2021). Women of AHLAF: Focus on Diversity, Equity, and Inclusion.</w:t>
      </w:r>
    </w:p>
    <w:p w14:paraId="210C3246"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O’Toole, W. (2011). Events feasibility and development: from strategy to operations. Elsevier: Oxford</w:t>
      </w:r>
    </w:p>
    <w:p w14:paraId="6BF1755A" w14:textId="77777777" w:rsidR="000E75F8" w:rsidRPr="000E75F8" w:rsidRDefault="000E75F8" w:rsidP="000E75F8">
      <w:pPr>
        <w:rPr>
          <w:rFonts w:eastAsia="Times New Roman" w:cs="Times New Roman"/>
          <w:szCs w:val="24"/>
          <w:lang w:val="en-US"/>
        </w:rPr>
      </w:pPr>
      <w:proofErr w:type="spellStart"/>
      <w:r w:rsidRPr="000E75F8">
        <w:rPr>
          <w:rFonts w:eastAsia="Times New Roman" w:cs="Times New Roman"/>
          <w:szCs w:val="24"/>
          <w:lang w:val="en-US"/>
        </w:rPr>
        <w:t>Onemoorgateplace</w:t>
      </w:r>
      <w:proofErr w:type="spellEnd"/>
      <w:r w:rsidRPr="000E75F8">
        <w:rPr>
          <w:rFonts w:eastAsia="Times New Roman" w:cs="Times New Roman"/>
          <w:szCs w:val="24"/>
          <w:lang w:val="en-US"/>
        </w:rPr>
        <w:t xml:space="preserve">, (2025). </w:t>
      </w:r>
      <w:r w:rsidRPr="000E75F8">
        <w:rPr>
          <w:rFonts w:eastAsia="Times New Roman" w:cs="Times New Roman"/>
          <w:i/>
          <w:iCs/>
          <w:szCs w:val="24"/>
          <w:lang w:val="en-US"/>
        </w:rPr>
        <w:t>About One Moorgate Place</w:t>
      </w:r>
      <w:r w:rsidRPr="000E75F8">
        <w:rPr>
          <w:rFonts w:eastAsia="Times New Roman" w:cs="Times New Roman"/>
          <w:szCs w:val="24"/>
          <w:lang w:val="en-US"/>
        </w:rPr>
        <w:t>. [Online] Available at: https://www.onemoorgateplace.com/ [Accessed 10 January 2025].</w:t>
      </w:r>
    </w:p>
    <w:p w14:paraId="292FFA4E"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Park, M. and Jones, T., (2021). Going virtual: The impact of COVID-19 on internships in tourism, events, and hospitality education. </w:t>
      </w:r>
      <w:r w:rsidRPr="000E75F8">
        <w:rPr>
          <w:rFonts w:eastAsia="Times New Roman" w:cs="Times New Roman"/>
          <w:i/>
          <w:iCs/>
          <w:szCs w:val="24"/>
          <w:lang w:val="en-US"/>
        </w:rPr>
        <w:t>Journal of Hospitality &amp; Tourism Education</w:t>
      </w:r>
      <w:r w:rsidRPr="000E75F8">
        <w:rPr>
          <w:rFonts w:eastAsia="Times New Roman" w:cs="Times New Roman"/>
          <w:szCs w:val="24"/>
          <w:lang w:val="en-US"/>
        </w:rPr>
        <w:t xml:space="preserve">, </w:t>
      </w:r>
      <w:r w:rsidRPr="000E75F8">
        <w:rPr>
          <w:rFonts w:eastAsia="Times New Roman" w:cs="Times New Roman"/>
          <w:i/>
          <w:iCs/>
          <w:szCs w:val="24"/>
          <w:lang w:val="en-US"/>
        </w:rPr>
        <w:t>33</w:t>
      </w:r>
      <w:r w:rsidRPr="000E75F8">
        <w:rPr>
          <w:rFonts w:eastAsia="Times New Roman" w:cs="Times New Roman"/>
          <w:szCs w:val="24"/>
          <w:lang w:val="en-US"/>
        </w:rPr>
        <w:t>(3), pp.176-193.</w:t>
      </w:r>
    </w:p>
    <w:p w14:paraId="30A23883"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Rogers, T. and Wynn-Moylan, P (2022). Conferences and conventions: a global industry. 4th Edition. Routledge: Oxford</w:t>
      </w:r>
    </w:p>
    <w:p w14:paraId="5A5EB994"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Schlemmer, P., Barth, M. and Schnitzer, M., (2020). Research </w:t>
      </w:r>
      <w:proofErr w:type="gramStart"/>
      <w:r w:rsidRPr="000E75F8">
        <w:rPr>
          <w:rFonts w:eastAsia="Times New Roman" w:cs="Times New Roman"/>
          <w:szCs w:val="24"/>
          <w:lang w:val="en-US"/>
        </w:rPr>
        <w:t>note</w:t>
      </w:r>
      <w:proofErr w:type="gramEnd"/>
      <w:r w:rsidRPr="000E75F8">
        <w:rPr>
          <w:rFonts w:eastAsia="Times New Roman" w:cs="Times New Roman"/>
          <w:szCs w:val="24"/>
          <w:lang w:val="en-US"/>
        </w:rPr>
        <w:t xml:space="preserve"> sport tourism versus event tourism: Considerations on a necessary distinction and integration. In </w:t>
      </w:r>
      <w:r w:rsidRPr="000E75F8">
        <w:rPr>
          <w:rFonts w:eastAsia="Times New Roman" w:cs="Times New Roman"/>
          <w:i/>
          <w:iCs/>
          <w:szCs w:val="24"/>
          <w:lang w:val="en-US"/>
        </w:rPr>
        <w:t>Journal of Convention &amp; Event Tourism</w:t>
      </w:r>
      <w:r w:rsidRPr="000E75F8">
        <w:rPr>
          <w:rFonts w:eastAsia="Times New Roman" w:cs="Times New Roman"/>
          <w:szCs w:val="24"/>
          <w:lang w:val="en-US"/>
        </w:rPr>
        <w:t xml:space="preserve"> (Vol. 21, No. 2, pp. 91-99). Routledge.</w:t>
      </w:r>
    </w:p>
    <w:p w14:paraId="7F02413F"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Smith, A., (2012). </w:t>
      </w:r>
      <w:r w:rsidRPr="000E75F8">
        <w:rPr>
          <w:rFonts w:eastAsia="Times New Roman" w:cs="Times New Roman"/>
          <w:i/>
          <w:iCs/>
          <w:szCs w:val="24"/>
          <w:lang w:val="en-US"/>
        </w:rPr>
        <w:t xml:space="preserve">Events and urban regeneration: The strategic use of events to </w:t>
      </w:r>
      <w:proofErr w:type="spellStart"/>
      <w:r w:rsidRPr="000E75F8">
        <w:rPr>
          <w:rFonts w:eastAsia="Times New Roman" w:cs="Times New Roman"/>
          <w:i/>
          <w:iCs/>
          <w:szCs w:val="24"/>
          <w:lang w:val="en-US"/>
        </w:rPr>
        <w:t>revitalise</w:t>
      </w:r>
      <w:proofErr w:type="spellEnd"/>
      <w:r w:rsidRPr="000E75F8">
        <w:rPr>
          <w:rFonts w:eastAsia="Times New Roman" w:cs="Times New Roman"/>
          <w:i/>
          <w:iCs/>
          <w:szCs w:val="24"/>
          <w:lang w:val="en-US"/>
        </w:rPr>
        <w:t xml:space="preserve"> cities</w:t>
      </w:r>
      <w:r w:rsidRPr="000E75F8">
        <w:rPr>
          <w:rFonts w:eastAsia="Times New Roman" w:cs="Times New Roman"/>
          <w:szCs w:val="24"/>
          <w:lang w:val="en-US"/>
        </w:rPr>
        <w:t>. Routledge.</w:t>
      </w:r>
    </w:p>
    <w:p w14:paraId="148E0FF7" w14:textId="77777777" w:rsidR="000E75F8" w:rsidRPr="000E75F8" w:rsidRDefault="000E75F8" w:rsidP="000E75F8">
      <w:pPr>
        <w:rPr>
          <w:rFonts w:eastAsia="Times New Roman" w:cs="Times New Roman"/>
          <w:szCs w:val="24"/>
          <w:lang w:val="en-US"/>
        </w:rPr>
      </w:pPr>
      <w:r w:rsidRPr="000E75F8">
        <w:rPr>
          <w:rFonts w:eastAsia="Times New Roman" w:cs="Times New Roman"/>
          <w:szCs w:val="24"/>
          <w:lang w:val="en-US"/>
        </w:rPr>
        <w:t xml:space="preserve">Smith, R.D., (2020). </w:t>
      </w:r>
      <w:r w:rsidRPr="000E75F8">
        <w:rPr>
          <w:rFonts w:eastAsia="Times New Roman" w:cs="Times New Roman"/>
          <w:i/>
          <w:iCs/>
          <w:szCs w:val="24"/>
          <w:lang w:val="en-US"/>
        </w:rPr>
        <w:t>Strategic planning for public relations</w:t>
      </w:r>
      <w:r w:rsidRPr="000E75F8">
        <w:rPr>
          <w:rFonts w:eastAsia="Times New Roman" w:cs="Times New Roman"/>
          <w:szCs w:val="24"/>
          <w:lang w:val="en-US"/>
        </w:rPr>
        <w:t>. Routledge.</w:t>
      </w:r>
    </w:p>
    <w:p w14:paraId="290736CC" w14:textId="77777777" w:rsidR="000E75F8" w:rsidRPr="000E75F8" w:rsidRDefault="000E75F8" w:rsidP="000E75F8">
      <w:pPr>
        <w:rPr>
          <w:rFonts w:eastAsia="Times New Roman" w:cs="Times New Roman"/>
          <w:szCs w:val="24"/>
          <w:lang w:val="en-US"/>
        </w:rPr>
      </w:pPr>
      <w:proofErr w:type="spellStart"/>
      <w:r w:rsidRPr="000E75F8">
        <w:rPr>
          <w:rFonts w:eastAsia="Times New Roman" w:cs="Times New Roman"/>
          <w:szCs w:val="24"/>
          <w:lang w:val="en-US"/>
        </w:rPr>
        <w:t>Yozukmaz</w:t>
      </w:r>
      <w:proofErr w:type="spellEnd"/>
      <w:r w:rsidRPr="000E75F8">
        <w:rPr>
          <w:rFonts w:eastAsia="Times New Roman" w:cs="Times New Roman"/>
          <w:szCs w:val="24"/>
          <w:lang w:val="en-US"/>
        </w:rPr>
        <w:t xml:space="preserve">, N., Bertan, S. and </w:t>
      </w:r>
      <w:proofErr w:type="spellStart"/>
      <w:r w:rsidRPr="000E75F8">
        <w:rPr>
          <w:rFonts w:eastAsia="Times New Roman" w:cs="Times New Roman"/>
          <w:szCs w:val="24"/>
          <w:lang w:val="en-US"/>
        </w:rPr>
        <w:t>Alkaya</w:t>
      </w:r>
      <w:proofErr w:type="spellEnd"/>
      <w:r w:rsidRPr="000E75F8">
        <w:rPr>
          <w:rFonts w:eastAsia="Times New Roman" w:cs="Times New Roman"/>
          <w:szCs w:val="24"/>
          <w:lang w:val="en-US"/>
        </w:rPr>
        <w:t xml:space="preserve">, S., (2020). Festivals’ social impacts and emotional solidarity. </w:t>
      </w:r>
      <w:r w:rsidRPr="000E75F8">
        <w:rPr>
          <w:rFonts w:eastAsia="Times New Roman" w:cs="Times New Roman"/>
          <w:i/>
          <w:iCs/>
          <w:szCs w:val="24"/>
          <w:lang w:val="en-US"/>
        </w:rPr>
        <w:t>International Journal of Event and Festival Management</w:t>
      </w:r>
      <w:r w:rsidRPr="000E75F8">
        <w:rPr>
          <w:rFonts w:eastAsia="Times New Roman" w:cs="Times New Roman"/>
          <w:szCs w:val="24"/>
          <w:lang w:val="en-US"/>
        </w:rPr>
        <w:t xml:space="preserve">, </w:t>
      </w:r>
      <w:r w:rsidRPr="000E75F8">
        <w:rPr>
          <w:rFonts w:eastAsia="Times New Roman" w:cs="Times New Roman"/>
          <w:i/>
          <w:iCs/>
          <w:szCs w:val="24"/>
          <w:lang w:val="en-US"/>
        </w:rPr>
        <w:t>11</w:t>
      </w:r>
      <w:r w:rsidRPr="000E75F8">
        <w:rPr>
          <w:rFonts w:eastAsia="Times New Roman" w:cs="Times New Roman"/>
          <w:szCs w:val="24"/>
          <w:lang w:val="en-US"/>
        </w:rPr>
        <w:t>(2), pp.239-253.</w:t>
      </w:r>
    </w:p>
    <w:p w14:paraId="0BFFAB10" w14:textId="77777777" w:rsidR="00C17F7B" w:rsidRPr="000E75F8" w:rsidRDefault="00C17F7B" w:rsidP="00C17F7B">
      <w:pPr>
        <w:spacing w:before="240" w:after="240"/>
        <w:rPr>
          <w:rFonts w:eastAsia="Times New Roman" w:cs="Times New Roman"/>
          <w:szCs w:val="24"/>
          <w:lang w:val="en-US"/>
        </w:rPr>
      </w:pPr>
    </w:p>
    <w:p w14:paraId="0000005C" w14:textId="77777777" w:rsidR="00AD47E6" w:rsidRPr="000E75F8" w:rsidRDefault="00AD47E6"/>
    <w:sectPr w:rsidR="00AD47E6" w:rsidRPr="000E75F8" w:rsidSect="000E75F8">
      <w:headerReference w:type="default" r:id="rId19"/>
      <w:footerReference w:type="default" r:id="rId20"/>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D7890" w14:textId="77777777" w:rsidR="006B0AD5" w:rsidRDefault="006B0AD5" w:rsidP="000E75F8">
      <w:pPr>
        <w:spacing w:line="240" w:lineRule="auto"/>
      </w:pPr>
      <w:r>
        <w:separator/>
      </w:r>
    </w:p>
  </w:endnote>
  <w:endnote w:type="continuationSeparator" w:id="0">
    <w:p w14:paraId="2E8E47DC" w14:textId="77777777" w:rsidR="006B0AD5" w:rsidRDefault="006B0AD5" w:rsidP="000E75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2483039"/>
      <w:docPartObj>
        <w:docPartGallery w:val="Page Numbers (Bottom of Page)"/>
        <w:docPartUnique/>
      </w:docPartObj>
    </w:sdtPr>
    <w:sdtEndPr/>
    <w:sdtContent>
      <w:sdt>
        <w:sdtPr>
          <w:id w:val="-1769616900"/>
          <w:docPartObj>
            <w:docPartGallery w:val="Page Numbers (Top of Page)"/>
            <w:docPartUnique/>
          </w:docPartObj>
        </w:sdtPr>
        <w:sdtEndPr/>
        <w:sdtContent>
          <w:p w14:paraId="5B31D1FA" w14:textId="60CE1D1E" w:rsidR="000E75F8" w:rsidRDefault="000E75F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CF33900" w14:textId="77777777" w:rsidR="000E75F8" w:rsidRDefault="000E7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08A78" w14:textId="77777777" w:rsidR="006B0AD5" w:rsidRDefault="006B0AD5" w:rsidP="000E75F8">
      <w:pPr>
        <w:spacing w:line="240" w:lineRule="auto"/>
      </w:pPr>
      <w:r>
        <w:separator/>
      </w:r>
    </w:p>
  </w:footnote>
  <w:footnote w:type="continuationSeparator" w:id="0">
    <w:p w14:paraId="4CEA4F20" w14:textId="77777777" w:rsidR="006B0AD5" w:rsidRDefault="006B0AD5" w:rsidP="000E75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195EF" w14:textId="2F14955D" w:rsidR="000E75F8" w:rsidRPr="000E75F8" w:rsidRDefault="000E75F8" w:rsidP="000E75F8">
    <w:pPr>
      <w:pStyle w:val="Header"/>
      <w:jc w:val="right"/>
      <w:rPr>
        <w:bCs/>
        <w:sz w:val="20"/>
        <w:szCs w:val="18"/>
      </w:rPr>
    </w:pPr>
    <w:r w:rsidRPr="000E75F8">
      <w:rPr>
        <w:rFonts w:eastAsia="Times New Roman" w:cs="Times New Roman"/>
        <w:bCs/>
        <w:szCs w:val="24"/>
      </w:rPr>
      <w:t xml:space="preserve">International Meetings Management for the Hotel Industry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83C58"/>
    <w:multiLevelType w:val="hybridMultilevel"/>
    <w:tmpl w:val="553662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946F48"/>
    <w:multiLevelType w:val="hybridMultilevel"/>
    <w:tmpl w:val="BC8A7F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1E6EF7"/>
    <w:multiLevelType w:val="hybridMultilevel"/>
    <w:tmpl w:val="8EAAB7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308251">
    <w:abstractNumId w:val="0"/>
  </w:num>
  <w:num w:numId="2" w16cid:durableId="739062742">
    <w:abstractNumId w:val="2"/>
  </w:num>
  <w:num w:numId="3" w16cid:durableId="1665282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7E6"/>
    <w:rsid w:val="0005558A"/>
    <w:rsid w:val="00071BFE"/>
    <w:rsid w:val="000946A9"/>
    <w:rsid w:val="000E75F8"/>
    <w:rsid w:val="00137AEF"/>
    <w:rsid w:val="001B1662"/>
    <w:rsid w:val="00286167"/>
    <w:rsid w:val="002D3D5D"/>
    <w:rsid w:val="002E6F86"/>
    <w:rsid w:val="00312917"/>
    <w:rsid w:val="003319C1"/>
    <w:rsid w:val="003E253E"/>
    <w:rsid w:val="00401E04"/>
    <w:rsid w:val="004122F2"/>
    <w:rsid w:val="004148E7"/>
    <w:rsid w:val="004A107C"/>
    <w:rsid w:val="00593333"/>
    <w:rsid w:val="005A13F7"/>
    <w:rsid w:val="005B434C"/>
    <w:rsid w:val="006B0AD5"/>
    <w:rsid w:val="007D213B"/>
    <w:rsid w:val="00803C7C"/>
    <w:rsid w:val="008E67CD"/>
    <w:rsid w:val="00911F54"/>
    <w:rsid w:val="009A39CA"/>
    <w:rsid w:val="009B1F31"/>
    <w:rsid w:val="009D13C6"/>
    <w:rsid w:val="009D607B"/>
    <w:rsid w:val="00A57A1A"/>
    <w:rsid w:val="00AD1B93"/>
    <w:rsid w:val="00AD47E6"/>
    <w:rsid w:val="00B41E75"/>
    <w:rsid w:val="00B52217"/>
    <w:rsid w:val="00C100B8"/>
    <w:rsid w:val="00C17F7B"/>
    <w:rsid w:val="00C64CBD"/>
    <w:rsid w:val="00D24578"/>
    <w:rsid w:val="00D35E1F"/>
    <w:rsid w:val="00E86BEE"/>
    <w:rsid w:val="00EE6C88"/>
    <w:rsid w:val="00F3432C"/>
    <w:rsid w:val="00F73B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3E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7F7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17F7B"/>
    <w:pPr>
      <w:keepNext/>
      <w:keepLines/>
      <w:spacing w:before="400" w:after="120"/>
      <w:outlineLvl w:val="0"/>
    </w:pPr>
    <w:rPr>
      <w:b/>
      <w:sz w:val="28"/>
      <w:szCs w:val="40"/>
    </w:rPr>
  </w:style>
  <w:style w:type="paragraph" w:styleId="Heading2">
    <w:name w:val="heading 2"/>
    <w:basedOn w:val="Normal"/>
    <w:next w:val="Normal"/>
    <w:rsid w:val="00C17F7B"/>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17F7B"/>
    <w:rPr>
      <w:rFonts w:ascii="Times New Roman" w:hAnsi="Times New Roman"/>
      <w:b/>
      <w:color w:val="000000" w:themeColor="text1"/>
      <w:sz w:val="28"/>
      <w:szCs w:val="40"/>
    </w:rPr>
  </w:style>
  <w:style w:type="paragraph" w:styleId="Bibliography">
    <w:name w:val="Bibliography"/>
    <w:basedOn w:val="Normal"/>
    <w:next w:val="Normal"/>
    <w:uiPriority w:val="37"/>
    <w:unhideWhenUsed/>
    <w:rsid w:val="00C17F7B"/>
  </w:style>
  <w:style w:type="character" w:styleId="Hyperlink">
    <w:name w:val="Hyperlink"/>
    <w:basedOn w:val="DefaultParagraphFont"/>
    <w:uiPriority w:val="99"/>
    <w:unhideWhenUsed/>
    <w:rsid w:val="00C17F7B"/>
    <w:rPr>
      <w:color w:val="0000FF" w:themeColor="hyperlink"/>
      <w:u w:val="single"/>
    </w:rPr>
  </w:style>
  <w:style w:type="character" w:styleId="UnresolvedMention">
    <w:name w:val="Unresolved Mention"/>
    <w:basedOn w:val="DefaultParagraphFont"/>
    <w:uiPriority w:val="99"/>
    <w:semiHidden/>
    <w:unhideWhenUsed/>
    <w:rsid w:val="00C17F7B"/>
    <w:rPr>
      <w:color w:val="605E5C"/>
      <w:shd w:val="clear" w:color="auto" w:fill="E1DFDD"/>
    </w:rPr>
  </w:style>
  <w:style w:type="paragraph" w:styleId="ListParagraph">
    <w:name w:val="List Paragraph"/>
    <w:basedOn w:val="Normal"/>
    <w:uiPriority w:val="34"/>
    <w:qFormat/>
    <w:rsid w:val="000E75F8"/>
    <w:pPr>
      <w:ind w:left="720"/>
      <w:contextualSpacing/>
    </w:pPr>
  </w:style>
  <w:style w:type="paragraph" w:styleId="Header">
    <w:name w:val="header"/>
    <w:basedOn w:val="Normal"/>
    <w:link w:val="HeaderChar"/>
    <w:uiPriority w:val="99"/>
    <w:unhideWhenUsed/>
    <w:rsid w:val="000E75F8"/>
    <w:pPr>
      <w:tabs>
        <w:tab w:val="center" w:pos="4680"/>
        <w:tab w:val="right" w:pos="9360"/>
      </w:tabs>
      <w:spacing w:line="240" w:lineRule="auto"/>
    </w:pPr>
  </w:style>
  <w:style w:type="character" w:customStyle="1" w:styleId="HeaderChar">
    <w:name w:val="Header Char"/>
    <w:basedOn w:val="DefaultParagraphFont"/>
    <w:link w:val="Header"/>
    <w:uiPriority w:val="99"/>
    <w:rsid w:val="000E75F8"/>
    <w:rPr>
      <w:rFonts w:ascii="Times New Roman" w:hAnsi="Times New Roman"/>
      <w:color w:val="000000" w:themeColor="text1"/>
      <w:sz w:val="24"/>
    </w:rPr>
  </w:style>
  <w:style w:type="paragraph" w:styleId="Footer">
    <w:name w:val="footer"/>
    <w:basedOn w:val="Normal"/>
    <w:link w:val="FooterChar"/>
    <w:uiPriority w:val="99"/>
    <w:unhideWhenUsed/>
    <w:rsid w:val="000E75F8"/>
    <w:pPr>
      <w:tabs>
        <w:tab w:val="center" w:pos="4680"/>
        <w:tab w:val="right" w:pos="9360"/>
      </w:tabs>
      <w:spacing w:line="240" w:lineRule="auto"/>
    </w:pPr>
  </w:style>
  <w:style w:type="character" w:customStyle="1" w:styleId="FooterChar">
    <w:name w:val="Footer Char"/>
    <w:basedOn w:val="DefaultParagraphFont"/>
    <w:link w:val="Footer"/>
    <w:uiPriority w:val="99"/>
    <w:rsid w:val="000E75F8"/>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956810">
      <w:bodyDiv w:val="1"/>
      <w:marLeft w:val="0"/>
      <w:marRight w:val="0"/>
      <w:marTop w:val="0"/>
      <w:marBottom w:val="0"/>
      <w:divBdr>
        <w:top w:val="none" w:sz="0" w:space="0" w:color="auto"/>
        <w:left w:val="none" w:sz="0" w:space="0" w:color="auto"/>
        <w:bottom w:val="none" w:sz="0" w:space="0" w:color="auto"/>
        <w:right w:val="none" w:sz="0" w:space="0" w:color="auto"/>
      </w:divBdr>
    </w:div>
    <w:div w:id="1399326395">
      <w:bodyDiv w:val="1"/>
      <w:marLeft w:val="0"/>
      <w:marRight w:val="0"/>
      <w:marTop w:val="0"/>
      <w:marBottom w:val="0"/>
      <w:divBdr>
        <w:top w:val="none" w:sz="0" w:space="0" w:color="auto"/>
        <w:left w:val="none" w:sz="0" w:space="0" w:color="auto"/>
        <w:bottom w:val="none" w:sz="0" w:space="0" w:color="auto"/>
        <w:right w:val="none" w:sz="0" w:space="0" w:color="auto"/>
      </w:divBdr>
    </w:div>
    <w:div w:id="1477722725">
      <w:bodyDiv w:val="1"/>
      <w:marLeft w:val="0"/>
      <w:marRight w:val="0"/>
      <w:marTop w:val="0"/>
      <w:marBottom w:val="0"/>
      <w:divBdr>
        <w:top w:val="none" w:sz="0" w:space="0" w:color="auto"/>
        <w:left w:val="none" w:sz="0" w:space="0" w:color="auto"/>
        <w:bottom w:val="none" w:sz="0" w:space="0" w:color="auto"/>
        <w:right w:val="none" w:sz="0" w:space="0" w:color="auto"/>
      </w:divBdr>
    </w:div>
    <w:div w:id="1681469173">
      <w:bodyDiv w:val="1"/>
      <w:marLeft w:val="0"/>
      <w:marRight w:val="0"/>
      <w:marTop w:val="0"/>
      <w:marBottom w:val="0"/>
      <w:divBdr>
        <w:top w:val="none" w:sz="0" w:space="0" w:color="auto"/>
        <w:left w:val="none" w:sz="0" w:space="0" w:color="auto"/>
        <w:bottom w:val="none" w:sz="0" w:space="0" w:color="auto"/>
        <w:right w:val="none" w:sz="0" w:space="0" w:color="auto"/>
      </w:divBdr>
    </w:div>
    <w:div w:id="1875923026">
      <w:bodyDiv w:val="1"/>
      <w:marLeft w:val="0"/>
      <w:marRight w:val="0"/>
      <w:marTop w:val="0"/>
      <w:marBottom w:val="0"/>
      <w:divBdr>
        <w:top w:val="none" w:sz="0" w:space="0" w:color="auto"/>
        <w:left w:val="none" w:sz="0" w:space="0" w:color="auto"/>
        <w:bottom w:val="none" w:sz="0" w:space="0" w:color="auto"/>
        <w:right w:val="none" w:sz="0" w:space="0" w:color="auto"/>
      </w:divBdr>
    </w:div>
    <w:div w:id="18917222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sv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One25</b:Tag>
    <b:SourceType>InternetSite</b:SourceType>
    <b:Guid>{73C2D51E-76AB-4EC2-A653-9A3CC82FFD8C}</b:Guid>
    <b:Author>
      <b:Author>
        <b:Corporate>Onemoorgateplace</b:Corporate>
      </b:Author>
    </b:Author>
    <b:Title>About One Moorgate Place</b:Title>
    <b:Year>2025</b:Year>
    <b:YearAccessed>2025</b:YearAccessed>
    <b:MonthAccessed>January</b:MonthAccessed>
    <b:DayAccessed>10</b:DayAccessed>
    <b:URL>https://www.onemoorgateplace.com/</b:URL>
    <b:RefOrder>1</b:RefOrder>
  </b:Source>
  <b:Source>
    <b:Tag>Eco241</b:Tag>
    <b:SourceType>InternetSite</b:SourceType>
    <b:Guid>{221F9764-B7B2-4BD0-BA74-48244CDEB86C}</b:Guid>
    <b:Author>
      <b:Author>
        <b:Corporate>Economictimes</b:Corporate>
      </b:Author>
    </b:Author>
    <b:Title>A triumphant gathering: 2nd ET MICE &amp; Wedding Tourism Summit &amp; Awards</b:Title>
    <b:Year>2024</b:Year>
    <b:YearAccessed>2025</b:YearAccessed>
    <b:MonthAccessed>January</b:MonthAccessed>
    <b:DayAccessed>11</b:DayAccessed>
    <b:URL>https://travel.economictimes.indiatimes.com/news/events/domestic/a-triumphant-gathering-2nd-et-mice-wedding-tourism-summit-awards-brings-together-industry/111356447</b:URL>
    <b:RefOrder>2</b:RefOrder>
  </b:Source>
</b:Sources>
</file>

<file path=customXml/itemProps1.xml><?xml version="1.0" encoding="utf-8"?>
<ds:datastoreItem xmlns:ds="http://schemas.openxmlformats.org/officeDocument/2006/customXml" ds:itemID="{58CD4469-D85E-4C30-A230-DDCE6D5E0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1937</Words>
  <Characters>11044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2025-01-24T16:01:00Z</dcterms:created>
  <dcterms:modified xsi:type="dcterms:W3CDTF">2025-02-04T12:11:00Z</dcterms:modified>
</cp:coreProperties>
</file>