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C8433" w14:textId="5B7AC917" w:rsidR="00E143F9" w:rsidRPr="00E143F9" w:rsidRDefault="00E143F9" w:rsidP="00053DFA">
      <w:pPr>
        <w:jc w:val="center"/>
        <w:rPr>
          <w:rFonts w:ascii="Times New Roman" w:hAnsi="Times New Roman" w:cs="Times New Roman"/>
          <w:b/>
          <w:color w:val="000000" w:themeColor="text1"/>
          <w:sz w:val="44"/>
          <w:szCs w:val="44"/>
        </w:rPr>
      </w:pPr>
      <w:r w:rsidRPr="00E143F9">
        <w:rPr>
          <w:color w:val="000000" w:themeColor="text1"/>
        </w:rPr>
        <w:fldChar w:fldCharType="begin"/>
      </w:r>
      <w:r w:rsidRPr="00E143F9">
        <w:rPr>
          <w:color w:val="000000" w:themeColor="text1"/>
        </w:rPr>
        <w:instrText xml:space="preserve"> INCLUDEPICTURE "/Users/kotesh/Library/Group Containers/UBF8T346G9.ms/WebArchiveCopyPasteTempFiles/com.microsoft.Word/Copy-of-UWTSD.jpg" \* MERGEFORMATINET </w:instrText>
      </w:r>
      <w:r w:rsidRPr="00E143F9">
        <w:rPr>
          <w:color w:val="000000" w:themeColor="text1"/>
        </w:rPr>
        <w:fldChar w:fldCharType="separate"/>
      </w:r>
      <w:r w:rsidRPr="00E143F9">
        <w:rPr>
          <w:noProof/>
          <w:color w:val="000000" w:themeColor="text1"/>
        </w:rPr>
        <w:drawing>
          <wp:inline distT="0" distB="0" distL="0" distR="0" wp14:anchorId="1081582B" wp14:editId="13F738CD">
            <wp:extent cx="5777892" cy="2743200"/>
            <wp:effectExtent l="0" t="0" r="635" b="0"/>
            <wp:docPr id="1206648320" name="Picture 3"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78997" cy="2838680"/>
                    </a:xfrm>
                    <a:prstGeom prst="rect">
                      <a:avLst/>
                    </a:prstGeom>
                    <a:noFill/>
                    <a:ln>
                      <a:noFill/>
                    </a:ln>
                  </pic:spPr>
                </pic:pic>
              </a:graphicData>
            </a:graphic>
          </wp:inline>
        </w:drawing>
      </w:r>
      <w:r w:rsidRPr="00E143F9">
        <w:rPr>
          <w:color w:val="000000" w:themeColor="text1"/>
        </w:rPr>
        <w:fldChar w:fldCharType="end"/>
      </w:r>
    </w:p>
    <w:p w14:paraId="5F24ACAE" w14:textId="77777777" w:rsidR="0047190E" w:rsidRDefault="0047190E" w:rsidP="00053DFA">
      <w:pPr>
        <w:jc w:val="center"/>
        <w:rPr>
          <w:rFonts w:ascii="Times New Roman" w:hAnsi="Times New Roman" w:cs="Times New Roman"/>
          <w:b/>
          <w:color w:val="000000" w:themeColor="text1"/>
          <w:sz w:val="44"/>
          <w:szCs w:val="44"/>
        </w:rPr>
      </w:pPr>
    </w:p>
    <w:p w14:paraId="45257DBB" w14:textId="4A555237" w:rsidR="0047190E" w:rsidRPr="0047190E" w:rsidRDefault="0047190E" w:rsidP="0047190E">
      <w:pPr>
        <w:jc w:val="center"/>
        <w:rPr>
          <w:rFonts w:ascii="Times New Roman" w:hAnsi="Times New Roman" w:cs="Times New Roman"/>
          <w:b/>
          <w:color w:val="000000" w:themeColor="text1"/>
          <w:sz w:val="44"/>
          <w:szCs w:val="44"/>
        </w:rPr>
      </w:pPr>
      <w:r w:rsidRPr="0047190E">
        <w:rPr>
          <w:rFonts w:ascii="Times New Roman" w:hAnsi="Times New Roman" w:cs="Times New Roman"/>
          <w:b/>
          <w:color w:val="000000" w:themeColor="text1"/>
          <w:sz w:val="44"/>
          <w:szCs w:val="44"/>
        </w:rPr>
        <w:t>MODULE</w:t>
      </w:r>
    </w:p>
    <w:p w14:paraId="26D98D48" w14:textId="6651F8BB" w:rsidR="00E143F9" w:rsidRPr="0047190E" w:rsidRDefault="0047190E" w:rsidP="0047190E">
      <w:pPr>
        <w:jc w:val="center"/>
        <w:rPr>
          <w:rFonts w:ascii="Times New Roman" w:hAnsi="Times New Roman" w:cs="Times New Roman"/>
          <w:b/>
          <w:color w:val="000000" w:themeColor="text1"/>
          <w:sz w:val="52"/>
          <w:szCs w:val="52"/>
          <w:u w:val="single"/>
        </w:rPr>
      </w:pPr>
      <w:r w:rsidRPr="0047190E">
        <w:rPr>
          <w:rFonts w:ascii="Times New Roman" w:hAnsi="Times New Roman" w:cs="Times New Roman"/>
          <w:b/>
          <w:color w:val="000000" w:themeColor="text1"/>
          <w:sz w:val="52"/>
          <w:szCs w:val="52"/>
          <w:u w:val="single"/>
        </w:rPr>
        <w:t xml:space="preserve">LCMB7012 - </w:t>
      </w:r>
      <w:r w:rsidR="00053DFA" w:rsidRPr="0047190E">
        <w:rPr>
          <w:rFonts w:ascii="Times New Roman" w:hAnsi="Times New Roman" w:cs="Times New Roman"/>
          <w:b/>
          <w:color w:val="000000" w:themeColor="text1"/>
          <w:sz w:val="52"/>
          <w:szCs w:val="52"/>
          <w:u w:val="single"/>
        </w:rPr>
        <w:t>Banking Financial Management and Financial Markets</w:t>
      </w:r>
    </w:p>
    <w:p w14:paraId="41486AF0" w14:textId="77777777" w:rsidR="00E143F9" w:rsidRDefault="00E143F9" w:rsidP="0047190E">
      <w:pPr>
        <w:rPr>
          <w:rFonts w:ascii="Times New Roman" w:hAnsi="Times New Roman" w:cs="Times New Roman"/>
          <w:b/>
          <w:color w:val="000000" w:themeColor="text1"/>
          <w:sz w:val="36"/>
          <w:szCs w:val="36"/>
        </w:rPr>
      </w:pPr>
    </w:p>
    <w:p w14:paraId="645C970B" w14:textId="77777777" w:rsidR="0047190E" w:rsidRDefault="0047190E" w:rsidP="0047190E">
      <w:pPr>
        <w:rPr>
          <w:rFonts w:ascii="Times New Roman" w:hAnsi="Times New Roman" w:cs="Times New Roman"/>
          <w:b/>
          <w:color w:val="000000" w:themeColor="text1"/>
          <w:sz w:val="36"/>
          <w:szCs w:val="36"/>
        </w:rPr>
      </w:pPr>
    </w:p>
    <w:p w14:paraId="5887E4D2" w14:textId="77777777" w:rsidR="0047190E" w:rsidRPr="0047190E" w:rsidRDefault="0047190E" w:rsidP="0047190E">
      <w:pPr>
        <w:rPr>
          <w:rFonts w:ascii="Times New Roman" w:hAnsi="Times New Roman" w:cs="Times New Roman"/>
          <w:b/>
          <w:color w:val="000000" w:themeColor="text1"/>
          <w:sz w:val="44"/>
          <w:szCs w:val="44"/>
        </w:rPr>
      </w:pPr>
    </w:p>
    <w:p w14:paraId="09F57952" w14:textId="77777777" w:rsidR="00E143F9" w:rsidRPr="0047190E" w:rsidRDefault="00E143F9" w:rsidP="0047190E">
      <w:pPr>
        <w:jc w:val="center"/>
        <w:rPr>
          <w:rFonts w:ascii="Times New Roman" w:hAnsi="Times New Roman" w:cs="Times New Roman"/>
          <w:b/>
          <w:color w:val="000000" w:themeColor="text1"/>
          <w:sz w:val="44"/>
          <w:szCs w:val="44"/>
        </w:rPr>
      </w:pPr>
    </w:p>
    <w:p w14:paraId="72BDF73A" w14:textId="77777777" w:rsidR="00E143F9" w:rsidRPr="0047190E" w:rsidRDefault="00E143F9" w:rsidP="0047190E">
      <w:pPr>
        <w:jc w:val="center"/>
        <w:rPr>
          <w:rFonts w:ascii="Times New Roman" w:hAnsi="Times New Roman" w:cs="Times New Roman"/>
          <w:b/>
          <w:color w:val="000000" w:themeColor="text1"/>
          <w:sz w:val="44"/>
          <w:szCs w:val="44"/>
        </w:rPr>
      </w:pPr>
      <w:r w:rsidRPr="0047190E">
        <w:rPr>
          <w:rFonts w:ascii="Times New Roman" w:hAnsi="Times New Roman" w:cs="Times New Roman"/>
          <w:b/>
          <w:color w:val="000000" w:themeColor="text1"/>
          <w:sz w:val="44"/>
          <w:szCs w:val="44"/>
        </w:rPr>
        <w:t>Name: Koteshwar Reddy Mudireddy</w:t>
      </w:r>
    </w:p>
    <w:p w14:paraId="0C092206" w14:textId="620BEBB5" w:rsidR="00053DFA" w:rsidRPr="0047190E" w:rsidRDefault="00E143F9" w:rsidP="0047190E">
      <w:pPr>
        <w:jc w:val="center"/>
        <w:rPr>
          <w:rFonts w:ascii="Times New Roman" w:hAnsi="Times New Roman" w:cs="Times New Roman"/>
          <w:b/>
          <w:color w:val="000000" w:themeColor="text1"/>
          <w:sz w:val="48"/>
          <w:szCs w:val="48"/>
        </w:rPr>
      </w:pPr>
      <w:r w:rsidRPr="0047190E">
        <w:rPr>
          <w:rFonts w:ascii="Times New Roman" w:hAnsi="Times New Roman" w:cs="Times New Roman"/>
          <w:b/>
          <w:color w:val="000000" w:themeColor="text1"/>
          <w:sz w:val="44"/>
          <w:szCs w:val="44"/>
        </w:rPr>
        <w:t xml:space="preserve">Student </w:t>
      </w:r>
      <w:r w:rsidR="0047190E" w:rsidRPr="0047190E">
        <w:rPr>
          <w:rFonts w:ascii="Times New Roman" w:hAnsi="Times New Roman" w:cs="Times New Roman"/>
          <w:b/>
          <w:color w:val="000000" w:themeColor="text1"/>
          <w:sz w:val="44"/>
          <w:szCs w:val="44"/>
        </w:rPr>
        <w:t>Id</w:t>
      </w:r>
      <w:r w:rsidRPr="0047190E">
        <w:rPr>
          <w:rFonts w:ascii="Times New Roman" w:hAnsi="Times New Roman" w:cs="Times New Roman"/>
          <w:b/>
          <w:color w:val="000000" w:themeColor="text1"/>
          <w:sz w:val="44"/>
          <w:szCs w:val="44"/>
        </w:rPr>
        <w:t>:</w:t>
      </w:r>
      <w:r w:rsidR="0047190E" w:rsidRPr="0047190E">
        <w:rPr>
          <w:rFonts w:ascii="Times New Roman" w:hAnsi="Times New Roman" w:cs="Times New Roman"/>
          <w:b/>
          <w:color w:val="000000" w:themeColor="text1"/>
          <w:sz w:val="44"/>
          <w:szCs w:val="44"/>
        </w:rPr>
        <w:t xml:space="preserve"> </w:t>
      </w:r>
      <w:r w:rsidRPr="0047190E">
        <w:rPr>
          <w:rFonts w:ascii="Times New Roman" w:hAnsi="Times New Roman" w:cs="Times New Roman"/>
          <w:b/>
          <w:color w:val="000000" w:themeColor="text1"/>
          <w:sz w:val="44"/>
          <w:szCs w:val="44"/>
        </w:rPr>
        <w:t>2216776</w:t>
      </w:r>
      <w:r w:rsidR="00053DFA" w:rsidRPr="0047190E">
        <w:rPr>
          <w:rFonts w:ascii="Times New Roman" w:hAnsi="Times New Roman" w:cs="Times New Roman"/>
          <w:b/>
          <w:color w:val="000000" w:themeColor="text1"/>
          <w:sz w:val="48"/>
          <w:szCs w:val="48"/>
        </w:rPr>
        <w:br w:type="page"/>
      </w:r>
    </w:p>
    <w:sdt>
      <w:sdtPr>
        <w:rPr>
          <w:rFonts w:asciiTheme="minorHAnsi" w:eastAsiaTheme="minorHAnsi" w:hAnsiTheme="minorHAnsi" w:cstheme="minorBidi"/>
          <w:b w:val="0"/>
          <w:bCs w:val="0"/>
          <w:color w:val="000000" w:themeColor="text1"/>
          <w:sz w:val="22"/>
          <w:szCs w:val="22"/>
          <w:lang w:val="en-IN" w:eastAsia="en-US"/>
        </w:rPr>
        <w:id w:val="651949542"/>
        <w:docPartObj>
          <w:docPartGallery w:val="Table of Contents"/>
          <w:docPartUnique/>
        </w:docPartObj>
      </w:sdtPr>
      <w:sdtEndPr>
        <w:rPr>
          <w:noProof/>
        </w:rPr>
      </w:sdtEndPr>
      <w:sdtContent>
        <w:p w14:paraId="556AFB86" w14:textId="77777777" w:rsidR="00053DFA" w:rsidRPr="00E143F9" w:rsidRDefault="00053DFA" w:rsidP="00C62352">
          <w:pPr>
            <w:pStyle w:val="TOCHeading"/>
            <w:jc w:val="center"/>
            <w:rPr>
              <w:color w:val="000000" w:themeColor="text1"/>
            </w:rPr>
          </w:pPr>
          <w:r w:rsidRPr="00E143F9">
            <w:rPr>
              <w:color w:val="000000" w:themeColor="text1"/>
            </w:rPr>
            <w:t>Contents</w:t>
          </w:r>
        </w:p>
        <w:p w14:paraId="1947D045" w14:textId="523C3EC1" w:rsidR="006667D4" w:rsidRPr="00E143F9" w:rsidRDefault="00053DFA">
          <w:pPr>
            <w:pStyle w:val="TOC1"/>
            <w:tabs>
              <w:tab w:val="right" w:leader="dot" w:pos="9016"/>
            </w:tabs>
            <w:rPr>
              <w:rFonts w:eastAsiaTheme="minorEastAsia"/>
              <w:noProof/>
              <w:color w:val="000000" w:themeColor="text1"/>
              <w:kern w:val="2"/>
              <w:sz w:val="24"/>
              <w:szCs w:val="24"/>
              <w:lang w:eastAsia="en-GB"/>
              <w14:ligatures w14:val="standardContextual"/>
            </w:rPr>
          </w:pPr>
          <w:r w:rsidRPr="00E143F9">
            <w:rPr>
              <w:color w:val="000000" w:themeColor="text1"/>
            </w:rPr>
            <w:fldChar w:fldCharType="begin"/>
          </w:r>
          <w:r w:rsidRPr="00E143F9">
            <w:rPr>
              <w:color w:val="000000" w:themeColor="text1"/>
            </w:rPr>
            <w:instrText xml:space="preserve"> TOC \o "1-3" \h \z \u </w:instrText>
          </w:r>
          <w:r w:rsidRPr="00E143F9">
            <w:rPr>
              <w:color w:val="000000" w:themeColor="text1"/>
            </w:rPr>
            <w:fldChar w:fldCharType="separate"/>
          </w:r>
          <w:hyperlink w:anchor="_Toc133317360" w:history="1">
            <w:r w:rsidR="006667D4" w:rsidRPr="00E143F9">
              <w:rPr>
                <w:rStyle w:val="Hyperlink"/>
                <w:rFonts w:ascii="Times New Roman" w:hAnsi="Times New Roman" w:cs="Times New Roman"/>
                <w:noProof/>
                <w:color w:val="000000" w:themeColor="text1"/>
              </w:rPr>
              <w:t>Introduction</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_Toc133317360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3</w:t>
            </w:r>
            <w:r w:rsidR="006667D4" w:rsidRPr="00E143F9">
              <w:rPr>
                <w:noProof/>
                <w:webHidden/>
                <w:color w:val="000000" w:themeColor="text1"/>
              </w:rPr>
              <w:fldChar w:fldCharType="end"/>
            </w:r>
          </w:hyperlink>
        </w:p>
        <w:p w14:paraId="730DB2D1" w14:textId="5115CECC"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1" w:history="1">
            <w:r w:rsidR="006667D4" w:rsidRPr="00E143F9">
              <w:rPr>
                <w:rStyle w:val="Hyperlink"/>
                <w:rFonts w:ascii="Times New Roman" w:hAnsi="Times New Roman" w:cs="Times New Roman"/>
                <w:noProof/>
                <w:color w:val="000000" w:themeColor="text1"/>
              </w:rPr>
              <w:t>Main Body</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_Toc133317361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3</w:t>
            </w:r>
            <w:r w:rsidR="006667D4" w:rsidRPr="00E143F9">
              <w:rPr>
                <w:noProof/>
                <w:webHidden/>
                <w:color w:val="000000" w:themeColor="text1"/>
              </w:rPr>
              <w:fldChar w:fldCharType="end"/>
            </w:r>
          </w:hyperlink>
        </w:p>
        <w:p w14:paraId="6F91EE44" w14:textId="012D713B"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2" w:history="1">
            <w:r w:rsidR="006667D4" w:rsidRPr="00E143F9">
              <w:rPr>
                <w:rStyle w:val="Hyperlink"/>
                <w:noProof/>
                <w:color w:val="000000" w:themeColor="text1"/>
              </w:rPr>
              <w:t>Key laws, regulations and contracts, enacted post the 2008 financial crises by the EU authorities</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_Toc133317362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3</w:t>
            </w:r>
            <w:r w:rsidR="006667D4" w:rsidRPr="00E143F9">
              <w:rPr>
                <w:noProof/>
                <w:webHidden/>
                <w:color w:val="000000" w:themeColor="text1"/>
              </w:rPr>
              <w:fldChar w:fldCharType="end"/>
            </w:r>
          </w:hyperlink>
        </w:p>
        <w:p w14:paraId="4C6E87BC" w14:textId="10F81A0A"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3" w:history="1">
            <w:r w:rsidR="006667D4" w:rsidRPr="00E143F9">
              <w:rPr>
                <w:rStyle w:val="Hyperlink"/>
                <w:noProof/>
                <w:color w:val="000000" w:themeColor="text1"/>
              </w:rPr>
              <w:t>EMIR (European Market Infrastructure Regulation):</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_Toc133317363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5</w:t>
            </w:r>
            <w:r w:rsidR="006667D4" w:rsidRPr="00E143F9">
              <w:rPr>
                <w:noProof/>
                <w:webHidden/>
                <w:color w:val="000000" w:themeColor="text1"/>
              </w:rPr>
              <w:fldChar w:fldCharType="end"/>
            </w:r>
          </w:hyperlink>
        </w:p>
        <w:p w14:paraId="475A19D4" w14:textId="2B7BE658"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4" w:history="1">
            <w:r w:rsidR="006667D4" w:rsidRPr="00E143F9">
              <w:rPr>
                <w:rStyle w:val="Hyperlink"/>
                <w:noProof/>
                <w:color w:val="000000" w:themeColor="text1"/>
              </w:rPr>
              <w:t>ESRB (European Systemic Risk Board):</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_Toc133317364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5</w:t>
            </w:r>
            <w:r w:rsidR="006667D4" w:rsidRPr="00E143F9">
              <w:rPr>
                <w:noProof/>
                <w:webHidden/>
                <w:color w:val="000000" w:themeColor="text1"/>
              </w:rPr>
              <w:fldChar w:fldCharType="end"/>
            </w:r>
          </w:hyperlink>
        </w:p>
        <w:p w14:paraId="669DAE62" w14:textId="570BA8C3" w:rsidR="006667D4" w:rsidRPr="00E143F9" w:rsidRDefault="00000000">
          <w:pPr>
            <w:pStyle w:val="TOC2"/>
            <w:tabs>
              <w:tab w:val="right" w:leader="dot" w:pos="9016"/>
            </w:tabs>
            <w:rPr>
              <w:noProof/>
              <w:color w:val="000000" w:themeColor="text1"/>
            </w:rPr>
          </w:pPr>
          <w:hyperlink w:anchor="_Toc133317365" w:history="1">
            <w:r w:rsidR="006667D4" w:rsidRPr="00E143F9">
              <w:rPr>
                <w:rStyle w:val="Hyperlink"/>
                <w:noProof/>
                <w:color w:val="000000" w:themeColor="text1"/>
              </w:rPr>
              <w:t>Base III:</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_Toc133317365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5</w:t>
            </w:r>
            <w:r w:rsidR="006667D4" w:rsidRPr="00E143F9">
              <w:rPr>
                <w:noProof/>
                <w:webHidden/>
                <w:color w:val="000000" w:themeColor="text1"/>
              </w:rPr>
              <w:fldChar w:fldCharType="end"/>
            </w:r>
          </w:hyperlink>
        </w:p>
        <w:p w14:paraId="4A37D3AC" w14:textId="65886D65"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6" w:history="1">
            <w:r w:rsidR="006667D4" w:rsidRPr="00E143F9">
              <w:rPr>
                <w:rStyle w:val="Hyperlink"/>
                <w:noProof/>
                <w:color w:val="000000" w:themeColor="text1"/>
              </w:rPr>
              <w:t>Capital Requirements Directive IV (CRD IV):</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_Toc133317366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6</w:t>
            </w:r>
            <w:r w:rsidR="006667D4" w:rsidRPr="00E143F9">
              <w:rPr>
                <w:noProof/>
                <w:webHidden/>
                <w:color w:val="000000" w:themeColor="text1"/>
              </w:rPr>
              <w:fldChar w:fldCharType="end"/>
            </w:r>
          </w:hyperlink>
        </w:p>
        <w:p w14:paraId="5AC040CE" w14:textId="5A610E97"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7" w:history="1">
            <w:r w:rsidR="006667D4" w:rsidRPr="00E143F9">
              <w:rPr>
                <w:rStyle w:val="Hyperlink"/>
                <w:noProof/>
                <w:color w:val="000000" w:themeColor="text1"/>
              </w:rPr>
              <w:t>EFSF (European Financial Stability Facility):</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_Toc133317367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6</w:t>
            </w:r>
            <w:r w:rsidR="006667D4" w:rsidRPr="00E143F9">
              <w:rPr>
                <w:noProof/>
                <w:webHidden/>
                <w:color w:val="000000" w:themeColor="text1"/>
              </w:rPr>
              <w:fldChar w:fldCharType="end"/>
            </w:r>
          </w:hyperlink>
        </w:p>
        <w:p w14:paraId="1C82F814" w14:textId="0D069736"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8" w:history="1">
            <w:r w:rsidR="006667D4" w:rsidRPr="00E143F9">
              <w:rPr>
                <w:rStyle w:val="Hyperlink"/>
                <w:noProof/>
                <w:color w:val="000000" w:themeColor="text1"/>
              </w:rPr>
              <w:t>MoU (Memorandum of Understanding):</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_Toc133317368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6</w:t>
            </w:r>
            <w:r w:rsidR="006667D4" w:rsidRPr="00E143F9">
              <w:rPr>
                <w:noProof/>
                <w:webHidden/>
                <w:color w:val="000000" w:themeColor="text1"/>
              </w:rPr>
              <w:fldChar w:fldCharType="end"/>
            </w:r>
          </w:hyperlink>
        </w:p>
        <w:p w14:paraId="6773D78D" w14:textId="38924F7B"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69" w:history="1">
            <w:r w:rsidR="006667D4" w:rsidRPr="00E143F9">
              <w:rPr>
                <w:rStyle w:val="Hyperlink"/>
                <w:noProof/>
                <w:color w:val="000000" w:themeColor="text1"/>
              </w:rPr>
              <w:t>ESM (European Stability Mechanism):</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_Toc133317369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6</w:t>
            </w:r>
            <w:r w:rsidR="006667D4" w:rsidRPr="00E143F9">
              <w:rPr>
                <w:noProof/>
                <w:webHidden/>
                <w:color w:val="000000" w:themeColor="text1"/>
              </w:rPr>
              <w:fldChar w:fldCharType="end"/>
            </w:r>
          </w:hyperlink>
        </w:p>
        <w:p w14:paraId="62213694" w14:textId="5609CADD"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0" w:history="1">
            <w:r w:rsidR="006667D4" w:rsidRPr="00E143F9">
              <w:rPr>
                <w:rStyle w:val="Hyperlink"/>
                <w:noProof/>
                <w:color w:val="000000" w:themeColor="text1"/>
              </w:rPr>
              <w:t>Bank Recapitalisation Contract:</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_Toc133317370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7</w:t>
            </w:r>
            <w:r w:rsidR="006667D4" w:rsidRPr="00E143F9">
              <w:rPr>
                <w:noProof/>
                <w:webHidden/>
                <w:color w:val="000000" w:themeColor="text1"/>
              </w:rPr>
              <w:fldChar w:fldCharType="end"/>
            </w:r>
          </w:hyperlink>
        </w:p>
        <w:p w14:paraId="2F37BD5C" w14:textId="343527C4"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1" w:history="1">
            <w:r w:rsidR="006667D4" w:rsidRPr="00E143F9">
              <w:rPr>
                <w:rStyle w:val="Hyperlink"/>
                <w:noProof/>
                <w:color w:val="000000" w:themeColor="text1"/>
              </w:rPr>
              <w:t>Key Players in the Financial System to End the Crises in the EU</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_Toc133317371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7</w:t>
            </w:r>
            <w:r w:rsidR="006667D4" w:rsidRPr="00E143F9">
              <w:rPr>
                <w:noProof/>
                <w:webHidden/>
                <w:color w:val="000000" w:themeColor="text1"/>
              </w:rPr>
              <w:fldChar w:fldCharType="end"/>
            </w:r>
          </w:hyperlink>
        </w:p>
        <w:p w14:paraId="086833FD" w14:textId="6EF71246"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2" w:history="1">
            <w:r w:rsidR="006667D4" w:rsidRPr="00E143F9">
              <w:rPr>
                <w:rStyle w:val="Hyperlink"/>
                <w:noProof/>
                <w:color w:val="000000" w:themeColor="text1"/>
                <w:shd w:val="clear" w:color="auto" w:fill="FFFFFF"/>
              </w:rPr>
              <w:t>ECB (European Central Bank)</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_Toc133317372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7</w:t>
            </w:r>
            <w:r w:rsidR="006667D4" w:rsidRPr="00E143F9">
              <w:rPr>
                <w:noProof/>
                <w:webHidden/>
                <w:color w:val="000000" w:themeColor="text1"/>
              </w:rPr>
              <w:fldChar w:fldCharType="end"/>
            </w:r>
          </w:hyperlink>
        </w:p>
        <w:p w14:paraId="209F21EA" w14:textId="7C02D817"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3" w:history="1">
            <w:r w:rsidR="006667D4" w:rsidRPr="00E143F9">
              <w:rPr>
                <w:rStyle w:val="Hyperlink"/>
                <w:noProof/>
                <w:color w:val="000000" w:themeColor="text1"/>
              </w:rPr>
              <w:t>International Monetary Fund (IMF)</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_Toc133317373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7</w:t>
            </w:r>
            <w:r w:rsidR="006667D4" w:rsidRPr="00E143F9">
              <w:rPr>
                <w:noProof/>
                <w:webHidden/>
                <w:color w:val="000000" w:themeColor="text1"/>
              </w:rPr>
              <w:fldChar w:fldCharType="end"/>
            </w:r>
          </w:hyperlink>
        </w:p>
        <w:p w14:paraId="13E4DFE8" w14:textId="44486D7E"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4" w:history="1">
            <w:r w:rsidR="006667D4" w:rsidRPr="00E143F9">
              <w:rPr>
                <w:rStyle w:val="Hyperlink"/>
                <w:noProof/>
                <w:color w:val="000000" w:themeColor="text1"/>
              </w:rPr>
              <w:t>European Banking Authority (EBA)</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_Toc133317374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7</w:t>
            </w:r>
            <w:r w:rsidR="006667D4" w:rsidRPr="00E143F9">
              <w:rPr>
                <w:noProof/>
                <w:webHidden/>
                <w:color w:val="000000" w:themeColor="text1"/>
              </w:rPr>
              <w:fldChar w:fldCharType="end"/>
            </w:r>
          </w:hyperlink>
        </w:p>
        <w:p w14:paraId="4E6E8F36" w14:textId="673125AC"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5" w:history="1">
            <w:r w:rsidR="006667D4" w:rsidRPr="00E143F9">
              <w:rPr>
                <w:rStyle w:val="Hyperlink"/>
                <w:noProof/>
                <w:color w:val="000000" w:themeColor="text1"/>
              </w:rPr>
              <w:t>European Securities and Markets Authority (ESMA)</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_Toc133317375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7</w:t>
            </w:r>
            <w:r w:rsidR="006667D4" w:rsidRPr="00E143F9">
              <w:rPr>
                <w:noProof/>
                <w:webHidden/>
                <w:color w:val="000000" w:themeColor="text1"/>
              </w:rPr>
              <w:fldChar w:fldCharType="end"/>
            </w:r>
          </w:hyperlink>
        </w:p>
        <w:p w14:paraId="0278F2D9" w14:textId="2BE458F8"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6" w:history="1">
            <w:r w:rsidR="006667D4" w:rsidRPr="00E143F9">
              <w:rPr>
                <w:rStyle w:val="Hyperlink"/>
                <w:noProof/>
                <w:color w:val="000000" w:themeColor="text1"/>
              </w:rPr>
              <w:t>Impact of the Financial Reforms on the Business Model of Unilever PLC</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_Toc133317376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11</w:t>
            </w:r>
            <w:r w:rsidR="006667D4" w:rsidRPr="00E143F9">
              <w:rPr>
                <w:noProof/>
                <w:webHidden/>
                <w:color w:val="000000" w:themeColor="text1"/>
              </w:rPr>
              <w:fldChar w:fldCharType="end"/>
            </w:r>
          </w:hyperlink>
        </w:p>
        <w:p w14:paraId="75091558" w14:textId="44A66015"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7" w:history="1">
            <w:r w:rsidR="006667D4" w:rsidRPr="00E143F9">
              <w:rPr>
                <w:rStyle w:val="Hyperlink"/>
                <w:noProof/>
                <w:color w:val="000000" w:themeColor="text1"/>
              </w:rPr>
              <w:t>Increased Expense for Compliance</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_Toc133317377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11</w:t>
            </w:r>
            <w:r w:rsidR="006667D4" w:rsidRPr="00E143F9">
              <w:rPr>
                <w:noProof/>
                <w:webHidden/>
                <w:color w:val="000000" w:themeColor="text1"/>
              </w:rPr>
              <w:fldChar w:fldCharType="end"/>
            </w:r>
          </w:hyperlink>
        </w:p>
        <w:p w14:paraId="7884B8BE" w14:textId="7B26944A"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8" w:history="1">
            <w:r w:rsidR="006667D4" w:rsidRPr="00E143F9">
              <w:rPr>
                <w:rStyle w:val="Hyperlink"/>
                <w:noProof/>
                <w:color w:val="000000" w:themeColor="text1"/>
              </w:rPr>
              <w:t>Financial Availability</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_Toc133317378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12</w:t>
            </w:r>
            <w:r w:rsidR="006667D4" w:rsidRPr="00E143F9">
              <w:rPr>
                <w:noProof/>
                <w:webHidden/>
                <w:color w:val="000000" w:themeColor="text1"/>
              </w:rPr>
              <w:fldChar w:fldCharType="end"/>
            </w:r>
          </w:hyperlink>
        </w:p>
        <w:p w14:paraId="16B057D3" w14:textId="52A43CFC"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79" w:history="1">
            <w:r w:rsidR="006667D4" w:rsidRPr="00E143F9">
              <w:rPr>
                <w:rStyle w:val="Hyperlink"/>
                <w:noProof/>
                <w:color w:val="000000" w:themeColor="text1"/>
              </w:rPr>
              <w:t>Sustainable Finance</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_Toc133317379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12</w:t>
            </w:r>
            <w:r w:rsidR="006667D4" w:rsidRPr="00E143F9">
              <w:rPr>
                <w:noProof/>
                <w:webHidden/>
                <w:color w:val="000000" w:themeColor="text1"/>
              </w:rPr>
              <w:fldChar w:fldCharType="end"/>
            </w:r>
          </w:hyperlink>
        </w:p>
        <w:p w14:paraId="0625E471" w14:textId="1D06136E"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80" w:history="1">
            <w:r w:rsidR="006667D4" w:rsidRPr="00E143F9">
              <w:rPr>
                <w:rStyle w:val="Hyperlink"/>
                <w:noProof/>
                <w:color w:val="000000" w:themeColor="text1"/>
              </w:rPr>
              <w:t>Unilever PLC's level of compliance/non-compliance to EU's financial reforms</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_Toc133317380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13</w:t>
            </w:r>
            <w:r w:rsidR="006667D4" w:rsidRPr="00E143F9">
              <w:rPr>
                <w:noProof/>
                <w:webHidden/>
                <w:color w:val="000000" w:themeColor="text1"/>
              </w:rPr>
              <w:fldChar w:fldCharType="end"/>
            </w:r>
          </w:hyperlink>
        </w:p>
        <w:p w14:paraId="76B96BA9" w14:textId="35009E42"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81" w:history="1">
            <w:r w:rsidR="006667D4" w:rsidRPr="00E143F9">
              <w:rPr>
                <w:rStyle w:val="Hyperlink"/>
                <w:rFonts w:ascii="Times New Roman" w:hAnsi="Times New Roman" w:cs="Times New Roman"/>
                <w:noProof/>
                <w:color w:val="000000" w:themeColor="text1"/>
              </w:rPr>
              <w:t>Conclusion</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_Toc133317381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15</w:t>
            </w:r>
            <w:r w:rsidR="006667D4" w:rsidRPr="00E143F9">
              <w:rPr>
                <w:noProof/>
                <w:webHidden/>
                <w:color w:val="000000" w:themeColor="text1"/>
              </w:rPr>
              <w:fldChar w:fldCharType="end"/>
            </w:r>
          </w:hyperlink>
        </w:p>
        <w:p w14:paraId="42641D78" w14:textId="63781D2D" w:rsidR="006667D4" w:rsidRPr="00E143F9" w:rsidRDefault="00000000">
          <w:pPr>
            <w:pStyle w:val="TOC1"/>
            <w:tabs>
              <w:tab w:val="right" w:leader="dot" w:pos="9016"/>
            </w:tabs>
            <w:rPr>
              <w:rFonts w:eastAsiaTheme="minorEastAsia"/>
              <w:noProof/>
              <w:color w:val="000000" w:themeColor="text1"/>
              <w:kern w:val="2"/>
              <w:sz w:val="24"/>
              <w:szCs w:val="24"/>
              <w:lang w:eastAsia="en-GB"/>
              <w14:ligatures w14:val="standardContextual"/>
            </w:rPr>
          </w:pPr>
          <w:hyperlink w:anchor="_Toc133317382" w:history="1">
            <w:r w:rsidR="006667D4" w:rsidRPr="00E143F9">
              <w:rPr>
                <w:rStyle w:val="Hyperlink"/>
                <w:rFonts w:ascii="Times New Roman" w:hAnsi="Times New Roman" w:cs="Times New Roman"/>
                <w:noProof/>
                <w:color w:val="000000" w:themeColor="text1"/>
              </w:rPr>
              <w:t>References</w:t>
            </w:r>
            <w:r w:rsidR="006667D4" w:rsidRPr="00E143F9">
              <w:rPr>
                <w:noProof/>
                <w:webHidden/>
                <w:color w:val="000000" w:themeColor="text1"/>
              </w:rPr>
              <w:tab/>
            </w:r>
            <w:r w:rsidR="006667D4" w:rsidRPr="00E143F9">
              <w:rPr>
                <w:noProof/>
                <w:webHidden/>
                <w:color w:val="000000" w:themeColor="text1"/>
              </w:rPr>
              <w:fldChar w:fldCharType="begin"/>
            </w:r>
            <w:r w:rsidR="006667D4" w:rsidRPr="00E143F9">
              <w:rPr>
                <w:noProof/>
                <w:webHidden/>
                <w:color w:val="000000" w:themeColor="text1"/>
              </w:rPr>
              <w:instrText xml:space="preserve"> PAGEREF _Toc133317382 \h </w:instrText>
            </w:r>
            <w:r w:rsidR="006667D4" w:rsidRPr="00E143F9">
              <w:rPr>
                <w:noProof/>
                <w:webHidden/>
                <w:color w:val="000000" w:themeColor="text1"/>
              </w:rPr>
            </w:r>
            <w:r w:rsidR="006667D4" w:rsidRPr="00E143F9">
              <w:rPr>
                <w:noProof/>
                <w:webHidden/>
                <w:color w:val="000000" w:themeColor="text1"/>
              </w:rPr>
              <w:fldChar w:fldCharType="separate"/>
            </w:r>
            <w:r w:rsidR="006667D4" w:rsidRPr="00E143F9">
              <w:rPr>
                <w:noProof/>
                <w:webHidden/>
                <w:color w:val="000000" w:themeColor="text1"/>
              </w:rPr>
              <w:t>17</w:t>
            </w:r>
            <w:r w:rsidR="006667D4" w:rsidRPr="00E143F9">
              <w:rPr>
                <w:noProof/>
                <w:webHidden/>
                <w:color w:val="000000" w:themeColor="text1"/>
              </w:rPr>
              <w:fldChar w:fldCharType="end"/>
            </w:r>
          </w:hyperlink>
        </w:p>
        <w:p w14:paraId="727058B6" w14:textId="15CB4DCD" w:rsidR="00053DFA" w:rsidRPr="00E143F9" w:rsidRDefault="00053DFA">
          <w:pPr>
            <w:rPr>
              <w:color w:val="000000" w:themeColor="text1"/>
            </w:rPr>
          </w:pPr>
          <w:r w:rsidRPr="00E143F9">
            <w:rPr>
              <w:b/>
              <w:bCs/>
              <w:noProof/>
              <w:color w:val="000000" w:themeColor="text1"/>
            </w:rPr>
            <w:fldChar w:fldCharType="end"/>
          </w:r>
        </w:p>
      </w:sdtContent>
    </w:sdt>
    <w:p w14:paraId="5B0823DE" w14:textId="77777777" w:rsidR="00053DFA" w:rsidRPr="00E143F9" w:rsidRDefault="00053DFA">
      <w:pPr>
        <w:rPr>
          <w:rFonts w:ascii="Times New Roman" w:eastAsiaTheme="majorEastAsia" w:hAnsi="Times New Roman" w:cs="Times New Roman"/>
          <w:b/>
          <w:bCs/>
          <w:color w:val="000000" w:themeColor="text1"/>
          <w:sz w:val="24"/>
          <w:szCs w:val="24"/>
        </w:rPr>
      </w:pPr>
      <w:r w:rsidRPr="00E143F9">
        <w:rPr>
          <w:rFonts w:ascii="Times New Roman" w:hAnsi="Times New Roman" w:cs="Times New Roman"/>
          <w:color w:val="000000" w:themeColor="text1"/>
          <w:sz w:val="24"/>
          <w:szCs w:val="24"/>
        </w:rPr>
        <w:br w:type="page"/>
      </w:r>
    </w:p>
    <w:p w14:paraId="6254EF43" w14:textId="77777777" w:rsidR="001B1A3E" w:rsidRPr="00E143F9" w:rsidRDefault="001B1A3E" w:rsidP="00AF366E">
      <w:pPr>
        <w:pStyle w:val="Heading1"/>
        <w:spacing w:line="360" w:lineRule="auto"/>
        <w:jc w:val="both"/>
        <w:rPr>
          <w:rFonts w:ascii="Times New Roman" w:hAnsi="Times New Roman" w:cs="Times New Roman"/>
          <w:color w:val="000000" w:themeColor="text1"/>
          <w:sz w:val="24"/>
          <w:szCs w:val="24"/>
        </w:rPr>
      </w:pPr>
      <w:bookmarkStart w:id="0" w:name="_Toc133317360"/>
      <w:r w:rsidRPr="00E143F9">
        <w:rPr>
          <w:rFonts w:ascii="Times New Roman" w:hAnsi="Times New Roman" w:cs="Times New Roman"/>
          <w:color w:val="000000" w:themeColor="text1"/>
          <w:sz w:val="24"/>
          <w:szCs w:val="24"/>
        </w:rPr>
        <w:lastRenderedPageBreak/>
        <w:t>Introduction</w:t>
      </w:r>
      <w:bookmarkEnd w:id="0"/>
    </w:p>
    <w:p w14:paraId="4931D4DE" w14:textId="5ABA82CC" w:rsidR="00040010"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This report is being developed to focus primarily on the situation of 2008 financial crises, which were the global economic crises. Ever since the Great Depression, it was the single most serious and severe crisis to occur in the early 21</w:t>
      </w:r>
      <w:r w:rsidRPr="00E143F9">
        <w:rPr>
          <w:rFonts w:ascii="Times New Roman" w:hAnsi="Times New Roman" w:cs="Times New Roman"/>
          <w:color w:val="000000" w:themeColor="text1"/>
          <w:sz w:val="24"/>
          <w:szCs w:val="24"/>
          <w:vertAlign w:val="superscript"/>
        </w:rPr>
        <w:t>st</w:t>
      </w:r>
      <w:r w:rsidRPr="00E143F9">
        <w:rPr>
          <w:rFonts w:ascii="Times New Roman" w:hAnsi="Times New Roman" w:cs="Times New Roman"/>
          <w:color w:val="000000" w:themeColor="text1"/>
          <w:sz w:val="24"/>
          <w:szCs w:val="24"/>
        </w:rPr>
        <w:t xml:space="preserve"> century. While there were several factors that contributed towards this crisis, the first sign of this happening can be traced back to the collapse of real estate market. Regarding the underwritten mortgages there were several criminal activities in the beginning of the crisis and this led to the severe crisis, which riddled many developed nations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Akgün</w:t>
      </w:r>
      <w:proofErr w:type="spellEnd"/>
      <w:r w:rsidR="00C84A99" w:rsidRPr="00E143F9">
        <w:rPr>
          <w:rFonts w:ascii="Times New Roman" w:hAnsi="Times New Roman" w:cs="Times New Roman"/>
          <w:color w:val="000000" w:themeColor="text1"/>
          <w:sz w:val="24"/>
          <w:szCs w:val="24"/>
          <w:shd w:val="clear" w:color="auto" w:fill="FFFFFF"/>
        </w:rPr>
        <w:t xml:space="preserve">, and </w:t>
      </w:r>
      <w:proofErr w:type="spellStart"/>
      <w:r w:rsidR="00C84A99" w:rsidRPr="00E143F9">
        <w:rPr>
          <w:rFonts w:ascii="Times New Roman" w:hAnsi="Times New Roman" w:cs="Times New Roman"/>
          <w:color w:val="000000" w:themeColor="text1"/>
          <w:sz w:val="24"/>
          <w:szCs w:val="24"/>
          <w:shd w:val="clear" w:color="auto" w:fill="FFFFFF"/>
        </w:rPr>
        <w:t>Memiş</w:t>
      </w:r>
      <w:proofErr w:type="spellEnd"/>
      <w:r w:rsidR="00C84A99" w:rsidRPr="00E143F9">
        <w:rPr>
          <w:rFonts w:ascii="Times New Roman" w:hAnsi="Times New Roman" w:cs="Times New Roman"/>
          <w:color w:val="000000" w:themeColor="text1"/>
          <w:sz w:val="24"/>
          <w:szCs w:val="24"/>
          <w:shd w:val="clear" w:color="auto" w:fill="FFFFFF"/>
        </w:rPr>
        <w:t xml:space="preserve"> </w:t>
      </w:r>
      <w:proofErr w:type="spellStart"/>
      <w:r w:rsidR="00C84A99" w:rsidRPr="00E143F9">
        <w:rPr>
          <w:rFonts w:ascii="Times New Roman" w:hAnsi="Times New Roman" w:cs="Times New Roman"/>
          <w:color w:val="000000" w:themeColor="text1"/>
          <w:sz w:val="24"/>
          <w:szCs w:val="24"/>
          <w:shd w:val="clear" w:color="auto" w:fill="FFFFFF"/>
        </w:rPr>
        <w:t>Karataş</w:t>
      </w:r>
      <w:proofErr w:type="spellEnd"/>
      <w:r w:rsidR="00C84A99" w:rsidRPr="00E143F9">
        <w:rPr>
          <w:rFonts w:ascii="Times New Roman" w:hAnsi="Times New Roman" w:cs="Times New Roman"/>
          <w:color w:val="000000" w:themeColor="text1"/>
          <w:sz w:val="24"/>
          <w:szCs w:val="24"/>
          <w:shd w:val="clear" w:color="auto" w:fill="FFFFFF"/>
        </w:rPr>
        <w:t>, 2021)</w:t>
      </w:r>
      <w:r w:rsidRPr="00E143F9">
        <w:rPr>
          <w:rFonts w:ascii="Times New Roman" w:hAnsi="Times New Roman" w:cs="Times New Roman"/>
          <w:color w:val="000000" w:themeColor="text1"/>
          <w:sz w:val="24"/>
          <w:szCs w:val="24"/>
        </w:rPr>
        <w:t>. While certain pre-arranged deals in the real estate started collapsing, many other investors thought they should shorten their real estate deals. The real estate business essentially crashed due to deals failing and as they also had to write off some of the mortgage investments. Even though this global economic crisis ended in 2008, it was still the result of a lot of strategic efforts and bail-out programmes along with other factors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Akgün</w:t>
      </w:r>
      <w:proofErr w:type="spellEnd"/>
      <w:r w:rsidR="00C84A99" w:rsidRPr="00E143F9">
        <w:rPr>
          <w:rFonts w:ascii="Times New Roman" w:hAnsi="Times New Roman" w:cs="Times New Roman"/>
          <w:color w:val="000000" w:themeColor="text1"/>
          <w:sz w:val="24"/>
          <w:szCs w:val="24"/>
          <w:shd w:val="clear" w:color="auto" w:fill="FFFFFF"/>
        </w:rPr>
        <w:t xml:space="preserve">, and </w:t>
      </w:r>
      <w:proofErr w:type="spellStart"/>
      <w:r w:rsidR="00C84A99" w:rsidRPr="00E143F9">
        <w:rPr>
          <w:rFonts w:ascii="Times New Roman" w:hAnsi="Times New Roman" w:cs="Times New Roman"/>
          <w:color w:val="000000" w:themeColor="text1"/>
          <w:sz w:val="24"/>
          <w:szCs w:val="24"/>
          <w:shd w:val="clear" w:color="auto" w:fill="FFFFFF"/>
        </w:rPr>
        <w:t>Memiş</w:t>
      </w:r>
      <w:proofErr w:type="spellEnd"/>
      <w:r w:rsidR="00C84A99" w:rsidRPr="00E143F9">
        <w:rPr>
          <w:rFonts w:ascii="Times New Roman" w:hAnsi="Times New Roman" w:cs="Times New Roman"/>
          <w:color w:val="000000" w:themeColor="text1"/>
          <w:sz w:val="24"/>
          <w:szCs w:val="24"/>
          <w:shd w:val="clear" w:color="auto" w:fill="FFFFFF"/>
        </w:rPr>
        <w:t xml:space="preserve"> </w:t>
      </w:r>
      <w:proofErr w:type="spellStart"/>
      <w:r w:rsidR="00C84A99" w:rsidRPr="00E143F9">
        <w:rPr>
          <w:rFonts w:ascii="Times New Roman" w:hAnsi="Times New Roman" w:cs="Times New Roman"/>
          <w:color w:val="000000" w:themeColor="text1"/>
          <w:sz w:val="24"/>
          <w:szCs w:val="24"/>
          <w:shd w:val="clear" w:color="auto" w:fill="FFFFFF"/>
        </w:rPr>
        <w:t>Karataş</w:t>
      </w:r>
      <w:proofErr w:type="spellEnd"/>
      <w:r w:rsidR="00C84A99" w:rsidRPr="00E143F9">
        <w:rPr>
          <w:rFonts w:ascii="Times New Roman" w:hAnsi="Times New Roman" w:cs="Times New Roman"/>
          <w:color w:val="000000" w:themeColor="text1"/>
          <w:sz w:val="24"/>
          <w:szCs w:val="24"/>
          <w:shd w:val="clear" w:color="auto" w:fill="FFFFFF"/>
        </w:rPr>
        <w:t>, 2021)</w:t>
      </w:r>
      <w:r w:rsidRPr="00E143F9">
        <w:rPr>
          <w:rFonts w:ascii="Times New Roman" w:hAnsi="Times New Roman" w:cs="Times New Roman"/>
          <w:color w:val="000000" w:themeColor="text1"/>
          <w:sz w:val="24"/>
          <w:szCs w:val="24"/>
        </w:rPr>
        <w:t>. This report will take a deeper look into the regulations, contracts, legislations and other key players that had contribution towards ending this situation. The reforms discussed in this report will also lead to the explanation of their effect on a publicly listed company and for this the Unilever PLC has been selected. Their level of compliance or non-compliance will also be outlined.</w:t>
      </w:r>
    </w:p>
    <w:p w14:paraId="17C02B8E" w14:textId="2E06C31C" w:rsidR="001B1A3E" w:rsidRPr="00E143F9" w:rsidRDefault="001B1A3E" w:rsidP="00AF366E">
      <w:pPr>
        <w:pStyle w:val="Heading1"/>
        <w:spacing w:line="360" w:lineRule="auto"/>
        <w:jc w:val="both"/>
        <w:rPr>
          <w:rFonts w:ascii="Times New Roman" w:hAnsi="Times New Roman" w:cs="Times New Roman"/>
          <w:color w:val="000000" w:themeColor="text1"/>
          <w:sz w:val="24"/>
          <w:szCs w:val="24"/>
        </w:rPr>
      </w:pPr>
      <w:bookmarkStart w:id="1" w:name="_Toc133317361"/>
      <w:r w:rsidRPr="00E143F9">
        <w:rPr>
          <w:rFonts w:ascii="Times New Roman" w:hAnsi="Times New Roman" w:cs="Times New Roman"/>
          <w:color w:val="000000" w:themeColor="text1"/>
          <w:sz w:val="24"/>
          <w:szCs w:val="24"/>
        </w:rPr>
        <w:t>Main Body</w:t>
      </w:r>
      <w:bookmarkEnd w:id="1"/>
    </w:p>
    <w:p w14:paraId="4253B76F" w14:textId="2E06C31C" w:rsidR="001B1A3E" w:rsidRPr="00E143F9" w:rsidRDefault="001B1A3E" w:rsidP="0052397E">
      <w:pPr>
        <w:pStyle w:val="Heading1"/>
        <w:rPr>
          <w:color w:val="000000" w:themeColor="text1"/>
        </w:rPr>
      </w:pPr>
      <w:bookmarkStart w:id="2" w:name="_Toc133317362"/>
      <w:r w:rsidRPr="00E143F9">
        <w:rPr>
          <w:color w:val="000000" w:themeColor="text1"/>
        </w:rPr>
        <w:t>Key laws, regulations and contracts, enacted post the 2008 financial crises by the EU authorities</w:t>
      </w:r>
      <w:bookmarkEnd w:id="2"/>
    </w:p>
    <w:p w14:paraId="20B0F6CA"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international financial crises practically engulfed the Europe and USA as the year 2007 released an unprecedented level of financial instability. As a result, it necessitated a massive degree of public intervention to support the financial system. Ten years after the major collapse of the financial firm named Lehman Brothers it was revealed that a decade long austerity policies and economic reduction of expenditure had been foreshadowed or indicated by the crisis. This also pushed the single currency of Europe to the verge of collapsing and this further contributed to the increased political volatility as it fuelled the spike of backlash by the populist against the well-establish political leaders and parties</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Afonso, and Blanco-Arana, 2022)</w:t>
      </w:r>
      <w:r w:rsidRPr="00E143F9">
        <w:rPr>
          <w:rFonts w:ascii="Times New Roman" w:hAnsi="Times New Roman" w:cs="Times New Roman"/>
          <w:color w:val="000000" w:themeColor="text1"/>
          <w:sz w:val="24"/>
          <w:szCs w:val="24"/>
        </w:rPr>
        <w:t xml:space="preserve">. </w:t>
      </w:r>
    </w:p>
    <w:p w14:paraId="3FF8789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The dire necessity for better financial sector oversight and regulations was made apparent by the financial crisis. The European Commission has proposed roughly thirty sets of regulations since 2010 in an attempt to ensure that each of the financial stakeholders, products, and markets </w:t>
      </w:r>
      <w:r w:rsidRPr="00E143F9">
        <w:rPr>
          <w:rFonts w:ascii="Times New Roman" w:hAnsi="Times New Roman" w:cs="Times New Roman"/>
          <w:color w:val="000000" w:themeColor="text1"/>
          <w:sz w:val="24"/>
          <w:szCs w:val="24"/>
        </w:rPr>
        <w:lastRenderedPageBreak/>
        <w:t>are adequately governed as well as efficiently monitored. A fully operational single market for financial products and services is facilitated by these laws, which constitute the fundamental foundation for the EU's 28 member states</w:t>
      </w:r>
      <w:r w:rsidR="00C84A99" w:rsidRPr="00E143F9">
        <w:rPr>
          <w:rFonts w:ascii="Times New Roman" w:hAnsi="Times New Roman" w:cs="Times New Roman"/>
          <w:color w:val="000000" w:themeColor="text1"/>
          <w:sz w:val="24"/>
          <w:szCs w:val="24"/>
        </w:rPr>
        <w:t xml:space="preserve"> (European Commission, 2014)</w:t>
      </w:r>
      <w:r w:rsidRPr="00E143F9">
        <w:rPr>
          <w:rFonts w:ascii="Times New Roman" w:hAnsi="Times New Roman" w:cs="Times New Roman"/>
          <w:color w:val="000000" w:themeColor="text1"/>
          <w:sz w:val="24"/>
          <w:szCs w:val="24"/>
        </w:rPr>
        <w:t>. In addition, Eurozone crisis also ensued during this period, thus adding extra burden to the already critical situation. This helped in outlining the existing vicious cycle between sovereign states and banks. This made it more apparent of the need for having an in-depth monetary and economic union with better governance so that a single currency could work adequately throughout the member states. The authorities also realised that it was not simply enough to enhance the financial sector for breaking that vicious cycle, rather a more integrated approach towards this matter. Therefore, they realised that the legislations and frameworks being developed have to be delivered in a centralised manner throughout all 28 EU member states, especially those which share the same single currency</w:t>
      </w:r>
      <w:r w:rsidR="00C84A99" w:rsidRPr="00E143F9">
        <w:rPr>
          <w:rFonts w:ascii="Times New Roman" w:hAnsi="Times New Roman" w:cs="Times New Roman"/>
          <w:color w:val="000000" w:themeColor="text1"/>
          <w:sz w:val="24"/>
          <w:szCs w:val="24"/>
        </w:rPr>
        <w:t xml:space="preserve"> (European Commission, 2014)</w:t>
      </w:r>
      <w:r w:rsidRPr="00E143F9">
        <w:rPr>
          <w:rFonts w:ascii="Times New Roman" w:hAnsi="Times New Roman" w:cs="Times New Roman"/>
          <w:color w:val="000000" w:themeColor="text1"/>
          <w:sz w:val="24"/>
          <w:szCs w:val="24"/>
        </w:rPr>
        <w:t>.</w:t>
      </w:r>
    </w:p>
    <w:p w14:paraId="309D0BC3" w14:textId="47A730CF"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noProof/>
          <w:color w:val="000000" w:themeColor="text1"/>
          <w:sz w:val="24"/>
          <w:szCs w:val="24"/>
        </w:rPr>
        <w:drawing>
          <wp:inline distT="0" distB="0" distL="0" distR="0" wp14:anchorId="74085B8C" wp14:editId="4938617A">
            <wp:extent cx="4479617" cy="2799761"/>
            <wp:effectExtent l="0" t="0" r="3810" b="0"/>
            <wp:docPr id="1026" name="Picture 2" descr="2007–2008 financial crisis - Wikipedia">
              <a:extLst xmlns:a="http://schemas.openxmlformats.org/drawingml/2006/main">
                <a:ext uri="{FF2B5EF4-FFF2-40B4-BE49-F238E27FC236}">
                  <a16:creationId xmlns:a16="http://schemas.microsoft.com/office/drawing/2014/main" id="{D5741E81-C624-FED5-07E2-34E0E8DE9C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2007–2008 financial crisis - Wikipedia">
                      <a:extLst>
                        <a:ext uri="{FF2B5EF4-FFF2-40B4-BE49-F238E27FC236}">
                          <a16:creationId xmlns:a16="http://schemas.microsoft.com/office/drawing/2014/main" id="{D5741E81-C624-FED5-07E2-34E0E8DE9C1D}"/>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9980" cy="2824988"/>
                    </a:xfrm>
                    <a:prstGeom prst="rect">
                      <a:avLst/>
                    </a:prstGeom>
                    <a:noFill/>
                  </pic:spPr>
                </pic:pic>
              </a:graphicData>
            </a:graphic>
          </wp:inline>
        </w:drawing>
      </w:r>
    </w:p>
    <w:p w14:paraId="3A368D66" w14:textId="77777777" w:rsidR="00040010" w:rsidRPr="00E143F9" w:rsidRDefault="00040010" w:rsidP="00040010">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European Union (EU) suffered greatly from the financial meltdown of 2008, which also prompted the enactment of several laws, rules, or agreements intended to guard against a repeat of the same disaster (</w:t>
      </w:r>
      <w:r w:rsidRPr="00E143F9">
        <w:rPr>
          <w:rFonts w:ascii="Times New Roman" w:hAnsi="Times New Roman" w:cs="Times New Roman"/>
          <w:color w:val="000000" w:themeColor="text1"/>
          <w:sz w:val="24"/>
          <w:szCs w:val="24"/>
          <w:shd w:val="clear" w:color="auto" w:fill="FFFFFF"/>
        </w:rPr>
        <w:t>Scholten, 2022)</w:t>
      </w:r>
      <w:r w:rsidRPr="00E143F9">
        <w:rPr>
          <w:rFonts w:ascii="Times New Roman" w:hAnsi="Times New Roman" w:cs="Times New Roman"/>
          <w:color w:val="000000" w:themeColor="text1"/>
          <w:sz w:val="24"/>
          <w:szCs w:val="24"/>
        </w:rPr>
        <w:t>. Several of the most important ones are listed below: The European Stability Structure (ESM) Treaty, which was signed in 2012, provides a long-term framework for assisting Eurozone countries that are having financial difficulties. In addition, it includes steps that will enhance EU economic governance. Regulations (CRR) and Directive (CRD IV) Concerning Capital Requirements: These rules came into effect in 2013 to increase the requirements for bank capital and raise the usual amount of capital that banks maintain.</w:t>
      </w:r>
    </w:p>
    <w:p w14:paraId="59DB4E68" w14:textId="77777777" w:rsidR="00040010" w:rsidRPr="00E143F9" w:rsidRDefault="00040010"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t>As an international producer of consumer products, Unilever is not right away impacted by the laws, rules, and agreements which the EU authorities created as a reaction to the worldwide economic downturn of 2008 (</w:t>
      </w:r>
      <w:proofErr w:type="spellStart"/>
      <w:r w:rsidRPr="00E143F9">
        <w:rPr>
          <w:rFonts w:ascii="Times New Roman" w:hAnsi="Times New Roman" w:cs="Times New Roman"/>
          <w:color w:val="000000" w:themeColor="text1"/>
          <w:sz w:val="24"/>
          <w:szCs w:val="24"/>
          <w:shd w:val="clear" w:color="auto" w:fill="FFFFFF"/>
        </w:rPr>
        <w:t>Ongaro</w:t>
      </w:r>
      <w:proofErr w:type="spellEnd"/>
      <w:r w:rsidRPr="00E143F9">
        <w:rPr>
          <w:rFonts w:ascii="Times New Roman" w:hAnsi="Times New Roman" w:cs="Times New Roman"/>
          <w:color w:val="000000" w:themeColor="text1"/>
          <w:sz w:val="24"/>
          <w:szCs w:val="24"/>
          <w:shd w:val="clear" w:color="auto" w:fill="FFFFFF"/>
        </w:rPr>
        <w:t xml:space="preserve">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 Unilever is still subject to the regulations and laws that imposed by the EU, just like every company operating in the EU. These are some of the most important EU laws which might have an impact on Unilever: The GDPR, or General Data Protection Regulation, was published in 2018 to strengthen privacy regulations across the EU while offering individuals greater authority over their private information. As a controller of personal data, Unilever has to abide by GDPR. RoHS: The regulation bans the installation of specific dangerous substances in devices that use electricity or electronics. As a producer of electrical consumer products, Unilever could have been required to comply with the RoHS regulations.</w:t>
      </w:r>
    </w:p>
    <w:p w14:paraId="4D5BC924"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UK suffered greatly in the worldwide economic downturn of 2008, as a result, the UK government enacted many regulations, regulations, and accords to protect against another one from occurring (</w:t>
      </w:r>
      <w:proofErr w:type="spellStart"/>
      <w:r w:rsidRPr="00E143F9">
        <w:rPr>
          <w:rFonts w:ascii="Times New Roman" w:hAnsi="Times New Roman" w:cs="Times New Roman"/>
          <w:color w:val="000000" w:themeColor="text1"/>
          <w:sz w:val="24"/>
          <w:szCs w:val="24"/>
          <w:shd w:val="clear" w:color="auto" w:fill="FFFFFF"/>
        </w:rPr>
        <w:t>Vanackère</w:t>
      </w:r>
      <w:proofErr w:type="spellEnd"/>
      <w:r w:rsidRPr="00E143F9">
        <w:rPr>
          <w:rFonts w:ascii="Times New Roman" w:hAnsi="Times New Roman" w:cs="Times New Roman"/>
          <w:color w:val="000000" w:themeColor="text1"/>
          <w:sz w:val="24"/>
          <w:szCs w:val="24"/>
          <w:shd w:val="clear" w:color="auto" w:fill="FFFFFF"/>
        </w:rPr>
        <w:t xml:space="preserve"> and </w:t>
      </w:r>
      <w:proofErr w:type="spellStart"/>
      <w:r w:rsidRPr="00E143F9">
        <w:rPr>
          <w:rFonts w:ascii="Times New Roman" w:hAnsi="Times New Roman" w:cs="Times New Roman"/>
          <w:color w:val="000000" w:themeColor="text1"/>
          <w:sz w:val="24"/>
          <w:szCs w:val="24"/>
          <w:shd w:val="clear" w:color="auto" w:fill="FFFFFF"/>
        </w:rPr>
        <w:t>Kaspiarovich</w:t>
      </w:r>
      <w:proofErr w:type="spellEnd"/>
      <w:r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w:t>
      </w:r>
    </w:p>
    <w:p w14:paraId="5540505B"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b/>
          <w:bCs/>
          <w:color w:val="000000" w:themeColor="text1"/>
          <w:sz w:val="24"/>
          <w:szCs w:val="24"/>
        </w:rPr>
        <w:t>Some of the most important ones are given below the 2009 Banking Act:</w:t>
      </w:r>
      <w:r w:rsidRPr="00E143F9">
        <w:rPr>
          <w:rFonts w:ascii="Times New Roman" w:hAnsi="Times New Roman" w:cs="Times New Roman"/>
          <w:color w:val="000000" w:themeColor="text1"/>
          <w:sz w:val="24"/>
          <w:szCs w:val="24"/>
        </w:rPr>
        <w:t xml:space="preserve"> The law was put in to provide the UK government the power to deal with failing financial institutions and protect investors. </w:t>
      </w:r>
    </w:p>
    <w:p w14:paraId="1F578A94"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b/>
          <w:bCs/>
          <w:color w:val="000000" w:themeColor="text1"/>
          <w:sz w:val="24"/>
          <w:szCs w:val="24"/>
        </w:rPr>
        <w:t>The Financial Service Act of 2010:</w:t>
      </w:r>
      <w:r w:rsidRPr="00E143F9">
        <w:rPr>
          <w:rFonts w:ascii="Times New Roman" w:hAnsi="Times New Roman" w:cs="Times New Roman"/>
          <w:color w:val="000000" w:themeColor="text1"/>
          <w:sz w:val="24"/>
          <w:szCs w:val="24"/>
        </w:rPr>
        <w:t xml:space="preserve"> The legislation created the Financial Conduct Authority or FCA, and the Prudential Regulation Authority, or PRA, as the new authorities and made modifications to the UK financial regulatory framework (</w:t>
      </w:r>
      <w:r w:rsidRPr="00E143F9">
        <w:rPr>
          <w:rFonts w:ascii="Times New Roman" w:hAnsi="Times New Roman" w:cs="Times New Roman"/>
          <w:color w:val="000000" w:themeColor="text1"/>
          <w:sz w:val="24"/>
          <w:szCs w:val="24"/>
          <w:shd w:val="clear" w:color="auto" w:fill="FFFFFF"/>
        </w:rPr>
        <w:t>Scholten, 2022)</w:t>
      </w:r>
      <w:r w:rsidRPr="00E143F9">
        <w:rPr>
          <w:rFonts w:ascii="Times New Roman" w:hAnsi="Times New Roman" w:cs="Times New Roman"/>
          <w:color w:val="000000" w:themeColor="text1"/>
          <w:sz w:val="24"/>
          <w:szCs w:val="24"/>
        </w:rPr>
        <w:t>.</w:t>
      </w:r>
    </w:p>
    <w:p w14:paraId="7C6C093B" w14:textId="77777777" w:rsidR="00244771" w:rsidRPr="00E143F9" w:rsidRDefault="00244771"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addition, the Financial Services Authority, also known as the FSA, was set up as a component of an entirely novel regulatory structure for the banking sector.</w:t>
      </w:r>
    </w:p>
    <w:p w14:paraId="57AB28D9" w14:textId="77777777" w:rsidR="001B1A3E" w:rsidRPr="00E143F9" w:rsidRDefault="001B1A3E" w:rsidP="0052397E">
      <w:pPr>
        <w:pStyle w:val="Heading1"/>
        <w:rPr>
          <w:color w:val="000000" w:themeColor="text1"/>
        </w:rPr>
      </w:pPr>
      <w:bookmarkStart w:id="3" w:name="_Toc133317363"/>
      <w:r w:rsidRPr="00E143F9">
        <w:rPr>
          <w:color w:val="000000" w:themeColor="text1"/>
        </w:rPr>
        <w:t>EMIR (European Market Infrastructure Regulation):</w:t>
      </w:r>
      <w:bookmarkEnd w:id="3"/>
    </w:p>
    <w:p w14:paraId="5C4AF5F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order to foster transparency and minimise danger in the derivatives market, EMIR was established in 2012. Under the law, a particular set of derivatives contracts are legally required be cleared through a central counterparty whereas certain other ones have to be informed to a trade repository</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Priem</w:t>
      </w:r>
      <w:proofErr w:type="spellEnd"/>
      <w:r w:rsidR="00C84A99" w:rsidRPr="00E143F9">
        <w:rPr>
          <w:rFonts w:ascii="Times New Roman" w:hAnsi="Times New Roman" w:cs="Times New Roman"/>
          <w:color w:val="000000" w:themeColor="text1"/>
          <w:sz w:val="24"/>
          <w:szCs w:val="24"/>
          <w:shd w:val="clear" w:color="auto" w:fill="FFFFFF"/>
        </w:rPr>
        <w:t>, R., 2022)</w:t>
      </w:r>
      <w:r w:rsidRPr="00E143F9">
        <w:rPr>
          <w:rFonts w:ascii="Times New Roman" w:hAnsi="Times New Roman" w:cs="Times New Roman"/>
          <w:color w:val="000000" w:themeColor="text1"/>
          <w:sz w:val="24"/>
          <w:szCs w:val="24"/>
        </w:rPr>
        <w:t>.</w:t>
      </w:r>
    </w:p>
    <w:p w14:paraId="1346576D" w14:textId="3A2EE37D"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noProof/>
          <w:color w:val="000000" w:themeColor="text1"/>
          <w:sz w:val="24"/>
          <w:szCs w:val="24"/>
        </w:rPr>
        <w:lastRenderedPageBreak/>
        <w:drawing>
          <wp:inline distT="0" distB="0" distL="0" distR="0" wp14:anchorId="33DA0B80" wp14:editId="1FA0CC46">
            <wp:extent cx="5160894" cy="2752627"/>
            <wp:effectExtent l="0" t="0" r="0" b="3810"/>
            <wp:docPr id="3074" name="Picture 2" descr="PDF] European Market Infrastructure Regulation – An Initiative for Greater  Safety and Integrity in OTC Derivatives Markets | Semantic Scholar">
              <a:extLst xmlns:a="http://schemas.openxmlformats.org/drawingml/2006/main">
                <a:ext uri="{FF2B5EF4-FFF2-40B4-BE49-F238E27FC236}">
                  <a16:creationId xmlns:a16="http://schemas.microsoft.com/office/drawing/2014/main" id="{941F11C4-9B9D-F4B6-7545-F1AE299102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PDF] European Market Infrastructure Regulation – An Initiative for Greater  Safety and Integrity in OTC Derivatives Markets | Semantic Scholar">
                      <a:extLst>
                        <a:ext uri="{FF2B5EF4-FFF2-40B4-BE49-F238E27FC236}">
                          <a16:creationId xmlns:a16="http://schemas.microsoft.com/office/drawing/2014/main" id="{941F11C4-9B9D-F4B6-7545-F1AE29910290}"/>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8614" cy="2767412"/>
                    </a:xfrm>
                    <a:prstGeom prst="rect">
                      <a:avLst/>
                    </a:prstGeom>
                    <a:noFill/>
                  </pic:spPr>
                </pic:pic>
              </a:graphicData>
            </a:graphic>
          </wp:inline>
        </w:drawing>
      </w:r>
    </w:p>
    <w:p w14:paraId="42CA8BC6" w14:textId="77777777" w:rsidR="001B1A3E" w:rsidRPr="00E143F9" w:rsidRDefault="001B1A3E" w:rsidP="0052397E">
      <w:pPr>
        <w:pStyle w:val="Heading1"/>
        <w:rPr>
          <w:color w:val="000000" w:themeColor="text1"/>
        </w:rPr>
      </w:pPr>
      <w:bookmarkStart w:id="4" w:name="_Toc133317364"/>
      <w:r w:rsidRPr="00E143F9">
        <w:rPr>
          <w:color w:val="000000" w:themeColor="text1"/>
        </w:rPr>
        <w:t>ESRB (European Systemic Risk Board):</w:t>
      </w:r>
      <w:bookmarkEnd w:id="4"/>
    </w:p>
    <w:p w14:paraId="6F61079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It was founded in 2010 and the main purpose of establishing the ESRB was to monitor and evaluate systemic risks within the EU financial system. The board was meant to address systemic concerns and due to this board has been provided with the power and authority to issue warnings and effective recommendations to the EU institutions and national authorities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Myklebust</w:t>
      </w:r>
      <w:proofErr w:type="spellEnd"/>
      <w:r w:rsidR="00C84A99" w:rsidRPr="00E143F9">
        <w:rPr>
          <w:rFonts w:ascii="Times New Roman" w:hAnsi="Times New Roman" w:cs="Times New Roman"/>
          <w:color w:val="000000" w:themeColor="text1"/>
          <w:sz w:val="24"/>
          <w:szCs w:val="24"/>
          <w:shd w:val="clear" w:color="auto" w:fill="FFFFFF"/>
        </w:rPr>
        <w:t>, 2023)</w:t>
      </w:r>
      <w:r w:rsidRPr="00E143F9">
        <w:rPr>
          <w:rFonts w:ascii="Times New Roman" w:hAnsi="Times New Roman" w:cs="Times New Roman"/>
          <w:color w:val="000000" w:themeColor="text1"/>
          <w:sz w:val="24"/>
          <w:szCs w:val="24"/>
        </w:rPr>
        <w:t xml:space="preserve">. </w:t>
      </w:r>
    </w:p>
    <w:p w14:paraId="786E0652" w14:textId="77777777" w:rsidR="001B1A3E" w:rsidRPr="00E143F9" w:rsidRDefault="001B1A3E" w:rsidP="0052397E">
      <w:pPr>
        <w:pStyle w:val="Heading2"/>
        <w:rPr>
          <w:color w:val="000000" w:themeColor="text1"/>
        </w:rPr>
      </w:pPr>
      <w:bookmarkStart w:id="5" w:name="_Toc133317365"/>
      <w:r w:rsidRPr="00E143F9">
        <w:rPr>
          <w:color w:val="000000" w:themeColor="text1"/>
        </w:rPr>
        <w:t>Base III:</w:t>
      </w:r>
      <w:bookmarkEnd w:id="5"/>
      <w:r w:rsidRPr="00E143F9">
        <w:rPr>
          <w:color w:val="000000" w:themeColor="text1"/>
        </w:rPr>
        <w:t xml:space="preserve"> </w:t>
      </w:r>
    </w:p>
    <w:p w14:paraId="2FF57465"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Base III was an accord, which was also enacted by the government for handling the aftermath of the crisis and helping the sector towards its path to recovery. This accord introduced new obligations and requirements for liquidity and capital of banking institutions and it was hoped that this would strengthen the banking system by making it less likely to be threatened by systemic risk and overall becoming more stable</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Wikström, 2022)</w:t>
      </w:r>
      <w:r w:rsidRPr="00E143F9">
        <w:rPr>
          <w:rFonts w:ascii="Times New Roman" w:hAnsi="Times New Roman" w:cs="Times New Roman"/>
          <w:color w:val="000000" w:themeColor="text1"/>
          <w:sz w:val="24"/>
          <w:szCs w:val="24"/>
        </w:rPr>
        <w:t xml:space="preserve">. </w:t>
      </w:r>
    </w:p>
    <w:p w14:paraId="4C6D34FB" w14:textId="05852E79"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noProof/>
          <w:color w:val="000000" w:themeColor="text1"/>
          <w:sz w:val="24"/>
          <w:szCs w:val="24"/>
        </w:rPr>
        <w:drawing>
          <wp:inline distT="0" distB="0" distL="0" distR="0" wp14:anchorId="6154801E" wp14:editId="0402CCB6">
            <wp:extent cx="2799760" cy="2262207"/>
            <wp:effectExtent l="0" t="0" r="0" b="0"/>
            <wp:docPr id="5124" name="Picture 4" descr="Dodd–Frank Wall Street Reform and Consumer Protection Act - Wikipedia">
              <a:extLst xmlns:a="http://schemas.openxmlformats.org/drawingml/2006/main">
                <a:ext uri="{FF2B5EF4-FFF2-40B4-BE49-F238E27FC236}">
                  <a16:creationId xmlns:a16="http://schemas.microsoft.com/office/drawing/2014/main" id="{6E3D8236-F648-8F22-C21B-50F561E7E0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 name="Picture 4" descr="Dodd–Frank Wall Street Reform and Consumer Protection Act - Wikipedia">
                      <a:extLst>
                        <a:ext uri="{FF2B5EF4-FFF2-40B4-BE49-F238E27FC236}">
                          <a16:creationId xmlns:a16="http://schemas.microsoft.com/office/drawing/2014/main" id="{6E3D8236-F648-8F22-C21B-50F561E7E01D}"/>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2878" cy="2369766"/>
                    </a:xfrm>
                    <a:prstGeom prst="rect">
                      <a:avLst/>
                    </a:prstGeom>
                    <a:noFill/>
                  </pic:spPr>
                </pic:pic>
              </a:graphicData>
            </a:graphic>
          </wp:inline>
        </w:drawing>
      </w:r>
    </w:p>
    <w:p w14:paraId="767F233A" w14:textId="77777777" w:rsidR="001B1A3E" w:rsidRPr="00E143F9" w:rsidRDefault="001B1A3E" w:rsidP="0052397E">
      <w:pPr>
        <w:pStyle w:val="Heading1"/>
        <w:rPr>
          <w:color w:val="000000" w:themeColor="text1"/>
        </w:rPr>
      </w:pPr>
      <w:bookmarkStart w:id="6" w:name="_Toc133317366"/>
      <w:r w:rsidRPr="00E143F9">
        <w:rPr>
          <w:color w:val="000000" w:themeColor="text1"/>
        </w:rPr>
        <w:lastRenderedPageBreak/>
        <w:t>Capital Requirements Directive IV (CRD IV):</w:t>
      </w:r>
      <w:bookmarkEnd w:id="6"/>
      <w:r w:rsidRPr="00E143F9">
        <w:rPr>
          <w:color w:val="000000" w:themeColor="text1"/>
        </w:rPr>
        <w:t xml:space="preserve"> </w:t>
      </w:r>
    </w:p>
    <w:p w14:paraId="06774E6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Base III accord was also introduced in the EU and the directive regulation was developed in 2013 for supporting the implementation process of that accord throughout the member states. As the regulation raised the capital and liquidity requirements for the financial institutions, it was intended to improve the strength and resilience of banks for reducing systematic risks so that they can be better prepared for potential forthcoming financial shocks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Lagaria</w:t>
      </w:r>
      <w:proofErr w:type="spellEnd"/>
      <w:r w:rsidR="00C84A99"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w:t>
      </w:r>
    </w:p>
    <w:p w14:paraId="2A0863DF"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Several contracts were also introduced in response to the crises, which are:</w:t>
      </w:r>
    </w:p>
    <w:p w14:paraId="1EEC254D" w14:textId="77777777" w:rsidR="001B1A3E" w:rsidRPr="00E143F9" w:rsidRDefault="001B1A3E" w:rsidP="0052397E">
      <w:pPr>
        <w:pStyle w:val="Heading1"/>
        <w:rPr>
          <w:color w:val="000000" w:themeColor="text1"/>
        </w:rPr>
      </w:pPr>
      <w:bookmarkStart w:id="7" w:name="_Toc133317367"/>
      <w:r w:rsidRPr="00E143F9">
        <w:rPr>
          <w:color w:val="000000" w:themeColor="text1"/>
        </w:rPr>
        <w:t>EFSF (European Financial Stability Facility):</w:t>
      </w:r>
      <w:bookmarkEnd w:id="7"/>
    </w:p>
    <w:p w14:paraId="645FB2CB"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EFSF was established in 2010 by the EU authorities in response to the crises as they felt the need of having a better framework as part of their integrated approach. This contract was meant to offer help and support to all EU member states going through financial difficulties. This offered a facility focused on lending monetary support or assistance to nations like Ireland, Greece, and Portugal and the funding came from the sale of bonds. This decision was also supported and guaranteed by EU member states</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Chatzinas</w:t>
      </w:r>
      <w:proofErr w:type="spellEnd"/>
      <w:r w:rsidR="00C84A99" w:rsidRPr="00E143F9">
        <w:rPr>
          <w:rFonts w:ascii="Times New Roman" w:hAnsi="Times New Roman" w:cs="Times New Roman"/>
          <w:color w:val="000000" w:themeColor="text1"/>
          <w:sz w:val="24"/>
          <w:szCs w:val="24"/>
          <w:shd w:val="clear" w:color="auto" w:fill="FFFFFF"/>
        </w:rPr>
        <w:t>, and Papadopoulos, 2022)</w:t>
      </w:r>
      <w:r w:rsidRPr="00E143F9">
        <w:rPr>
          <w:rFonts w:ascii="Times New Roman" w:hAnsi="Times New Roman" w:cs="Times New Roman"/>
          <w:color w:val="000000" w:themeColor="text1"/>
          <w:sz w:val="24"/>
          <w:szCs w:val="24"/>
        </w:rPr>
        <w:t>.</w:t>
      </w:r>
    </w:p>
    <w:p w14:paraId="66FAF3F2" w14:textId="65F315B7"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noProof/>
          <w:color w:val="000000" w:themeColor="text1"/>
          <w:sz w:val="24"/>
          <w:szCs w:val="24"/>
        </w:rPr>
        <w:drawing>
          <wp:inline distT="0" distB="0" distL="0" distR="0" wp14:anchorId="3994F329" wp14:editId="1597525F">
            <wp:extent cx="4826524" cy="3142449"/>
            <wp:effectExtent l="0" t="0" r="0" b="0"/>
            <wp:docPr id="6148" name="Picture 4" descr="The EU Architecture to Avert a Sovereign Debt Crisis">
              <a:extLst xmlns:a="http://schemas.openxmlformats.org/drawingml/2006/main">
                <a:ext uri="{FF2B5EF4-FFF2-40B4-BE49-F238E27FC236}">
                  <a16:creationId xmlns:a16="http://schemas.microsoft.com/office/drawing/2014/main" id="{7C0C2981-773B-AFD2-B848-482F100BD5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 name="Picture 4" descr="The EU Architecture to Avert a Sovereign Debt Crisis">
                      <a:extLst>
                        <a:ext uri="{FF2B5EF4-FFF2-40B4-BE49-F238E27FC236}">
                          <a16:creationId xmlns:a16="http://schemas.microsoft.com/office/drawing/2014/main" id="{7C0C2981-773B-AFD2-B848-482F100BD52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3061" cy="3159727"/>
                    </a:xfrm>
                    <a:prstGeom prst="rect">
                      <a:avLst/>
                    </a:prstGeom>
                    <a:noFill/>
                  </pic:spPr>
                </pic:pic>
              </a:graphicData>
            </a:graphic>
          </wp:inline>
        </w:drawing>
      </w:r>
    </w:p>
    <w:p w14:paraId="465AFBF3" w14:textId="77777777" w:rsidR="001B1A3E" w:rsidRPr="00E143F9" w:rsidRDefault="001B1A3E" w:rsidP="0052397E">
      <w:pPr>
        <w:pStyle w:val="Heading1"/>
        <w:rPr>
          <w:color w:val="000000" w:themeColor="text1"/>
        </w:rPr>
      </w:pPr>
      <w:bookmarkStart w:id="8" w:name="_Toc133317368"/>
      <w:r w:rsidRPr="00E143F9">
        <w:rPr>
          <w:color w:val="000000" w:themeColor="text1"/>
        </w:rPr>
        <w:t>MoU (Memorandum of Understanding):</w:t>
      </w:r>
      <w:bookmarkEnd w:id="8"/>
      <w:r w:rsidRPr="00E143F9">
        <w:rPr>
          <w:color w:val="000000" w:themeColor="text1"/>
        </w:rPr>
        <w:t xml:space="preserve"> </w:t>
      </w:r>
    </w:p>
    <w:p w14:paraId="2B8069D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A Memorandum of Understanding or MoU generally describes and outlines the terms and conditions of an assistance received. As part of this contract policy the MoU needs to be signed by the nation by agreeing to those terms before they receive financial aid from the EU. </w:t>
      </w:r>
      <w:r w:rsidRPr="00E143F9">
        <w:rPr>
          <w:rFonts w:ascii="Times New Roman" w:hAnsi="Times New Roman" w:cs="Times New Roman"/>
          <w:color w:val="000000" w:themeColor="text1"/>
          <w:sz w:val="24"/>
          <w:szCs w:val="24"/>
        </w:rPr>
        <w:lastRenderedPageBreak/>
        <w:t>Typically, the MoU includes various measures and details such as fiscal targets, structural reforms, austerity procedures, etc</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Calvo-Mariscal,  2022)</w:t>
      </w:r>
      <w:r w:rsidRPr="00E143F9">
        <w:rPr>
          <w:rFonts w:ascii="Times New Roman" w:hAnsi="Times New Roman" w:cs="Times New Roman"/>
          <w:color w:val="000000" w:themeColor="text1"/>
          <w:sz w:val="24"/>
          <w:szCs w:val="24"/>
        </w:rPr>
        <w:t>.</w:t>
      </w:r>
    </w:p>
    <w:p w14:paraId="7868A79B" w14:textId="77777777" w:rsidR="001B1A3E" w:rsidRPr="00E143F9" w:rsidRDefault="001B1A3E" w:rsidP="0052397E">
      <w:pPr>
        <w:pStyle w:val="Heading1"/>
        <w:rPr>
          <w:color w:val="000000" w:themeColor="text1"/>
        </w:rPr>
      </w:pPr>
      <w:bookmarkStart w:id="9" w:name="_Toc133317369"/>
      <w:r w:rsidRPr="00E143F9">
        <w:rPr>
          <w:color w:val="000000" w:themeColor="text1"/>
        </w:rPr>
        <w:t>ESM (European Stability Mechanism):</w:t>
      </w:r>
      <w:bookmarkEnd w:id="9"/>
      <w:r w:rsidRPr="00E143F9">
        <w:rPr>
          <w:color w:val="000000" w:themeColor="text1"/>
        </w:rPr>
        <w:t xml:space="preserve"> </w:t>
      </w:r>
    </w:p>
    <w:p w14:paraId="61F2CAFC"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ESM was developed and released in 2012 with the intent of substituting EFSF. This gave the EU members permanent or long-term financial support. This developed a mechanism for the nations in need of such assistance so that they the institutions could offer loans or credit lines and issue bonds to them</w:t>
      </w:r>
      <w:r w:rsidR="00C84A99" w:rsidRPr="00E143F9">
        <w:rPr>
          <w:rFonts w:ascii="Times New Roman" w:hAnsi="Times New Roman" w:cs="Times New Roman"/>
          <w:color w:val="000000" w:themeColor="text1"/>
          <w:sz w:val="24"/>
          <w:szCs w:val="24"/>
        </w:rPr>
        <w:t xml:space="preserve"> (</w:t>
      </w:r>
      <w:proofErr w:type="spellStart"/>
      <w:r w:rsidR="00C84A99" w:rsidRPr="00E143F9">
        <w:rPr>
          <w:rFonts w:ascii="Times New Roman" w:hAnsi="Times New Roman" w:cs="Times New Roman"/>
          <w:color w:val="000000" w:themeColor="text1"/>
          <w:sz w:val="24"/>
          <w:szCs w:val="24"/>
          <w:shd w:val="clear" w:color="auto" w:fill="FFFFFF"/>
        </w:rPr>
        <w:t>Megliani</w:t>
      </w:r>
      <w:proofErr w:type="spellEnd"/>
      <w:r w:rsidR="00C84A99"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w:t>
      </w:r>
    </w:p>
    <w:p w14:paraId="3A62121E" w14:textId="77777777" w:rsidR="001B1A3E" w:rsidRPr="00E143F9" w:rsidRDefault="001B1A3E" w:rsidP="0052397E">
      <w:pPr>
        <w:pStyle w:val="Heading1"/>
        <w:rPr>
          <w:color w:val="000000" w:themeColor="text1"/>
        </w:rPr>
      </w:pPr>
      <w:bookmarkStart w:id="10" w:name="_Toc133317370"/>
      <w:r w:rsidRPr="00E143F9">
        <w:rPr>
          <w:color w:val="000000" w:themeColor="text1"/>
        </w:rPr>
        <w:t>Bank Recapitalisation Contract:</w:t>
      </w:r>
      <w:bookmarkEnd w:id="10"/>
      <w:r w:rsidRPr="00E143F9">
        <w:rPr>
          <w:color w:val="000000" w:themeColor="text1"/>
        </w:rPr>
        <w:t xml:space="preserve"> </w:t>
      </w:r>
    </w:p>
    <w:p w14:paraId="5F5DEA4E"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Following the financial crisis, the EU contributed funds to recapitalize a good number of EU banks. The banks were also ordered to alter their operations and corporate governance practices for averting similar crises in the future</w:t>
      </w:r>
      <w:r w:rsidR="00C84A99" w:rsidRPr="00E143F9">
        <w:rPr>
          <w:rFonts w:ascii="Times New Roman" w:hAnsi="Times New Roman" w:cs="Times New Roman"/>
          <w:color w:val="000000" w:themeColor="text1"/>
          <w:sz w:val="24"/>
          <w:szCs w:val="24"/>
        </w:rPr>
        <w:t xml:space="preserve"> (</w:t>
      </w:r>
      <w:r w:rsidR="00C84A99" w:rsidRPr="00E143F9">
        <w:rPr>
          <w:rFonts w:ascii="Times New Roman" w:hAnsi="Times New Roman" w:cs="Times New Roman"/>
          <w:color w:val="000000" w:themeColor="text1"/>
          <w:sz w:val="24"/>
          <w:szCs w:val="24"/>
          <w:shd w:val="clear" w:color="auto" w:fill="FFFFFF"/>
        </w:rPr>
        <w:t xml:space="preserve">Howarth, and </w:t>
      </w:r>
      <w:proofErr w:type="spellStart"/>
      <w:r w:rsidR="00C84A99" w:rsidRPr="00E143F9">
        <w:rPr>
          <w:rFonts w:ascii="Times New Roman" w:hAnsi="Times New Roman" w:cs="Times New Roman"/>
          <w:color w:val="000000" w:themeColor="text1"/>
          <w:sz w:val="24"/>
          <w:szCs w:val="24"/>
          <w:shd w:val="clear" w:color="auto" w:fill="FFFFFF"/>
        </w:rPr>
        <w:t>Schild</w:t>
      </w:r>
      <w:proofErr w:type="spellEnd"/>
      <w:r w:rsidR="00C84A99" w:rsidRPr="00E143F9">
        <w:rPr>
          <w:rFonts w:ascii="Times New Roman" w:hAnsi="Times New Roman" w:cs="Times New Roman"/>
          <w:color w:val="000000" w:themeColor="text1"/>
          <w:sz w:val="24"/>
          <w:szCs w:val="24"/>
          <w:shd w:val="clear" w:color="auto" w:fill="FFFFFF"/>
        </w:rPr>
        <w:t>, 2021)</w:t>
      </w:r>
      <w:r w:rsidRPr="00E143F9">
        <w:rPr>
          <w:rFonts w:ascii="Times New Roman" w:hAnsi="Times New Roman" w:cs="Times New Roman"/>
          <w:color w:val="000000" w:themeColor="text1"/>
          <w:sz w:val="24"/>
          <w:szCs w:val="24"/>
        </w:rPr>
        <w:t>.</w:t>
      </w:r>
    </w:p>
    <w:p w14:paraId="30F29145" w14:textId="77777777" w:rsidR="001B1A3E" w:rsidRPr="00E143F9" w:rsidRDefault="001B1A3E" w:rsidP="0052397E">
      <w:pPr>
        <w:pStyle w:val="Heading1"/>
        <w:rPr>
          <w:color w:val="000000" w:themeColor="text1"/>
        </w:rPr>
      </w:pPr>
      <w:bookmarkStart w:id="11" w:name="_Toc133317371"/>
      <w:r w:rsidRPr="00E143F9">
        <w:rPr>
          <w:color w:val="000000" w:themeColor="text1"/>
        </w:rPr>
        <w:t>Key Players in the Financial System to End the Crises in the EU</w:t>
      </w:r>
      <w:bookmarkEnd w:id="11"/>
    </w:p>
    <w:p w14:paraId="64BBE339" w14:textId="77777777" w:rsidR="001B1A3E" w:rsidRPr="00E143F9" w:rsidRDefault="001B1A3E" w:rsidP="00AF366E">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There were several other key players apart from the government or authorities, who played a major role in helping the financial system to stabilise which would end the crises and lead the economic downturn to the path of recovery. This primarily includes:</w:t>
      </w:r>
    </w:p>
    <w:p w14:paraId="1708F5C6" w14:textId="77777777" w:rsidR="001B1A3E" w:rsidRPr="00E143F9" w:rsidRDefault="001B1A3E" w:rsidP="0052397E">
      <w:pPr>
        <w:pStyle w:val="Heading1"/>
        <w:rPr>
          <w:color w:val="000000" w:themeColor="text1"/>
          <w:shd w:val="clear" w:color="auto" w:fill="FFFFFF"/>
        </w:rPr>
      </w:pPr>
      <w:bookmarkStart w:id="12" w:name="_Toc133317372"/>
      <w:r w:rsidRPr="00E143F9">
        <w:rPr>
          <w:color w:val="000000" w:themeColor="text1"/>
          <w:shd w:val="clear" w:color="auto" w:fill="FFFFFF"/>
        </w:rPr>
        <w:t>ECB (European Central Bank)</w:t>
      </w:r>
      <w:bookmarkEnd w:id="12"/>
    </w:p>
    <w:p w14:paraId="4DC96E44" w14:textId="77777777" w:rsidR="001B1A3E" w:rsidRPr="00E143F9" w:rsidRDefault="001B1A3E" w:rsidP="00AF366E">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The ECB's role was essential in stabilising the Eurozone division, which impacted the sovereign states as well. Moreover, the ECB was also infusing liquidity to the financial sector. In an effort to provide banks funding, it reduced interest rates and undertook quantitative easing programmes</w:t>
      </w:r>
      <w:r w:rsidR="0049049F" w:rsidRPr="00E143F9">
        <w:rPr>
          <w:rFonts w:ascii="Times New Roman" w:hAnsi="Times New Roman" w:cs="Times New Roman"/>
          <w:color w:val="000000" w:themeColor="text1"/>
          <w:sz w:val="24"/>
          <w:szCs w:val="24"/>
          <w:shd w:val="clear" w:color="auto" w:fill="FFFFFF"/>
        </w:rPr>
        <w:t xml:space="preserve"> (</w:t>
      </w:r>
      <w:proofErr w:type="spellStart"/>
      <w:r w:rsidR="0049049F" w:rsidRPr="00E143F9">
        <w:rPr>
          <w:rFonts w:ascii="Times New Roman" w:hAnsi="Times New Roman" w:cs="Times New Roman"/>
          <w:color w:val="000000" w:themeColor="text1"/>
          <w:sz w:val="24"/>
          <w:szCs w:val="24"/>
          <w:shd w:val="clear" w:color="auto" w:fill="FFFFFF"/>
        </w:rPr>
        <w:t>Quaglia</w:t>
      </w:r>
      <w:proofErr w:type="spellEnd"/>
      <w:r w:rsidR="0049049F" w:rsidRPr="00E143F9">
        <w:rPr>
          <w:rFonts w:ascii="Times New Roman" w:hAnsi="Times New Roman" w:cs="Times New Roman"/>
          <w:color w:val="000000" w:themeColor="text1"/>
          <w:sz w:val="24"/>
          <w:szCs w:val="24"/>
          <w:shd w:val="clear" w:color="auto" w:fill="FFFFFF"/>
        </w:rPr>
        <w:t>, and Verdun, 2023)</w:t>
      </w:r>
      <w:r w:rsidRPr="00E143F9">
        <w:rPr>
          <w:rFonts w:ascii="Times New Roman" w:hAnsi="Times New Roman" w:cs="Times New Roman"/>
          <w:color w:val="000000" w:themeColor="text1"/>
          <w:sz w:val="24"/>
          <w:szCs w:val="24"/>
          <w:shd w:val="clear" w:color="auto" w:fill="FFFFFF"/>
        </w:rPr>
        <w:t>.</w:t>
      </w:r>
    </w:p>
    <w:p w14:paraId="43980F87" w14:textId="77777777" w:rsidR="001B1A3E" w:rsidRPr="00E143F9" w:rsidRDefault="001B1A3E" w:rsidP="0052397E">
      <w:pPr>
        <w:pStyle w:val="Heading1"/>
        <w:rPr>
          <w:color w:val="000000" w:themeColor="text1"/>
        </w:rPr>
      </w:pPr>
      <w:bookmarkStart w:id="13" w:name="_Toc133317373"/>
      <w:r w:rsidRPr="00E143F9">
        <w:rPr>
          <w:color w:val="000000" w:themeColor="text1"/>
        </w:rPr>
        <w:t>International Monetary Fund (IMF)</w:t>
      </w:r>
      <w:bookmarkEnd w:id="13"/>
    </w:p>
    <w:p w14:paraId="3B988C4E" w14:textId="0CE4DF3E"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order to bail out countries in the Eurozone division, the IMF extended financial support. It collaborated with the ECB and European Commission to finance and implement out changes in structure in nations like Greece, Ireland, and Portugal</w:t>
      </w:r>
      <w:r w:rsidR="0049049F" w:rsidRPr="00E143F9">
        <w:rPr>
          <w:rFonts w:ascii="Times New Roman" w:hAnsi="Times New Roman" w:cs="Times New Roman"/>
          <w:color w:val="000000" w:themeColor="text1"/>
          <w:sz w:val="24"/>
          <w:szCs w:val="24"/>
        </w:rPr>
        <w:t xml:space="preserve"> (</w:t>
      </w:r>
      <w:r w:rsidR="0049049F" w:rsidRPr="00E143F9">
        <w:rPr>
          <w:rFonts w:ascii="Times New Roman" w:hAnsi="Times New Roman" w:cs="Times New Roman"/>
          <w:color w:val="000000" w:themeColor="text1"/>
          <w:sz w:val="24"/>
          <w:szCs w:val="24"/>
          <w:shd w:val="clear" w:color="auto" w:fill="FFFFFF"/>
        </w:rPr>
        <w:t xml:space="preserve">Fritz, and </w:t>
      </w:r>
      <w:proofErr w:type="spellStart"/>
      <w:r w:rsidR="0049049F" w:rsidRPr="00E143F9">
        <w:rPr>
          <w:rFonts w:ascii="Times New Roman" w:hAnsi="Times New Roman" w:cs="Times New Roman"/>
          <w:color w:val="000000" w:themeColor="text1"/>
          <w:sz w:val="24"/>
          <w:szCs w:val="24"/>
          <w:shd w:val="clear" w:color="auto" w:fill="FFFFFF"/>
        </w:rPr>
        <w:t>Mühlich</w:t>
      </w:r>
      <w:proofErr w:type="spellEnd"/>
      <w:r w:rsidR="0049049F" w:rsidRPr="00E143F9">
        <w:rPr>
          <w:rFonts w:ascii="Times New Roman" w:hAnsi="Times New Roman" w:cs="Times New Roman"/>
          <w:color w:val="000000" w:themeColor="text1"/>
          <w:sz w:val="24"/>
          <w:szCs w:val="24"/>
          <w:shd w:val="clear" w:color="auto" w:fill="FFFFFF"/>
        </w:rPr>
        <w:t>, 2019)</w:t>
      </w:r>
      <w:r w:rsidRPr="00E143F9">
        <w:rPr>
          <w:rFonts w:ascii="Times New Roman" w:hAnsi="Times New Roman" w:cs="Times New Roman"/>
          <w:color w:val="000000" w:themeColor="text1"/>
          <w:sz w:val="24"/>
          <w:szCs w:val="24"/>
        </w:rPr>
        <w:t>.</w:t>
      </w:r>
    </w:p>
    <w:p w14:paraId="664B5324" w14:textId="0CE4DF3E" w:rsidR="001B1A3E" w:rsidRPr="00E143F9" w:rsidRDefault="001B1A3E" w:rsidP="0052397E">
      <w:pPr>
        <w:pStyle w:val="Heading1"/>
        <w:rPr>
          <w:color w:val="000000" w:themeColor="text1"/>
        </w:rPr>
      </w:pPr>
      <w:bookmarkStart w:id="14" w:name="_Toc133317374"/>
      <w:r w:rsidRPr="00E143F9">
        <w:rPr>
          <w:color w:val="000000" w:themeColor="text1"/>
        </w:rPr>
        <w:lastRenderedPageBreak/>
        <w:t>European Banking Authority (EBA)</w:t>
      </w:r>
      <w:bookmarkEnd w:id="14"/>
    </w:p>
    <w:p w14:paraId="72C17EDE"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EBA, the European Banking Authority In an effort to oversee the European banking industry, the EBA was established in 2011. To make sure banks had enough capital to withstand impending financial shocks, they proposed stress tests</w:t>
      </w:r>
      <w:r w:rsidR="0049049F" w:rsidRPr="00E143F9">
        <w:rPr>
          <w:rFonts w:ascii="Times New Roman" w:hAnsi="Times New Roman" w:cs="Times New Roman"/>
          <w:color w:val="000000" w:themeColor="text1"/>
          <w:sz w:val="24"/>
          <w:szCs w:val="24"/>
        </w:rPr>
        <w:t xml:space="preserve"> </w:t>
      </w:r>
      <w:r w:rsidR="0049049F" w:rsidRPr="00E143F9">
        <w:rPr>
          <w:rFonts w:ascii="Times New Roman" w:hAnsi="Times New Roman" w:cs="Times New Roman"/>
          <w:color w:val="000000" w:themeColor="text1"/>
          <w:sz w:val="24"/>
          <w:szCs w:val="24"/>
          <w:shd w:val="clear" w:color="auto" w:fill="FFFFFF"/>
        </w:rPr>
        <w:t>(</w:t>
      </w:r>
      <w:proofErr w:type="spellStart"/>
      <w:r w:rsidR="0049049F" w:rsidRPr="00E143F9">
        <w:rPr>
          <w:rFonts w:ascii="Times New Roman" w:hAnsi="Times New Roman" w:cs="Times New Roman"/>
          <w:color w:val="000000" w:themeColor="text1"/>
          <w:sz w:val="24"/>
          <w:szCs w:val="24"/>
          <w:shd w:val="clear" w:color="auto" w:fill="FFFFFF"/>
        </w:rPr>
        <w:t>Quaglia</w:t>
      </w:r>
      <w:proofErr w:type="spellEnd"/>
      <w:r w:rsidR="0049049F" w:rsidRPr="00E143F9">
        <w:rPr>
          <w:rFonts w:ascii="Times New Roman" w:hAnsi="Times New Roman" w:cs="Times New Roman"/>
          <w:color w:val="000000" w:themeColor="text1"/>
          <w:sz w:val="24"/>
          <w:szCs w:val="24"/>
          <w:shd w:val="clear" w:color="auto" w:fill="FFFFFF"/>
        </w:rPr>
        <w:t>, and Verdun, 2023)</w:t>
      </w:r>
      <w:r w:rsidRPr="00E143F9">
        <w:rPr>
          <w:rFonts w:ascii="Times New Roman" w:hAnsi="Times New Roman" w:cs="Times New Roman"/>
          <w:color w:val="000000" w:themeColor="text1"/>
          <w:sz w:val="24"/>
          <w:szCs w:val="24"/>
        </w:rPr>
        <w:t>.</w:t>
      </w:r>
    </w:p>
    <w:p w14:paraId="042CEEFB" w14:textId="77777777" w:rsidR="001B1A3E" w:rsidRPr="00E143F9" w:rsidRDefault="001B1A3E" w:rsidP="0052397E">
      <w:pPr>
        <w:pStyle w:val="Heading1"/>
        <w:rPr>
          <w:color w:val="000000" w:themeColor="text1"/>
        </w:rPr>
      </w:pPr>
      <w:bookmarkStart w:id="15" w:name="_Toc133317375"/>
      <w:r w:rsidRPr="00E143F9">
        <w:rPr>
          <w:color w:val="000000" w:themeColor="text1"/>
        </w:rPr>
        <w:t>European Securities and Markets Authority (ESMA)</w:t>
      </w:r>
      <w:bookmarkEnd w:id="15"/>
    </w:p>
    <w:p w14:paraId="4AD8CF0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As a regulatory body in charge of regulating the European securities and markets industry, the ESMA was founded in 2011. In order to promote accountability and openness in the financial markets, new regulations have been put into place</w:t>
      </w:r>
      <w:r w:rsidR="0049049F" w:rsidRPr="00E143F9">
        <w:rPr>
          <w:rFonts w:ascii="Times New Roman" w:hAnsi="Times New Roman" w:cs="Times New Roman"/>
          <w:color w:val="000000" w:themeColor="text1"/>
          <w:sz w:val="24"/>
          <w:szCs w:val="24"/>
        </w:rPr>
        <w:t xml:space="preserve"> (</w:t>
      </w:r>
      <w:r w:rsidR="0049049F" w:rsidRPr="00E143F9">
        <w:rPr>
          <w:rFonts w:ascii="Times New Roman" w:hAnsi="Times New Roman" w:cs="Times New Roman"/>
          <w:color w:val="000000" w:themeColor="text1"/>
          <w:sz w:val="24"/>
          <w:szCs w:val="24"/>
          <w:shd w:val="clear" w:color="auto" w:fill="FFFFFF"/>
        </w:rPr>
        <w:t xml:space="preserve">Fritz, and </w:t>
      </w:r>
      <w:proofErr w:type="spellStart"/>
      <w:r w:rsidR="0049049F" w:rsidRPr="00E143F9">
        <w:rPr>
          <w:rFonts w:ascii="Times New Roman" w:hAnsi="Times New Roman" w:cs="Times New Roman"/>
          <w:color w:val="000000" w:themeColor="text1"/>
          <w:sz w:val="24"/>
          <w:szCs w:val="24"/>
          <w:shd w:val="clear" w:color="auto" w:fill="FFFFFF"/>
        </w:rPr>
        <w:t>Mühlich</w:t>
      </w:r>
      <w:proofErr w:type="spellEnd"/>
      <w:r w:rsidR="0049049F" w:rsidRPr="00E143F9">
        <w:rPr>
          <w:rFonts w:ascii="Times New Roman" w:hAnsi="Times New Roman" w:cs="Times New Roman"/>
          <w:color w:val="000000" w:themeColor="text1"/>
          <w:sz w:val="24"/>
          <w:szCs w:val="24"/>
          <w:shd w:val="clear" w:color="auto" w:fill="FFFFFF"/>
        </w:rPr>
        <w:t>, 2019)</w:t>
      </w:r>
      <w:r w:rsidRPr="00E143F9">
        <w:rPr>
          <w:rFonts w:ascii="Times New Roman" w:hAnsi="Times New Roman" w:cs="Times New Roman"/>
          <w:color w:val="000000" w:themeColor="text1"/>
          <w:sz w:val="24"/>
          <w:szCs w:val="24"/>
        </w:rPr>
        <w:t>.</w:t>
      </w:r>
    </w:p>
    <w:p w14:paraId="7A8C0494" w14:textId="77777777" w:rsidR="001B1A3E" w:rsidRPr="00E143F9" w:rsidRDefault="001B1A3E" w:rsidP="00AF366E">
      <w:pPr>
        <w:spacing w:line="360" w:lineRule="auto"/>
        <w:jc w:val="both"/>
        <w:rPr>
          <w:rFonts w:ascii="Times New Roman" w:hAnsi="Times New Roman" w:cs="Times New Roman"/>
          <w:b/>
          <w:color w:val="000000" w:themeColor="text1"/>
          <w:sz w:val="24"/>
          <w:szCs w:val="24"/>
        </w:rPr>
      </w:pPr>
      <w:r w:rsidRPr="00E143F9">
        <w:rPr>
          <w:rFonts w:ascii="Times New Roman" w:hAnsi="Times New Roman" w:cs="Times New Roman"/>
          <w:b/>
          <w:color w:val="000000" w:themeColor="text1"/>
          <w:sz w:val="24"/>
          <w:szCs w:val="24"/>
        </w:rPr>
        <w:t>Contribution of the Reforms on Stabilising the Financial System Post 2008 Crises</w:t>
      </w:r>
    </w:p>
    <w:p w14:paraId="6898A051"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Prior to the 2008 crises, the EU policymakers and economists were known for actively offering policy recommendations to other countries on avoiding or managing crises. However, the country was itself hit by the crisis all of a sudden, which started in the USA but spread to the entire world economy thus affecting the EU as well. Even though there were several financial waves of panic before, its magnitude and severity were unprecedented. This prompted the EU authorities to take certain major decisions for improving the situation and allowing the market to avoid such crises in the future</w:t>
      </w:r>
      <w:r w:rsidR="0049049F" w:rsidRPr="00E143F9">
        <w:rPr>
          <w:color w:val="000000" w:themeColor="text1"/>
        </w:rPr>
        <w:t xml:space="preserve"> (</w:t>
      </w:r>
      <w:proofErr w:type="spellStart"/>
      <w:r w:rsidR="0049049F" w:rsidRPr="00E143F9">
        <w:rPr>
          <w:color w:val="000000" w:themeColor="text1"/>
          <w:shd w:val="clear" w:color="auto" w:fill="FFFFFF"/>
        </w:rPr>
        <w:t>Kalaitzake</w:t>
      </w:r>
      <w:proofErr w:type="spellEnd"/>
      <w:r w:rsidR="0049049F" w:rsidRPr="00E143F9">
        <w:rPr>
          <w:color w:val="000000" w:themeColor="text1"/>
          <w:shd w:val="clear" w:color="auto" w:fill="FFFFFF"/>
        </w:rPr>
        <w:t>, 2019)</w:t>
      </w:r>
      <w:r w:rsidRPr="00E143F9">
        <w:rPr>
          <w:color w:val="000000" w:themeColor="text1"/>
        </w:rPr>
        <w:t>.</w:t>
      </w:r>
    </w:p>
    <w:p w14:paraId="424B3BB0"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One of the key takeaways from the global financial crisis of 2007–2009 was that the regulatory frameworks in existence at the time overemphasised the monitoring of particular businesses while glossing over the supervision of the financial system in its entirety. It is referred to as the macroprudential supervision</w:t>
      </w:r>
      <w:r w:rsidR="0049049F" w:rsidRPr="00E143F9">
        <w:rPr>
          <w:color w:val="000000" w:themeColor="text1"/>
        </w:rPr>
        <w:t xml:space="preserve"> (European Union Committee, 2015)</w:t>
      </w:r>
      <w:r w:rsidRPr="00E143F9">
        <w:rPr>
          <w:color w:val="000000" w:themeColor="text1"/>
        </w:rPr>
        <w:t>. Institutional interconnectivity can end up in systemic challenges that are not internalised by the institutions themselves. Due to the similarity of their asset portfolios, the interrelated nature of networks that create the potential for immediate contagion, and the potential fire sale of assets that may occur during stress episodes, banking organisations have correlated their financial statements</w:t>
      </w:r>
      <w:r w:rsidR="0049049F" w:rsidRPr="00E143F9">
        <w:rPr>
          <w:color w:val="000000" w:themeColor="text1"/>
        </w:rPr>
        <w:t xml:space="preserve"> (European Union Committee, 2015)</w:t>
      </w:r>
      <w:r w:rsidRPr="00E143F9">
        <w:rPr>
          <w:color w:val="000000" w:themeColor="text1"/>
        </w:rPr>
        <w:t>. </w:t>
      </w:r>
    </w:p>
    <w:p w14:paraId="5B3D96DE"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 xml:space="preserve">The EU authorities' reforms, comprising of laws, programmes, and critical measures from the ECB, IMF, EBA, and ESMA, were extremely important in stabilising the financial system following the 2008 financial crisis. Amongst the effects of these reforms, some major ones are: </w:t>
      </w:r>
    </w:p>
    <w:p w14:paraId="64D1AADF"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The EU authorities' reforms, comprising of laws, programmes, and critical measures from the ECB, IMF, EBA, and ESMA, were extremely important in stabilising the financial system following the 2008 financial crisis</w:t>
      </w:r>
      <w:r w:rsidR="0049049F" w:rsidRPr="00E143F9">
        <w:rPr>
          <w:color w:val="000000" w:themeColor="text1"/>
        </w:rPr>
        <w:t xml:space="preserve"> (</w:t>
      </w:r>
      <w:proofErr w:type="spellStart"/>
      <w:r w:rsidR="0049049F" w:rsidRPr="00E143F9">
        <w:rPr>
          <w:color w:val="000000" w:themeColor="text1"/>
          <w:shd w:val="clear" w:color="auto" w:fill="FFFFFF"/>
        </w:rPr>
        <w:t>Quaglia</w:t>
      </w:r>
      <w:proofErr w:type="spellEnd"/>
      <w:r w:rsidR="0049049F" w:rsidRPr="00E143F9">
        <w:rPr>
          <w:color w:val="000000" w:themeColor="text1"/>
          <w:shd w:val="clear" w:color="auto" w:fill="FFFFFF"/>
        </w:rPr>
        <w:t xml:space="preserve">, and </w:t>
      </w:r>
      <w:proofErr w:type="spellStart"/>
      <w:r w:rsidR="0049049F" w:rsidRPr="00E143F9">
        <w:rPr>
          <w:color w:val="000000" w:themeColor="text1"/>
          <w:shd w:val="clear" w:color="auto" w:fill="FFFFFF"/>
        </w:rPr>
        <w:t>Spendzharova</w:t>
      </w:r>
      <w:proofErr w:type="spellEnd"/>
      <w:r w:rsidR="0049049F" w:rsidRPr="00E143F9">
        <w:rPr>
          <w:color w:val="000000" w:themeColor="text1"/>
          <w:shd w:val="clear" w:color="auto" w:fill="FFFFFF"/>
        </w:rPr>
        <w:t>, 2023)</w:t>
      </w:r>
      <w:r w:rsidRPr="00E143F9">
        <w:rPr>
          <w:color w:val="000000" w:themeColor="text1"/>
        </w:rPr>
        <w:t>. Amongst the effects of these reforms, some major ones are:</w:t>
      </w:r>
    </w:p>
    <w:p w14:paraId="5A952040"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lastRenderedPageBreak/>
        <w:t>Bigger Capital Buffers: Banks are now required to keep more powerful capital levels than in previous decades, which make it easier for them for shouldering losses during periods of financial stress</w:t>
      </w:r>
      <w:r w:rsidR="0049049F" w:rsidRPr="00E143F9">
        <w:rPr>
          <w:color w:val="000000" w:themeColor="text1"/>
        </w:rPr>
        <w:t xml:space="preserve"> (</w:t>
      </w:r>
      <w:r w:rsidR="0049049F" w:rsidRPr="00E143F9">
        <w:rPr>
          <w:color w:val="000000" w:themeColor="text1"/>
          <w:shd w:val="clear" w:color="auto" w:fill="FFFFFF"/>
        </w:rPr>
        <w:t xml:space="preserve">Meier </w:t>
      </w:r>
      <w:r w:rsidR="0049049F" w:rsidRPr="00E143F9">
        <w:rPr>
          <w:i/>
          <w:color w:val="000000" w:themeColor="text1"/>
          <w:shd w:val="clear" w:color="auto" w:fill="FFFFFF"/>
        </w:rPr>
        <w:t>et al</w:t>
      </w:r>
      <w:r w:rsidR="0049049F" w:rsidRPr="00E143F9">
        <w:rPr>
          <w:color w:val="000000" w:themeColor="text1"/>
          <w:shd w:val="clear" w:color="auto" w:fill="FFFFFF"/>
        </w:rPr>
        <w:t>. 2021)</w:t>
      </w:r>
      <w:r w:rsidRPr="00E143F9">
        <w:rPr>
          <w:color w:val="000000" w:themeColor="text1"/>
        </w:rPr>
        <w:t>.</w:t>
      </w:r>
    </w:p>
    <w:p w14:paraId="26031F07"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Greater control and regulations: The formation of new regulatory organisations like the EBA and ESMA has bolstered financial system tracking while promoting accountability as well as openness in the financial markets. The authorities and every other stakeholder were more careful and cautious due to the economic burden placed by the financial crises. Therefore, the regulatory organisations also started maintaining a strict regulatory control over all financial institutions including the banks</w:t>
      </w:r>
      <w:r w:rsidR="0049049F" w:rsidRPr="00E143F9">
        <w:rPr>
          <w:color w:val="000000" w:themeColor="text1"/>
        </w:rPr>
        <w:t xml:space="preserve"> (</w:t>
      </w:r>
      <w:r w:rsidR="0049049F" w:rsidRPr="00E143F9">
        <w:rPr>
          <w:color w:val="000000" w:themeColor="text1"/>
          <w:shd w:val="clear" w:color="auto" w:fill="FFFFFF"/>
        </w:rPr>
        <w:t xml:space="preserve">Meier </w:t>
      </w:r>
      <w:r w:rsidR="0049049F" w:rsidRPr="00E143F9">
        <w:rPr>
          <w:i/>
          <w:color w:val="000000" w:themeColor="text1"/>
          <w:shd w:val="clear" w:color="auto" w:fill="FFFFFF"/>
        </w:rPr>
        <w:t>et al</w:t>
      </w:r>
      <w:r w:rsidR="0049049F" w:rsidRPr="00E143F9">
        <w:rPr>
          <w:color w:val="000000" w:themeColor="text1"/>
          <w:shd w:val="clear" w:color="auto" w:fill="FFFFFF"/>
        </w:rPr>
        <w:t>. 2021)</w:t>
      </w:r>
      <w:r w:rsidRPr="00E143F9">
        <w:rPr>
          <w:color w:val="000000" w:themeColor="text1"/>
        </w:rPr>
        <w:t>.</w:t>
      </w:r>
    </w:p>
    <w:p w14:paraId="60CA18F9" w14:textId="77777777" w:rsidR="001B1A3E" w:rsidRPr="00E143F9" w:rsidRDefault="001B1A3E" w:rsidP="00AF366E">
      <w:pPr>
        <w:pStyle w:val="NormalWeb"/>
        <w:spacing w:before="0" w:beforeAutospacing="0" w:after="0" w:afterAutospacing="0" w:line="360" w:lineRule="auto"/>
        <w:jc w:val="both"/>
        <w:rPr>
          <w:color w:val="000000" w:themeColor="text1"/>
        </w:rPr>
      </w:pPr>
      <w:r w:rsidRPr="00E143F9">
        <w:rPr>
          <w:color w:val="000000" w:themeColor="text1"/>
        </w:rPr>
        <w:t xml:space="preserve">Creation of ESAs (European Supervisory Authorities): The on-going debate over how best to restructure the institutional framework that supports the EU financial system of supervision was triggered by the financial crisis. The de </w:t>
      </w:r>
      <w:proofErr w:type="spellStart"/>
      <w:r w:rsidRPr="00E143F9">
        <w:rPr>
          <w:color w:val="000000" w:themeColor="text1"/>
        </w:rPr>
        <w:t>Larosière</w:t>
      </w:r>
      <w:proofErr w:type="spellEnd"/>
      <w:r w:rsidRPr="00E143F9">
        <w:rPr>
          <w:color w:val="000000" w:themeColor="text1"/>
        </w:rPr>
        <w:t xml:space="preserve"> Group closely investigated the current problems, and the European Commission approved their suggestions. A new EU supervisory institutional framework was set up in September 2010 as an outcome of EU legislation that was passed at the time. Based on a network design, the new European System of Financial Supervision (ESFS), which went into force in January 2011, was created</w:t>
      </w:r>
      <w:r w:rsidR="0049049F" w:rsidRPr="00E143F9">
        <w:rPr>
          <w:color w:val="000000" w:themeColor="text1"/>
        </w:rPr>
        <w:t xml:space="preserve"> (</w:t>
      </w:r>
      <w:proofErr w:type="spellStart"/>
      <w:r w:rsidR="0049049F" w:rsidRPr="00E143F9">
        <w:rPr>
          <w:color w:val="000000" w:themeColor="text1"/>
          <w:shd w:val="clear" w:color="auto" w:fill="FFFFFF"/>
        </w:rPr>
        <w:t>Hobelsberger</w:t>
      </w:r>
      <w:proofErr w:type="spellEnd"/>
      <w:r w:rsidR="0049049F" w:rsidRPr="00E143F9">
        <w:rPr>
          <w:color w:val="000000" w:themeColor="text1"/>
          <w:shd w:val="clear" w:color="auto" w:fill="FFFFFF"/>
        </w:rPr>
        <w:t xml:space="preserve"> </w:t>
      </w:r>
      <w:r w:rsidR="0049049F" w:rsidRPr="00E143F9">
        <w:rPr>
          <w:i/>
          <w:color w:val="000000" w:themeColor="text1"/>
          <w:shd w:val="clear" w:color="auto" w:fill="FFFFFF"/>
        </w:rPr>
        <w:t>et al</w:t>
      </w:r>
      <w:r w:rsidR="0049049F" w:rsidRPr="00E143F9">
        <w:rPr>
          <w:color w:val="000000" w:themeColor="text1"/>
          <w:shd w:val="clear" w:color="auto" w:fill="FFFFFF"/>
        </w:rPr>
        <w:t>. 2022)</w:t>
      </w:r>
      <w:r w:rsidRPr="00E143F9">
        <w:rPr>
          <w:color w:val="000000" w:themeColor="text1"/>
        </w:rPr>
        <w:t>. The vast majority of supervision continues to be done at the national level by national competent regulatory agencies (NCAs). In order to enhance EU-wide inspection and rulemaking, all three new European Supervisory Authorities (ESAs) have been assigned with particular supervisory and sort of pseudo-regulatory duties. They made up of the European Banking Authority (EBA), the European Securities and Markets Authority (ESMA), and the European Insurance and Occupational Pensions Authority (EIOPA), and they perform on a sector-by-sector basis. The European Systemic Risk Board (ESRB), which is an integral part of the ESFS, has been assigned with maintaining a watch out for macroprudential and systemic risks in the EU financial system</w:t>
      </w:r>
      <w:r w:rsidR="0049049F" w:rsidRPr="00E143F9">
        <w:rPr>
          <w:color w:val="000000" w:themeColor="text1"/>
        </w:rPr>
        <w:t xml:space="preserve"> (</w:t>
      </w:r>
      <w:proofErr w:type="spellStart"/>
      <w:r w:rsidR="0049049F" w:rsidRPr="00E143F9">
        <w:rPr>
          <w:color w:val="000000" w:themeColor="text1"/>
          <w:shd w:val="clear" w:color="auto" w:fill="FFFFFF"/>
        </w:rPr>
        <w:t>Hobelsberger</w:t>
      </w:r>
      <w:proofErr w:type="spellEnd"/>
      <w:r w:rsidR="0049049F" w:rsidRPr="00E143F9">
        <w:rPr>
          <w:color w:val="000000" w:themeColor="text1"/>
          <w:shd w:val="clear" w:color="auto" w:fill="FFFFFF"/>
        </w:rPr>
        <w:t xml:space="preserve"> </w:t>
      </w:r>
      <w:r w:rsidR="0049049F" w:rsidRPr="00E143F9">
        <w:rPr>
          <w:i/>
          <w:color w:val="000000" w:themeColor="text1"/>
          <w:shd w:val="clear" w:color="auto" w:fill="FFFFFF"/>
        </w:rPr>
        <w:t>et al</w:t>
      </w:r>
      <w:r w:rsidR="0049049F" w:rsidRPr="00E143F9">
        <w:rPr>
          <w:color w:val="000000" w:themeColor="text1"/>
          <w:shd w:val="clear" w:color="auto" w:fill="FFFFFF"/>
        </w:rPr>
        <w:t>. 2022)</w:t>
      </w:r>
      <w:r w:rsidRPr="00E143F9">
        <w:rPr>
          <w:color w:val="000000" w:themeColor="text1"/>
        </w:rPr>
        <w:t>.</w:t>
      </w:r>
    </w:p>
    <w:p w14:paraId="442CE299"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Strengthened crisis management frameworks: The formation of the European Stability Mechanism (ESM) and the Single Resolution Mechanism (SRM) resulted in mechanisms for the successful and coordinated administration of financial crises. The crisis management frameworks were developed as part of the EU’s integrated approach. Before the crises, there were 27 unique regulatory systems meant for regulating the activities and practices of banks and they were mainly developed in accordance to the national rules as well rescue approaches</w:t>
      </w:r>
      <w:r w:rsidR="00AF366E" w:rsidRPr="00E143F9">
        <w:rPr>
          <w:rFonts w:ascii="Times New Roman" w:hAnsi="Times New Roman" w:cs="Times New Roman"/>
          <w:color w:val="000000" w:themeColor="text1"/>
          <w:sz w:val="24"/>
          <w:szCs w:val="24"/>
        </w:rPr>
        <w:t xml:space="preserve"> (European Union Committee, 2015)</w:t>
      </w:r>
      <w:r w:rsidRPr="00E143F9">
        <w:rPr>
          <w:rFonts w:ascii="Times New Roman" w:hAnsi="Times New Roman" w:cs="Times New Roman"/>
          <w:color w:val="000000" w:themeColor="text1"/>
          <w:sz w:val="24"/>
          <w:szCs w:val="24"/>
        </w:rPr>
        <w:t xml:space="preserve">. However, it was not capable of allowing the EU to handle the magnitude of financial crises, mainly due to its distinct systemic nature. This was primarily </w:t>
      </w:r>
      <w:r w:rsidRPr="00E143F9">
        <w:rPr>
          <w:rFonts w:ascii="Times New Roman" w:hAnsi="Times New Roman" w:cs="Times New Roman"/>
          <w:color w:val="000000" w:themeColor="text1"/>
          <w:sz w:val="24"/>
          <w:szCs w:val="24"/>
        </w:rPr>
        <w:lastRenderedPageBreak/>
        <w:t>resolved by the improved crisis management frameworks, which were developed post the crises</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Högenauer</w:t>
      </w:r>
      <w:proofErr w:type="spellEnd"/>
      <w:r w:rsidR="00AF366E" w:rsidRPr="00E143F9">
        <w:rPr>
          <w:rFonts w:ascii="Times New Roman" w:hAnsi="Times New Roman" w:cs="Times New Roman"/>
          <w:color w:val="000000" w:themeColor="text1"/>
          <w:sz w:val="24"/>
          <w:szCs w:val="24"/>
          <w:shd w:val="clear" w:color="auto" w:fill="FFFFFF"/>
        </w:rPr>
        <w:t xml:space="preserve"> </w:t>
      </w:r>
      <w:r w:rsidR="00AF366E" w:rsidRPr="00E143F9">
        <w:rPr>
          <w:rFonts w:ascii="Times New Roman" w:hAnsi="Times New Roman" w:cs="Times New Roman"/>
          <w:i/>
          <w:color w:val="000000" w:themeColor="text1"/>
          <w:sz w:val="24"/>
          <w:szCs w:val="24"/>
          <w:shd w:val="clear" w:color="auto" w:fill="FFFFFF"/>
        </w:rPr>
        <w:t>et al</w:t>
      </w:r>
      <w:r w:rsidR="00AF366E" w:rsidRPr="00E143F9">
        <w:rPr>
          <w:rFonts w:ascii="Times New Roman" w:hAnsi="Times New Roman" w:cs="Times New Roman"/>
          <w:color w:val="000000" w:themeColor="text1"/>
          <w:sz w:val="24"/>
          <w:szCs w:val="24"/>
          <w:shd w:val="clear" w:color="auto" w:fill="FFFFFF"/>
        </w:rPr>
        <w:t>. 2023)</w:t>
      </w:r>
      <w:r w:rsidRPr="00E143F9">
        <w:rPr>
          <w:rFonts w:ascii="Times New Roman" w:hAnsi="Times New Roman" w:cs="Times New Roman"/>
          <w:color w:val="000000" w:themeColor="text1"/>
          <w:sz w:val="24"/>
          <w:szCs w:val="24"/>
        </w:rPr>
        <w:t xml:space="preserve">. </w:t>
      </w:r>
    </w:p>
    <w:p w14:paraId="08FDCEC5"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Higher cooperation and coordination: The EU's authorities have worked together to deal with the crisis's fundamental causes. They also provide financial support to distressed members states, while making structural reforms that encourage stability and growth.</w:t>
      </w:r>
    </w:p>
    <w:p w14:paraId="0BF1FE1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Overall, these developments have lowered the probability of future crises and contributed to restoring trust in the financial system. In order to guarantee the long-term viability and adaptability of the European financial system, however, on-going measures are required</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Schenk, 2021)</w:t>
      </w:r>
      <w:r w:rsidRPr="00E143F9">
        <w:rPr>
          <w:rFonts w:ascii="Times New Roman" w:hAnsi="Times New Roman" w:cs="Times New Roman"/>
          <w:color w:val="000000" w:themeColor="text1"/>
          <w:sz w:val="24"/>
          <w:szCs w:val="24"/>
        </w:rPr>
        <w:t>.</w:t>
      </w:r>
    </w:p>
    <w:p w14:paraId="5DAE47E5" w14:textId="77777777" w:rsidR="00244771" w:rsidRPr="00E143F9" w:rsidRDefault="00244771" w:rsidP="00244771">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Europe and the UK, infrastructural management is a complex and growing topic that encompasses an array of policies, legislation, and rules (</w:t>
      </w:r>
      <w:r w:rsidRPr="00E143F9">
        <w:rPr>
          <w:rFonts w:ascii="Times New Roman" w:hAnsi="Times New Roman" w:cs="Times New Roman"/>
          <w:color w:val="000000" w:themeColor="text1"/>
          <w:sz w:val="24"/>
          <w:szCs w:val="24"/>
          <w:shd w:val="clear" w:color="auto" w:fill="FFFFFF"/>
        </w:rPr>
        <w:t>Bernier, 2022)</w:t>
      </w:r>
      <w:r w:rsidRPr="00E143F9">
        <w:rPr>
          <w:rFonts w:ascii="Times New Roman" w:hAnsi="Times New Roman" w:cs="Times New Roman"/>
          <w:color w:val="000000" w:themeColor="text1"/>
          <w:sz w:val="24"/>
          <w:szCs w:val="24"/>
        </w:rPr>
        <w:t>. Infrastructure regulation's significant goal is to make certain that essential infrastructure, such as telecommunications, power, and transportation systems, are constructed, preserved, and run in a trustworthy, secure, and efficient manner. The European Commission, which is in charge of setting regulations and policies that have an impact on the creation and use of buildings throughout the EU, is in charge of monitoring building regulations in the European Union (EU). Numerous regulatory structures were created by the EU to address specific infrastructural sectors, like telecommunications, energy, and transport.</w:t>
      </w:r>
    </w:p>
    <w:p w14:paraId="0209003A" w14:textId="77777777" w:rsidR="00244771" w:rsidRPr="00E143F9" w:rsidRDefault="00244771"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In the UK, a variety of organizations are in the position of governing infrastructure, including the Office for the Regulation of Rail and Road (ORR) in transportation, the Office of Communication (Ofcom) for telecommunications, and the Department of Gas and Electric Markets (Ofgem) for electricity (</w:t>
      </w:r>
      <w:proofErr w:type="spellStart"/>
      <w:r w:rsidRPr="00E143F9">
        <w:rPr>
          <w:rFonts w:ascii="Times New Roman" w:hAnsi="Times New Roman" w:cs="Times New Roman"/>
          <w:color w:val="000000" w:themeColor="text1"/>
          <w:sz w:val="24"/>
          <w:szCs w:val="24"/>
          <w:shd w:val="clear" w:color="auto" w:fill="FFFFFF"/>
        </w:rPr>
        <w:t>Chaisse</w:t>
      </w:r>
      <w:proofErr w:type="spellEnd"/>
      <w:r w:rsidRPr="00E143F9">
        <w:rPr>
          <w:rFonts w:ascii="Times New Roman" w:hAnsi="Times New Roman" w:cs="Times New Roman"/>
          <w:color w:val="000000" w:themeColor="text1"/>
          <w:sz w:val="24"/>
          <w:szCs w:val="24"/>
          <w:shd w:val="clear" w:color="auto" w:fill="FFFFFF"/>
        </w:rPr>
        <w:t xml:space="preserve"> and </w:t>
      </w:r>
      <w:proofErr w:type="spellStart"/>
      <w:r w:rsidRPr="00E143F9">
        <w:rPr>
          <w:rFonts w:ascii="Times New Roman" w:hAnsi="Times New Roman" w:cs="Times New Roman"/>
          <w:color w:val="000000" w:themeColor="text1"/>
          <w:sz w:val="24"/>
          <w:szCs w:val="24"/>
          <w:shd w:val="clear" w:color="auto" w:fill="FFFFFF"/>
        </w:rPr>
        <w:t>Dimitropoulos</w:t>
      </w:r>
      <w:proofErr w:type="spellEnd"/>
      <w:r w:rsidRPr="00E143F9">
        <w:rPr>
          <w:rFonts w:ascii="Times New Roman" w:hAnsi="Times New Roman" w:cs="Times New Roman"/>
          <w:color w:val="000000" w:themeColor="text1"/>
          <w:sz w:val="24"/>
          <w:szCs w:val="24"/>
          <w:shd w:val="clear" w:color="auto" w:fill="FFFFFF"/>
        </w:rPr>
        <w:t>, 2023)</w:t>
      </w:r>
      <w:r w:rsidRPr="00E143F9">
        <w:rPr>
          <w:rFonts w:ascii="Times New Roman" w:hAnsi="Times New Roman" w:cs="Times New Roman"/>
          <w:color w:val="000000" w:themeColor="text1"/>
          <w:sz w:val="24"/>
          <w:szCs w:val="24"/>
        </w:rPr>
        <w:t>. These organizations are responsibility for making certain infrastructure providers comply with a set of safety, reliability, and effectiveness requirements. They have the power to issue fines or additional penalties for failure to comply. The UK just implemented an important shift in how it governs facilities with the government seeking a more unbiased and streamlined regulatory structure. For instance, the federal government created the recently established National Infrastructure Commission (NIC) to offer independent guidance on the preparation for and funding of infrastructures (</w:t>
      </w:r>
      <w:proofErr w:type="spellStart"/>
      <w:r w:rsidRPr="00E143F9">
        <w:rPr>
          <w:rFonts w:ascii="Times New Roman" w:hAnsi="Times New Roman" w:cs="Times New Roman"/>
          <w:color w:val="000000" w:themeColor="text1"/>
          <w:sz w:val="24"/>
          <w:szCs w:val="24"/>
          <w:shd w:val="clear" w:color="auto" w:fill="FFFFFF"/>
        </w:rPr>
        <w:t>Focacci</w:t>
      </w:r>
      <w:proofErr w:type="spellEnd"/>
      <w:r w:rsidRPr="00E143F9">
        <w:rPr>
          <w:rFonts w:ascii="Times New Roman" w:hAnsi="Times New Roman" w:cs="Times New Roman"/>
          <w:color w:val="000000" w:themeColor="text1"/>
          <w:sz w:val="24"/>
          <w:szCs w:val="24"/>
          <w:shd w:val="clear" w:color="auto" w:fill="FFFFFF"/>
        </w:rPr>
        <w:t xml:space="preserve"> and Perez, 2022)</w:t>
      </w:r>
      <w:r w:rsidRPr="00E143F9">
        <w:rPr>
          <w:rFonts w:ascii="Times New Roman" w:hAnsi="Times New Roman" w:cs="Times New Roman"/>
          <w:color w:val="000000" w:themeColor="text1"/>
          <w:sz w:val="24"/>
          <w:szCs w:val="24"/>
        </w:rPr>
        <w:t>.</w:t>
      </w:r>
    </w:p>
    <w:p w14:paraId="2E5A50FE"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lastRenderedPageBreak/>
        <w:t>A variety of legislative modifications have taken place as a result of the economic downturn of 2008, notably the establishment of new agreements intended to mitigate the risks that contributed to the disaster (</w:t>
      </w:r>
      <w:r w:rsidRPr="00E143F9">
        <w:rPr>
          <w:color w:val="000000" w:themeColor="text1"/>
          <w:shd w:val="clear" w:color="auto" w:fill="FFFFFF"/>
        </w:rPr>
        <w:t xml:space="preserve">Farrand and </w:t>
      </w:r>
      <w:proofErr w:type="spellStart"/>
      <w:r w:rsidRPr="00E143F9">
        <w:rPr>
          <w:color w:val="000000" w:themeColor="text1"/>
          <w:shd w:val="clear" w:color="auto" w:fill="FFFFFF"/>
        </w:rPr>
        <w:t>Carrapico</w:t>
      </w:r>
      <w:proofErr w:type="spellEnd"/>
      <w:r w:rsidRPr="00E143F9">
        <w:rPr>
          <w:color w:val="000000" w:themeColor="text1"/>
          <w:shd w:val="clear" w:color="auto" w:fill="FFFFFF"/>
        </w:rPr>
        <w:t>, 2022)</w:t>
      </w:r>
      <w:r w:rsidRPr="00E143F9">
        <w:rPr>
          <w:color w:val="000000" w:themeColor="text1"/>
        </w:rPr>
        <w:t>. Below are some examples:</w:t>
      </w:r>
    </w:p>
    <w:p w14:paraId="59E1E249"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Clearance mandates: </w:t>
      </w:r>
      <w:r w:rsidRPr="00E143F9">
        <w:rPr>
          <w:color w:val="000000" w:themeColor="text1"/>
        </w:rPr>
        <w:t>These rules were put in place in response to the collapse of over-the-counter (OTC) derivatives trading and the danger that they represented to the banking industry. These require that particular OTC derivatives must exchange traded and cleared via a central party (CCP), lowering the risk of a counterparty (</w:t>
      </w:r>
      <w:proofErr w:type="spellStart"/>
      <w:r w:rsidRPr="00E143F9">
        <w:rPr>
          <w:color w:val="000000" w:themeColor="text1"/>
          <w:shd w:val="clear" w:color="auto" w:fill="FFFFFF"/>
        </w:rPr>
        <w:t>LaMonaca</w:t>
      </w:r>
      <w:proofErr w:type="spellEnd"/>
      <w:r w:rsidRPr="00E143F9">
        <w:rPr>
          <w:color w:val="000000" w:themeColor="text1"/>
          <w:shd w:val="clear" w:color="auto" w:fill="FFFFFF"/>
        </w:rPr>
        <w:t xml:space="preserve"> and Ryan, 2022)</w:t>
      </w:r>
      <w:r w:rsidRPr="00E143F9">
        <w:rPr>
          <w:color w:val="000000" w:themeColor="text1"/>
        </w:rPr>
        <w:t>. </w:t>
      </w:r>
    </w:p>
    <w:p w14:paraId="49B2FC56"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Swap executing facilities (SEFs):</w:t>
      </w:r>
      <w:r w:rsidRPr="00E143F9">
        <w:rPr>
          <w:color w:val="000000" w:themeColor="text1"/>
        </w:rPr>
        <w:t> SEFs were established to enhance transparency and reduce danger in trading OTC derivatives (</w:t>
      </w:r>
      <w:proofErr w:type="spellStart"/>
      <w:r w:rsidRPr="00E143F9">
        <w:rPr>
          <w:color w:val="000000" w:themeColor="text1"/>
          <w:shd w:val="clear" w:color="auto" w:fill="FFFFFF"/>
        </w:rPr>
        <w:t>Kirli</w:t>
      </w:r>
      <w:proofErr w:type="spellEnd"/>
      <w:r w:rsidRPr="00E143F9">
        <w:rPr>
          <w:color w:val="000000" w:themeColor="text1"/>
          <w:shd w:val="clear" w:color="auto" w:fill="FFFFFF"/>
        </w:rPr>
        <w:t xml:space="preserve"> </w:t>
      </w:r>
      <w:r w:rsidRPr="00E143F9">
        <w:rPr>
          <w:i/>
          <w:iCs/>
          <w:color w:val="000000" w:themeColor="text1"/>
          <w:shd w:val="clear" w:color="auto" w:fill="FFFFFF"/>
        </w:rPr>
        <w:t>et al.</w:t>
      </w:r>
      <w:r w:rsidRPr="00E143F9">
        <w:rPr>
          <w:color w:val="000000" w:themeColor="text1"/>
          <w:shd w:val="clear" w:color="auto" w:fill="FFFFFF"/>
        </w:rPr>
        <w:t xml:space="preserve"> 2022)</w:t>
      </w:r>
      <w:r w:rsidRPr="00E143F9">
        <w:rPr>
          <w:color w:val="000000" w:themeColor="text1"/>
        </w:rPr>
        <w:t>. These digital trading platforms make it possible for traders to trade standardized swaps in a highly organized and transparent manner.</w:t>
      </w:r>
    </w:p>
    <w:p w14:paraId="728745B5"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t>With a growing focus on handling risks and openness, the goal is to build an economic system that is both more resilient and stable.</w:t>
      </w:r>
    </w:p>
    <w:p w14:paraId="4A8A221F"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t>The Dodd-Frank Act's Volker Rule prohibits bankers from carrying out exclusive trading and puts restrictions on their participation in hedge funds and private equity funds. By doing this, banks are obligated to take on fewer hazards and concentrate on more traditional financial services. </w:t>
      </w:r>
    </w:p>
    <w:p w14:paraId="304BD25C"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Basel III:</w:t>
      </w:r>
      <w:r w:rsidRPr="00E143F9">
        <w:rPr>
          <w:color w:val="000000" w:themeColor="text1"/>
        </w:rPr>
        <w:t> Intending to render banks less susceptible to economic strain and lower the likelihood of a catastrophic failure, the Basel III regulatory structure imposed tougher liquidity and capital requirements for institutions. </w:t>
      </w:r>
    </w:p>
    <w:p w14:paraId="67D1D7C1" w14:textId="77777777" w:rsidR="00244771" w:rsidRPr="00E143F9" w:rsidRDefault="00244771" w:rsidP="00244771">
      <w:pPr>
        <w:pStyle w:val="NormalWeb"/>
        <w:spacing w:before="0" w:beforeAutospacing="0" w:after="0" w:afterAutospacing="0" w:line="360" w:lineRule="auto"/>
        <w:jc w:val="both"/>
        <w:rPr>
          <w:color w:val="000000" w:themeColor="text1"/>
        </w:rPr>
      </w:pPr>
      <w:r w:rsidRPr="00E143F9">
        <w:rPr>
          <w:color w:val="000000" w:themeColor="text1"/>
        </w:rPr>
        <w:t xml:space="preserve">These represent just a few of the many modifications to regulations that were made in response to the financial meltdown of 2008. </w:t>
      </w:r>
    </w:p>
    <w:p w14:paraId="784EFA20" w14:textId="77777777" w:rsidR="001B1A3E" w:rsidRPr="00E143F9" w:rsidRDefault="001B1A3E" w:rsidP="006667D4">
      <w:pPr>
        <w:pStyle w:val="Heading1"/>
        <w:rPr>
          <w:color w:val="000000" w:themeColor="text1"/>
        </w:rPr>
      </w:pPr>
      <w:bookmarkStart w:id="16" w:name="_Toc133317376"/>
      <w:r w:rsidRPr="00E143F9">
        <w:rPr>
          <w:color w:val="000000" w:themeColor="text1"/>
        </w:rPr>
        <w:t>Impact of the Financial Reforms on the Business Model of Unilever PLC</w:t>
      </w:r>
      <w:bookmarkEnd w:id="16"/>
    </w:p>
    <w:p w14:paraId="08DE96DD" w14:textId="77777777" w:rsidR="001B1A3E" w:rsidRPr="00E143F9" w:rsidRDefault="001B1A3E" w:rsidP="006667D4">
      <w:pPr>
        <w:pStyle w:val="Heading1"/>
        <w:rPr>
          <w:color w:val="000000" w:themeColor="text1"/>
        </w:rPr>
      </w:pPr>
      <w:bookmarkStart w:id="17" w:name="_Toc133317377"/>
      <w:r w:rsidRPr="00E143F9">
        <w:rPr>
          <w:color w:val="000000" w:themeColor="text1"/>
        </w:rPr>
        <w:t>Increased Expense for Compliance</w:t>
      </w:r>
      <w:bookmarkEnd w:id="17"/>
    </w:p>
    <w:p w14:paraId="5E4E4BDD"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An increase in compliance costs was a major impact due to the modified EU financial regulations on Unilever's business model. The sudden as well as gradual changes in the legislations forced Unilever to comply with extra rules and reporting obligations as a result of these reforms. Therefore, there was an additional need for having human and legal resources accordingly, which would allow them to understand the regulations relevant to their business activities and practices</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Sarbazvatan</w:t>
      </w:r>
      <w:proofErr w:type="spellEnd"/>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Thus, it raised administrative costs while lowering profitability. Additionally, Unilever also needed to involve more employees or third party </w:t>
      </w:r>
      <w:r w:rsidRPr="00E143F9">
        <w:rPr>
          <w:rFonts w:ascii="Times New Roman" w:hAnsi="Times New Roman" w:cs="Times New Roman"/>
          <w:color w:val="000000" w:themeColor="text1"/>
          <w:sz w:val="24"/>
          <w:szCs w:val="24"/>
        </w:rPr>
        <w:lastRenderedPageBreak/>
        <w:t>consultants for handling compliances as it was a dire necessity for the corporation to recognise the new regulatory environment and the increased complexity it posed. However, Unilever was also capable of bearing these expenditures more readily than smaller or less diverse corporations, owing it to their solid financial position, robust business strategies and well-established global impression.</w:t>
      </w:r>
    </w:p>
    <w:p w14:paraId="7CC1443C" w14:textId="77777777" w:rsidR="001B1A3E" w:rsidRPr="00E143F9" w:rsidRDefault="001B1A3E" w:rsidP="006667D4">
      <w:pPr>
        <w:pStyle w:val="Heading1"/>
        <w:rPr>
          <w:color w:val="000000" w:themeColor="text1"/>
        </w:rPr>
      </w:pPr>
      <w:bookmarkStart w:id="18" w:name="_Toc133317378"/>
      <w:r w:rsidRPr="00E143F9">
        <w:rPr>
          <w:color w:val="000000" w:themeColor="text1"/>
        </w:rPr>
        <w:t>Financial Availability</w:t>
      </w:r>
      <w:bookmarkEnd w:id="18"/>
    </w:p>
    <w:p w14:paraId="1D63A1AB"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changes in the financing options were another significant impact on Unilever due to the EU’s financial reforms. Unilever's ability to acquire financing from various banking institutions including the ones in the UK had become more challenging and expensive as the reforms and EU’s financial regulatory authorities placed more severe and cautious measures in effect</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 xml:space="preserve">Babcock </w:t>
      </w:r>
      <w:r w:rsidR="00AF366E" w:rsidRPr="00E143F9">
        <w:rPr>
          <w:rFonts w:ascii="Times New Roman" w:hAnsi="Times New Roman" w:cs="Times New Roman"/>
          <w:i/>
          <w:color w:val="000000" w:themeColor="text1"/>
          <w:sz w:val="24"/>
          <w:szCs w:val="24"/>
          <w:shd w:val="clear" w:color="auto" w:fill="FFFFFF"/>
        </w:rPr>
        <w:t>et al</w:t>
      </w:r>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This essentially resulted in higher lending rules that had to be complied with. Moreover, there was also closer monitoring being done on loans and bonds being issued to a corporation such as Unilever. As a result, this made it more difficult for the company’s business to receive finances for their business expansion plans or carry out strategic acquisitions as freely as they could before the crisis took place. On the other hand, the reforms also improved the reliability and stability of the financial system, which also improved the stability of the baking institutions. Therefore, this was beneficial for the company as it could help the businesses by minimising the danger of financial crises</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 xml:space="preserve">Babcock </w:t>
      </w:r>
      <w:r w:rsidR="00AF366E" w:rsidRPr="00E143F9">
        <w:rPr>
          <w:rFonts w:ascii="Times New Roman" w:hAnsi="Times New Roman" w:cs="Times New Roman"/>
          <w:i/>
          <w:color w:val="000000" w:themeColor="text1"/>
          <w:sz w:val="24"/>
          <w:szCs w:val="24"/>
          <w:shd w:val="clear" w:color="auto" w:fill="FFFFFF"/>
        </w:rPr>
        <w:t>et al</w:t>
      </w:r>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As a result, it also encouraged a more stable economic environment, which had ultimately allowed the company to conduct business in a more secure environment. </w:t>
      </w:r>
    </w:p>
    <w:p w14:paraId="123DD7F1" w14:textId="77777777" w:rsidR="001B1A3E" w:rsidRPr="00E143F9" w:rsidRDefault="001B1A3E" w:rsidP="006667D4">
      <w:pPr>
        <w:pStyle w:val="Heading1"/>
        <w:rPr>
          <w:color w:val="000000" w:themeColor="text1"/>
        </w:rPr>
      </w:pPr>
      <w:bookmarkStart w:id="19" w:name="_Toc133317379"/>
      <w:r w:rsidRPr="00E143F9">
        <w:rPr>
          <w:color w:val="000000" w:themeColor="text1"/>
        </w:rPr>
        <w:t>Sustainable Finance</w:t>
      </w:r>
      <w:bookmarkEnd w:id="19"/>
    </w:p>
    <w:p w14:paraId="6992029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reforms were also meant to improve governance practices through the incorporation of environmental, social, and governance (ESG) factors. The authorities made it apparent that the financial services industry is required to take these factors into account for improving sustainability</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Sarbazvatan</w:t>
      </w:r>
      <w:proofErr w:type="spellEnd"/>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This essentially accelerated the formulation of social bonds, sustainability-linked loans, and green bonds and this provided Unilever with the chance for raising funds which could support their eco-friendly and sustainable expansion projects. </w:t>
      </w:r>
    </w:p>
    <w:p w14:paraId="2179D34A"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This enabled Unilever to raise money for their sustainability efforts such as boosting sustainable procurement of raw materials, lowering greenhouse gas emission, minimising waste as an outcome of the sustainable finance. The sustainable financing market was boosting and expanding, owing it to the financial reforms. This has assisted the company in addressing </w:t>
      </w:r>
      <w:r w:rsidRPr="00E143F9">
        <w:rPr>
          <w:rFonts w:ascii="Times New Roman" w:hAnsi="Times New Roman" w:cs="Times New Roman"/>
          <w:color w:val="000000" w:themeColor="text1"/>
          <w:sz w:val="24"/>
          <w:szCs w:val="24"/>
        </w:rPr>
        <w:lastRenderedPageBreak/>
        <w:t>both the investor/ creditors’ demands for sustainable investment possibilities as well as its sustainability related business objectives</w:t>
      </w:r>
      <w:r w:rsidR="00AF366E" w:rsidRPr="00E143F9">
        <w:rPr>
          <w:rFonts w:ascii="Times New Roman" w:hAnsi="Times New Roman" w:cs="Times New Roman"/>
          <w:color w:val="000000" w:themeColor="text1"/>
          <w:sz w:val="24"/>
          <w:szCs w:val="24"/>
        </w:rPr>
        <w:t xml:space="preserve"> (</w:t>
      </w:r>
      <w:proofErr w:type="spellStart"/>
      <w:r w:rsidR="00AF366E" w:rsidRPr="00E143F9">
        <w:rPr>
          <w:rFonts w:ascii="Times New Roman" w:hAnsi="Times New Roman" w:cs="Times New Roman"/>
          <w:color w:val="000000" w:themeColor="text1"/>
          <w:sz w:val="24"/>
          <w:szCs w:val="24"/>
          <w:shd w:val="clear" w:color="auto" w:fill="FFFFFF"/>
        </w:rPr>
        <w:t>Sarbazvatan</w:t>
      </w:r>
      <w:proofErr w:type="spellEnd"/>
      <w:r w:rsidR="00AF366E"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xml:space="preserve">. </w:t>
      </w:r>
    </w:p>
    <w:p w14:paraId="59AB8A75" w14:textId="77777777" w:rsidR="001B1A3E" w:rsidRPr="00E143F9" w:rsidRDefault="001B1A3E" w:rsidP="006667D4">
      <w:pPr>
        <w:pStyle w:val="Heading1"/>
        <w:rPr>
          <w:color w:val="000000" w:themeColor="text1"/>
        </w:rPr>
      </w:pPr>
      <w:bookmarkStart w:id="20" w:name="_Toc133317380"/>
      <w:r w:rsidRPr="00E143F9">
        <w:rPr>
          <w:color w:val="000000" w:themeColor="text1"/>
        </w:rPr>
        <w:t>Unilever PLC's level of compliance/non-compliance to EU's financial reforms</w:t>
      </w:r>
      <w:bookmarkEnd w:id="20"/>
    </w:p>
    <w:p w14:paraId="24EB9CC6"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 PLC is a publicly listed company and they are also listed on European stock exchanges as they operate throughout the European market. Therefore, as part of the legislations they are also subject to a number of financial laws and reforms put in place by the EU authorities, which a corporation is ought to follow and comply with. If Unilever wants to preserve its reputation and business they are legally required to abide by these rules</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Bettencourt, 2022)</w:t>
      </w:r>
      <w:r w:rsidRPr="00E143F9">
        <w:rPr>
          <w:rFonts w:ascii="Times New Roman" w:hAnsi="Times New Roman" w:cs="Times New Roman"/>
          <w:color w:val="000000" w:themeColor="text1"/>
          <w:sz w:val="24"/>
          <w:szCs w:val="24"/>
        </w:rPr>
        <w:t>.</w:t>
      </w:r>
    </w:p>
    <w:p w14:paraId="7DEA0B7A"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It is to be noted that the financial regulations and reforms have their own complexity and breadth and they encompass a range of different aspects related to a corporation’s business operations. This includes accounting, reporting, disclosure, risk management, and governance. Whether Unilever complies with the regulations or not can only be determined based on the reports and statements published by them every year</w:t>
      </w:r>
      <w:r w:rsidR="00AF366E" w:rsidRPr="00E143F9">
        <w:rPr>
          <w:rFonts w:ascii="Times New Roman" w:hAnsi="Times New Roman" w:cs="Times New Roman"/>
          <w:color w:val="000000" w:themeColor="text1"/>
          <w:sz w:val="24"/>
          <w:szCs w:val="24"/>
        </w:rPr>
        <w:t xml:space="preserve"> (</w:t>
      </w:r>
      <w:r w:rsidR="00AF366E" w:rsidRPr="00E143F9">
        <w:rPr>
          <w:rFonts w:ascii="Times New Roman" w:hAnsi="Times New Roman" w:cs="Times New Roman"/>
          <w:color w:val="000000" w:themeColor="text1"/>
          <w:sz w:val="24"/>
          <w:szCs w:val="24"/>
          <w:shd w:val="clear" w:color="auto" w:fill="FFFFFF"/>
        </w:rPr>
        <w:t>Bettencourt, 2022)</w:t>
      </w:r>
      <w:r w:rsidRPr="00E143F9">
        <w:rPr>
          <w:rFonts w:ascii="Times New Roman" w:hAnsi="Times New Roman" w:cs="Times New Roman"/>
          <w:color w:val="000000" w:themeColor="text1"/>
          <w:sz w:val="24"/>
          <w:szCs w:val="24"/>
        </w:rPr>
        <w:t xml:space="preserve">. </w:t>
      </w:r>
    </w:p>
    <w:p w14:paraId="16C74654" w14:textId="77777777" w:rsidR="001B1A3E" w:rsidRPr="00E143F9" w:rsidRDefault="001B1A3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 has made sure to make it clear that they are a responsible taxpayer as outlined in the company’s official website. They have also developed a distinct ‘Code of Principles’, which outline the responsibilities of their teams in maintaining the tax compliance policies. They have also designed ‘Responsible Tax Principles’ with the help of leading companies. They also issue yearly financial statements highlighting the company’s financial practices, which are also examined and measured by third party auditors</w:t>
      </w:r>
      <w:r w:rsidR="00AF366E" w:rsidRPr="00E143F9">
        <w:rPr>
          <w:rFonts w:ascii="Times New Roman" w:hAnsi="Times New Roman" w:cs="Times New Roman"/>
          <w:color w:val="000000" w:themeColor="text1"/>
          <w:sz w:val="24"/>
          <w:szCs w:val="24"/>
        </w:rPr>
        <w:t xml:space="preserve"> (Unilever PLC, 2023)</w:t>
      </w:r>
      <w:r w:rsidRPr="00E143F9">
        <w:rPr>
          <w:rFonts w:ascii="Times New Roman" w:hAnsi="Times New Roman" w:cs="Times New Roman"/>
          <w:color w:val="000000" w:themeColor="text1"/>
          <w:sz w:val="24"/>
          <w:szCs w:val="24"/>
        </w:rPr>
        <w:t>. There are responsible Boards and Committees in place for reviewing their level of compliance and ensure that the company is following the regulations closely</w:t>
      </w:r>
      <w:r w:rsidR="00AF366E" w:rsidRPr="00E143F9">
        <w:rPr>
          <w:rFonts w:ascii="Times New Roman" w:hAnsi="Times New Roman" w:cs="Times New Roman"/>
          <w:color w:val="000000" w:themeColor="text1"/>
          <w:sz w:val="24"/>
          <w:szCs w:val="24"/>
        </w:rPr>
        <w:t xml:space="preserve"> (Unilever PLC, 2023)</w:t>
      </w:r>
      <w:r w:rsidRPr="00E143F9">
        <w:rPr>
          <w:rFonts w:ascii="Times New Roman" w:hAnsi="Times New Roman" w:cs="Times New Roman"/>
          <w:color w:val="000000" w:themeColor="text1"/>
          <w:sz w:val="24"/>
          <w:szCs w:val="24"/>
        </w:rPr>
        <w:t>. It is important to note that Unilever PLC has publicly reaffirmed its dedication to sustainability and ethical business conduct. The company issued a Sustainable Living Plan that illustrates its objectives and measures to reduce its impact on the environment, enhance the lives of those involved in its value chain, as well as promote sustainable growth. In addition, Unilever PLC joined the UN Global Compact, a voluntary campaign to encourage ethical business practices</w:t>
      </w:r>
      <w:r w:rsidR="00AF366E" w:rsidRPr="00E143F9">
        <w:rPr>
          <w:rFonts w:ascii="Times New Roman" w:hAnsi="Times New Roman" w:cs="Times New Roman"/>
          <w:color w:val="000000" w:themeColor="text1"/>
          <w:sz w:val="24"/>
          <w:szCs w:val="24"/>
        </w:rPr>
        <w:t xml:space="preserve"> (Unilever, 2023)</w:t>
      </w:r>
      <w:r w:rsidRPr="00E143F9">
        <w:rPr>
          <w:rFonts w:ascii="Times New Roman" w:hAnsi="Times New Roman" w:cs="Times New Roman"/>
          <w:color w:val="000000" w:themeColor="text1"/>
          <w:sz w:val="24"/>
          <w:szCs w:val="24"/>
        </w:rPr>
        <w:t>.</w:t>
      </w:r>
    </w:p>
    <w:p w14:paraId="75E1B37E" w14:textId="77777777" w:rsidR="000F2C32" w:rsidRPr="00E143F9" w:rsidRDefault="000F2C32" w:rsidP="000F2C32">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During the financial crisis of 2008, the EU and UK governments embraced several modifications with the aim of improving the economy's stability. It is improving transparency, </w:t>
      </w:r>
      <w:r w:rsidRPr="00E143F9">
        <w:rPr>
          <w:rFonts w:ascii="Times New Roman" w:hAnsi="Times New Roman" w:cs="Times New Roman"/>
          <w:color w:val="000000" w:themeColor="text1"/>
          <w:sz w:val="24"/>
          <w:szCs w:val="24"/>
        </w:rPr>
        <w:lastRenderedPageBreak/>
        <w:t>and reducing the possibility of additional crises. Important changes include the ones that follow as examples:</w:t>
      </w:r>
    </w:p>
    <w:p w14:paraId="6EAFE4B4" w14:textId="77777777" w:rsidR="000F2C32" w:rsidRPr="00E143F9" w:rsidRDefault="000F2C32" w:rsidP="000F2C32">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EU and UK: Both the EU, as well as the UK, carried out reforms that improved protection for investors, including the Markets in Securities Regulation II (MiFID II) (</w:t>
      </w:r>
      <w:r w:rsidRPr="00E143F9">
        <w:rPr>
          <w:rFonts w:ascii="Times New Roman" w:hAnsi="Times New Roman" w:cs="Times New Roman"/>
          <w:color w:val="000000" w:themeColor="text1"/>
          <w:sz w:val="24"/>
          <w:szCs w:val="24"/>
          <w:shd w:val="clear" w:color="auto" w:fill="FFFFFF"/>
        </w:rPr>
        <w:t xml:space="preserve"> Finnie-Ansley,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 In the EU as well as the Retail Distribution Review (RDR) within the UK, which aimed to improve openness and reduce disputes between interests in the supply of financial guidance.</w:t>
      </w:r>
    </w:p>
    <w:p w14:paraId="289A3847" w14:textId="03E8AED1" w:rsidR="005739A0" w:rsidRPr="00E143F9" w:rsidRDefault="005739A0" w:rsidP="005739A0">
      <w:pPr>
        <w:spacing w:line="360" w:lineRule="auto"/>
        <w:jc w:val="center"/>
        <w:rPr>
          <w:rFonts w:ascii="Times New Roman" w:hAnsi="Times New Roman" w:cs="Times New Roman"/>
          <w:color w:val="000000" w:themeColor="text1"/>
          <w:sz w:val="24"/>
          <w:szCs w:val="24"/>
        </w:rPr>
      </w:pPr>
      <w:r w:rsidRPr="00E143F9">
        <w:rPr>
          <w:rFonts w:ascii="Times New Roman" w:hAnsi="Times New Roman" w:cs="Times New Roman"/>
          <w:noProof/>
          <w:color w:val="000000" w:themeColor="text1"/>
          <w:sz w:val="24"/>
          <w:szCs w:val="24"/>
        </w:rPr>
        <w:drawing>
          <wp:inline distT="0" distB="0" distL="0" distR="0" wp14:anchorId="1087455F" wp14:editId="2C9A5083">
            <wp:extent cx="5250730" cy="3307345"/>
            <wp:effectExtent l="0" t="0" r="0" b="0"/>
            <wp:docPr id="8196" name="Picture 4" descr="The European Union could be simple, inclusive, or effective. Pick two. -  Atlantic Council">
              <a:extLst xmlns:a="http://schemas.openxmlformats.org/drawingml/2006/main">
                <a:ext uri="{FF2B5EF4-FFF2-40B4-BE49-F238E27FC236}">
                  <a16:creationId xmlns:a16="http://schemas.microsoft.com/office/drawing/2014/main" id="{3B1093F9-541D-90B3-744A-1FBB985A11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 name="Picture 4" descr="The European Union could be simple, inclusive, or effective. Pick two. -  Atlantic Council">
                      <a:extLst>
                        <a:ext uri="{FF2B5EF4-FFF2-40B4-BE49-F238E27FC236}">
                          <a16:creationId xmlns:a16="http://schemas.microsoft.com/office/drawing/2014/main" id="{3B1093F9-541D-90B3-744A-1FBB985A117C}"/>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6195" cy="3323385"/>
                    </a:xfrm>
                    <a:prstGeom prst="rect">
                      <a:avLst/>
                    </a:prstGeom>
                    <a:noFill/>
                  </pic:spPr>
                </pic:pic>
              </a:graphicData>
            </a:graphic>
          </wp:inline>
        </w:drawing>
      </w:r>
    </w:p>
    <w:p w14:paraId="6CE5B803" w14:textId="77777777" w:rsidR="000F2C32" w:rsidRPr="00E143F9" w:rsidRDefault="000F2C32" w:rsidP="000F2C32">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The EU or UK administrations' reforms have had a major effect on Unilever's business approach in these areas (</w:t>
      </w:r>
      <w:r w:rsidRPr="00E143F9">
        <w:rPr>
          <w:rFonts w:ascii="Times New Roman" w:hAnsi="Times New Roman" w:cs="Times New Roman"/>
          <w:color w:val="000000" w:themeColor="text1"/>
          <w:sz w:val="24"/>
          <w:szCs w:val="24"/>
          <w:shd w:val="clear" w:color="auto" w:fill="FFFFFF"/>
        </w:rPr>
        <w:t xml:space="preserve">Swinkels and van </w:t>
      </w:r>
      <w:proofErr w:type="spellStart"/>
      <w:r w:rsidRPr="00E143F9">
        <w:rPr>
          <w:rFonts w:ascii="Times New Roman" w:hAnsi="Times New Roman" w:cs="Times New Roman"/>
          <w:color w:val="000000" w:themeColor="text1"/>
          <w:sz w:val="24"/>
          <w:szCs w:val="24"/>
          <w:shd w:val="clear" w:color="auto" w:fill="FFFFFF"/>
        </w:rPr>
        <w:t>Esch</w:t>
      </w:r>
      <w:proofErr w:type="spellEnd"/>
      <w:r w:rsidRPr="00E143F9">
        <w:rPr>
          <w:rFonts w:ascii="Times New Roman" w:hAnsi="Times New Roman" w:cs="Times New Roman"/>
          <w:color w:val="000000" w:themeColor="text1"/>
          <w:sz w:val="24"/>
          <w:szCs w:val="24"/>
          <w:shd w:val="clear" w:color="auto" w:fill="FFFFFF"/>
        </w:rPr>
        <w:t>, 2022)</w:t>
      </w:r>
      <w:r w:rsidRPr="00E143F9">
        <w:rPr>
          <w:rFonts w:ascii="Times New Roman" w:hAnsi="Times New Roman" w:cs="Times New Roman"/>
          <w:color w:val="000000" w:themeColor="text1"/>
          <w:sz w:val="24"/>
          <w:szCs w:val="24"/>
        </w:rPr>
        <w:t>. Here are a few examples where these changes have affected the business approach of Unilever: Expenses of complying with regulations have gone up as a result of the European Union's and UK's changes to regulations, which impact companies doing business there. Including other companies, Unilever must have spent a lot of cash to ensure that it complies with laws like the Capacity Requirement Regulations (CRR), the Senior Management and Certificate Regime (SM&amp;CR), or MiFID II. These costs have reduced Unilever's profit and might restrict its ability to fund growth plans (</w:t>
      </w:r>
      <w:r w:rsidRPr="00E143F9">
        <w:rPr>
          <w:rFonts w:ascii="Times New Roman" w:hAnsi="Times New Roman" w:cs="Times New Roman"/>
          <w:color w:val="000000" w:themeColor="text1"/>
          <w:sz w:val="24"/>
          <w:szCs w:val="24"/>
          <w:shd w:val="clear" w:color="auto" w:fill="FFFFFF"/>
        </w:rPr>
        <w:t xml:space="preserve">Schoeman,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w:t>
      </w:r>
    </w:p>
    <w:p w14:paraId="43D13736" w14:textId="77777777" w:rsidR="000F2C32" w:rsidRPr="00E143F9" w:rsidRDefault="000F2C32" w:rsidP="000F2C32">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t>Supply chain administration changes: </w:t>
      </w:r>
      <w:r w:rsidRPr="00E143F9">
        <w:rPr>
          <w:color w:val="000000" w:themeColor="text1"/>
        </w:rPr>
        <w:t>Unilever needed to make changes to its supply chain oversight processes as a consequence of reforms aimed at improving transparency in the supply chain, like the UK's Contemporary Slavery Act (</w:t>
      </w:r>
      <w:r w:rsidRPr="00E143F9">
        <w:rPr>
          <w:color w:val="000000" w:themeColor="text1"/>
          <w:shd w:val="clear" w:color="auto" w:fill="FFFFFF"/>
        </w:rPr>
        <w:t>Bulmer, 2022)</w:t>
      </w:r>
      <w:r w:rsidRPr="00E143F9">
        <w:rPr>
          <w:color w:val="000000" w:themeColor="text1"/>
        </w:rPr>
        <w:t>. Operational spending is primarily a consequence of enhanced supplier due diligence and supervision. </w:t>
      </w:r>
    </w:p>
    <w:p w14:paraId="4C3FF0A7" w14:textId="77777777" w:rsidR="000F2C32" w:rsidRPr="00E143F9" w:rsidRDefault="000F2C32" w:rsidP="000F2C32">
      <w:pPr>
        <w:pStyle w:val="NormalWeb"/>
        <w:spacing w:before="0" w:beforeAutospacing="0" w:after="0" w:afterAutospacing="0" w:line="360" w:lineRule="auto"/>
        <w:jc w:val="both"/>
        <w:rPr>
          <w:color w:val="000000" w:themeColor="text1"/>
        </w:rPr>
      </w:pPr>
      <w:r w:rsidRPr="00E143F9">
        <w:rPr>
          <w:rStyle w:val="Strong"/>
          <w:rFonts w:eastAsiaTheme="majorEastAsia"/>
          <w:color w:val="000000" w:themeColor="text1"/>
        </w:rPr>
        <w:lastRenderedPageBreak/>
        <w:t>Effect on investment and finance operations: </w:t>
      </w:r>
      <w:r w:rsidRPr="00E143F9">
        <w:rPr>
          <w:color w:val="000000" w:themeColor="text1"/>
        </w:rPr>
        <w:t>The investment and financing activities of Unilever were affected by financial system reforms such as the Capital Requirement Directive (CRD IV). For example, because banks are obligated by regulation to keep greater amounts of capital, Unilever could experience higher borrowing prices (</w:t>
      </w:r>
      <w:r w:rsidRPr="00E143F9">
        <w:rPr>
          <w:color w:val="000000" w:themeColor="text1"/>
          <w:shd w:val="clear" w:color="auto" w:fill="FFFFFF"/>
        </w:rPr>
        <w:t>Tarasenko, 2022)</w:t>
      </w:r>
      <w:r w:rsidRPr="00E143F9">
        <w:rPr>
          <w:color w:val="000000" w:themeColor="text1"/>
        </w:rPr>
        <w:t>.</w:t>
      </w:r>
    </w:p>
    <w:p w14:paraId="4C000EEF" w14:textId="77777777" w:rsidR="000F2C32" w:rsidRPr="00E143F9" w:rsidRDefault="000F2C32" w:rsidP="00AF366E">
      <w:pPr>
        <w:spacing w:line="360" w:lineRule="auto"/>
        <w:jc w:val="both"/>
        <w:rPr>
          <w:rFonts w:ascii="Times New Roman" w:hAnsi="Times New Roman" w:cs="Times New Roman"/>
          <w:color w:val="000000" w:themeColor="text1"/>
          <w:sz w:val="24"/>
          <w:szCs w:val="24"/>
        </w:rPr>
      </w:pPr>
      <w:r w:rsidRPr="00E143F9">
        <w:rPr>
          <w:rStyle w:val="Strong"/>
          <w:rFonts w:ascii="Times New Roman" w:hAnsi="Times New Roman" w:cs="Times New Roman"/>
          <w:color w:val="000000" w:themeColor="text1"/>
          <w:sz w:val="24"/>
          <w:szCs w:val="24"/>
        </w:rPr>
        <w:t>Increased competitiveness: </w:t>
      </w:r>
      <w:r w:rsidRPr="00E143F9">
        <w:rPr>
          <w:rFonts w:ascii="Times New Roman" w:hAnsi="Times New Roman" w:cs="Times New Roman"/>
          <w:color w:val="000000" w:themeColor="text1"/>
          <w:sz w:val="24"/>
          <w:szCs w:val="24"/>
        </w:rPr>
        <w:t>Reforms that promote competition, like the EU's Payment Service Directive (PSD2), have created gates for fresh players and boosted competitiveness in sectors like processing payments (</w:t>
      </w:r>
      <w:proofErr w:type="spellStart"/>
      <w:r w:rsidRPr="00E143F9">
        <w:rPr>
          <w:rFonts w:ascii="Times New Roman" w:hAnsi="Times New Roman" w:cs="Times New Roman"/>
          <w:color w:val="000000" w:themeColor="text1"/>
          <w:sz w:val="24"/>
          <w:szCs w:val="24"/>
          <w:shd w:val="clear" w:color="auto" w:fill="FFFFFF"/>
        </w:rPr>
        <w:t>Smeets</w:t>
      </w:r>
      <w:proofErr w:type="spellEnd"/>
      <w:r w:rsidRPr="00E143F9">
        <w:rPr>
          <w:rFonts w:ascii="Times New Roman" w:hAnsi="Times New Roman" w:cs="Times New Roman"/>
          <w:color w:val="000000" w:themeColor="text1"/>
          <w:sz w:val="24"/>
          <w:szCs w:val="24"/>
          <w:shd w:val="clear" w:color="auto" w:fill="FFFFFF"/>
        </w:rPr>
        <w:t xml:space="preserve"> and Beach, 2022)</w:t>
      </w:r>
      <w:r w:rsidRPr="00E143F9">
        <w:rPr>
          <w:rFonts w:ascii="Times New Roman" w:hAnsi="Times New Roman" w:cs="Times New Roman"/>
          <w:color w:val="000000" w:themeColor="text1"/>
          <w:sz w:val="24"/>
          <w:szCs w:val="24"/>
        </w:rPr>
        <w:t>. This could render it more difficult for Unilever to compete in particular areas. Overall, Unilever's company plan was greatly affected by the modifications carried out by the EU and UK governments. Unilever's profit and ability for funding growth plans could be affected by increasing costs of compliance, changes to supply chain management, and effects on investment and financing activities. However, these modifications additionally aim to enhance competitiveness and openness, which could have potential advantages for Unilever.</w:t>
      </w:r>
    </w:p>
    <w:p w14:paraId="3949BF9D" w14:textId="77777777" w:rsidR="00A05D06" w:rsidRPr="00E143F9" w:rsidRDefault="00A05D06" w:rsidP="00A05D06">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 has to conform to the regulatory changes implemented by the EU and UK authorities as a major worldwide firm (</w:t>
      </w:r>
      <w:proofErr w:type="spellStart"/>
      <w:r w:rsidRPr="00E143F9">
        <w:rPr>
          <w:rFonts w:ascii="Times New Roman" w:hAnsi="Times New Roman" w:cs="Times New Roman"/>
          <w:color w:val="000000" w:themeColor="text1"/>
          <w:sz w:val="24"/>
          <w:szCs w:val="24"/>
          <w:shd w:val="clear" w:color="auto" w:fill="FFFFFF"/>
        </w:rPr>
        <w:t>Gimma</w:t>
      </w:r>
      <w:proofErr w:type="spellEnd"/>
      <w:r w:rsidRPr="00E143F9">
        <w:rPr>
          <w:rFonts w:ascii="Times New Roman" w:hAnsi="Times New Roman" w:cs="Times New Roman"/>
          <w:color w:val="000000" w:themeColor="text1"/>
          <w:sz w:val="24"/>
          <w:szCs w:val="24"/>
          <w:shd w:val="clear" w:color="auto" w:fill="FFFFFF"/>
        </w:rPr>
        <w:t xml:space="preserve">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 Failing to keep to these rules could result in hefty fines, harm to a person's reputation, and legal proceedings. As a consequence, compliance with these regulations is the primary focus of Unilever's company approach. The organization has invested major expenditures to make sure that rules such as MiFID II, the Senior Management and Certification Regime, and Capital Requirements Regulations (CRR) are strictly complied with. Additionally, Unilever conducts due diligence on its suppliers to be sure they comply with laws such as the UK's Modern Slavery Act (</w:t>
      </w:r>
      <w:proofErr w:type="spellStart"/>
      <w:r w:rsidRPr="00E143F9">
        <w:rPr>
          <w:rFonts w:ascii="Times New Roman" w:hAnsi="Times New Roman" w:cs="Times New Roman"/>
          <w:color w:val="000000" w:themeColor="text1"/>
          <w:sz w:val="24"/>
          <w:szCs w:val="24"/>
          <w:shd w:val="clear" w:color="auto" w:fill="FFFFFF"/>
        </w:rPr>
        <w:t>Eom</w:t>
      </w:r>
      <w:proofErr w:type="spellEnd"/>
      <w:r w:rsidRPr="00E143F9">
        <w:rPr>
          <w:rFonts w:ascii="Times New Roman" w:hAnsi="Times New Roman" w:cs="Times New Roman"/>
          <w:color w:val="000000" w:themeColor="text1"/>
          <w:sz w:val="24"/>
          <w:szCs w:val="24"/>
          <w:shd w:val="clear" w:color="auto" w:fill="FFFFFF"/>
        </w:rPr>
        <w:t xml:space="preserve"> and Lee, 2022)</w:t>
      </w:r>
      <w:r w:rsidRPr="00E143F9">
        <w:rPr>
          <w:rFonts w:ascii="Times New Roman" w:hAnsi="Times New Roman" w:cs="Times New Roman"/>
          <w:color w:val="000000" w:themeColor="text1"/>
          <w:sz w:val="24"/>
          <w:szCs w:val="24"/>
        </w:rPr>
        <w:t>.</w:t>
      </w:r>
    </w:p>
    <w:p w14:paraId="5D48CD3D" w14:textId="77777777" w:rsidR="00A05D06" w:rsidRPr="00E143F9" w:rsidRDefault="00A05D06" w:rsidP="00A05D06">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Unilever's business operations might suffer substantially from non-compliance with these requirements (</w:t>
      </w:r>
      <w:r w:rsidRPr="00E143F9">
        <w:rPr>
          <w:rFonts w:ascii="Times New Roman" w:hAnsi="Times New Roman" w:cs="Times New Roman"/>
          <w:color w:val="000000" w:themeColor="text1"/>
          <w:sz w:val="24"/>
          <w:szCs w:val="24"/>
          <w:shd w:val="clear" w:color="auto" w:fill="FFFFFF"/>
        </w:rPr>
        <w:t>Banks, 2022)</w:t>
      </w:r>
      <w:r w:rsidRPr="00E143F9">
        <w:rPr>
          <w:rFonts w:ascii="Times New Roman" w:hAnsi="Times New Roman" w:cs="Times New Roman"/>
          <w:color w:val="000000" w:themeColor="text1"/>
          <w:sz w:val="24"/>
          <w:szCs w:val="24"/>
        </w:rPr>
        <w:t>. It is developed including supply chain delays, lost business opportunities, or legal and financial penalties. As a consequence, compliance with these rules was an essential part of Unilever's company plan in the EU and UK markets.</w:t>
      </w:r>
    </w:p>
    <w:p w14:paraId="4CF689E1" w14:textId="77777777" w:rsidR="00A05D06" w:rsidRPr="00E143F9" w:rsidRDefault="00A05D06"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To conduct business in the EU and UK sectors, Unilever has developed and put into place certain regulations or regulations that must be adhered to (</w:t>
      </w:r>
      <w:r w:rsidRPr="00E143F9">
        <w:rPr>
          <w:rFonts w:ascii="Times New Roman" w:hAnsi="Times New Roman" w:cs="Times New Roman"/>
          <w:color w:val="000000" w:themeColor="text1"/>
          <w:sz w:val="24"/>
          <w:szCs w:val="24"/>
          <w:shd w:val="clear" w:color="auto" w:fill="FFFFFF"/>
        </w:rPr>
        <w:t>Mkhize, 2022)</w:t>
      </w:r>
      <w:r w:rsidRPr="00E143F9">
        <w:rPr>
          <w:rFonts w:ascii="Times New Roman" w:hAnsi="Times New Roman" w:cs="Times New Roman"/>
          <w:color w:val="000000" w:themeColor="text1"/>
          <w:sz w:val="24"/>
          <w:szCs w:val="24"/>
        </w:rPr>
        <w:t>. The achievement of the company in those markets was found by its reliance on adherence to such rules, consequently, it is crucial for Unilever's entire company strategy. These rules likely depend on regional regulations, rules, and corporate standards that Unilever must comply with in order to maintain its edge in the marketplace and build confidence with its partners and consumers (</w:t>
      </w:r>
      <w:r w:rsidRPr="00E143F9">
        <w:rPr>
          <w:rFonts w:ascii="Times New Roman" w:hAnsi="Times New Roman" w:cs="Times New Roman"/>
          <w:color w:val="000000" w:themeColor="text1"/>
          <w:sz w:val="24"/>
          <w:szCs w:val="24"/>
          <w:shd w:val="clear" w:color="auto" w:fill="FFFFFF"/>
        </w:rPr>
        <w:t xml:space="preserve">Wilson </w:t>
      </w:r>
      <w:r w:rsidRPr="00E143F9">
        <w:rPr>
          <w:rFonts w:ascii="Times New Roman" w:hAnsi="Times New Roman" w:cs="Times New Roman"/>
          <w:i/>
          <w:iCs/>
          <w:color w:val="000000" w:themeColor="text1"/>
          <w:sz w:val="24"/>
          <w:szCs w:val="24"/>
          <w:shd w:val="clear" w:color="auto" w:fill="FFFFFF"/>
        </w:rPr>
        <w:t>et al.,</w:t>
      </w:r>
      <w:r w:rsidRPr="00E143F9">
        <w:rPr>
          <w:rFonts w:ascii="Times New Roman" w:hAnsi="Times New Roman" w:cs="Times New Roman"/>
          <w:color w:val="000000" w:themeColor="text1"/>
          <w:sz w:val="24"/>
          <w:szCs w:val="24"/>
          <w:shd w:val="clear" w:color="auto" w:fill="FFFFFF"/>
        </w:rPr>
        <w:t xml:space="preserve"> 2022)</w:t>
      </w:r>
      <w:r w:rsidRPr="00E143F9">
        <w:rPr>
          <w:rFonts w:ascii="Times New Roman" w:hAnsi="Times New Roman" w:cs="Times New Roman"/>
          <w:color w:val="000000" w:themeColor="text1"/>
          <w:sz w:val="24"/>
          <w:szCs w:val="24"/>
        </w:rPr>
        <w:t>.</w:t>
      </w:r>
    </w:p>
    <w:p w14:paraId="29146C15" w14:textId="77777777" w:rsidR="001B1A3E" w:rsidRPr="00E143F9" w:rsidRDefault="001B1A3E" w:rsidP="00AF366E">
      <w:pPr>
        <w:pStyle w:val="Heading1"/>
        <w:spacing w:line="360" w:lineRule="auto"/>
        <w:jc w:val="both"/>
        <w:rPr>
          <w:rFonts w:ascii="Times New Roman" w:hAnsi="Times New Roman" w:cs="Times New Roman"/>
          <w:color w:val="000000" w:themeColor="text1"/>
          <w:sz w:val="24"/>
          <w:szCs w:val="24"/>
        </w:rPr>
      </w:pPr>
      <w:bookmarkStart w:id="21" w:name="_Toc133317381"/>
      <w:r w:rsidRPr="00E143F9">
        <w:rPr>
          <w:rFonts w:ascii="Times New Roman" w:hAnsi="Times New Roman" w:cs="Times New Roman"/>
          <w:color w:val="000000" w:themeColor="text1"/>
          <w:sz w:val="24"/>
          <w:szCs w:val="24"/>
        </w:rPr>
        <w:lastRenderedPageBreak/>
        <w:t>Conclusion</w:t>
      </w:r>
      <w:bookmarkEnd w:id="21"/>
    </w:p>
    <w:p w14:paraId="0F833853" w14:textId="77777777" w:rsidR="00A05D06" w:rsidRPr="00E143F9" w:rsidRDefault="001B1A3E" w:rsidP="00A05D06">
      <w:pPr>
        <w:spacing w:line="360" w:lineRule="auto"/>
        <w:jc w:val="both"/>
        <w:rPr>
          <w:rFonts w:ascii="Times New Roman" w:hAnsi="Times New Roman" w:cs="Times New Roman"/>
          <w:b/>
          <w:bCs/>
          <w:color w:val="000000" w:themeColor="text1"/>
          <w:sz w:val="24"/>
          <w:szCs w:val="24"/>
        </w:rPr>
      </w:pPr>
      <w:r w:rsidRPr="00E143F9">
        <w:rPr>
          <w:rFonts w:ascii="Times New Roman" w:hAnsi="Times New Roman" w:cs="Times New Roman"/>
          <w:color w:val="000000" w:themeColor="text1"/>
          <w:sz w:val="24"/>
          <w:szCs w:val="24"/>
        </w:rPr>
        <w:t xml:space="preserve">In conclusion, it can be stated that the 2008 financial crisis was a major event, which had a severe impact on the entire world economy. The EU authorities placed several new regulations, contracts, and legislations into effect post the crisis in order to better prepare the EU financial system as well as the banking institutions. However, there were many other key players in this such as the IMF that also played major roles. The impact of those reforms on Unilever PLC was also explained while outlining their level of compliance with them. </w:t>
      </w:r>
      <w:r w:rsidR="00A05D06" w:rsidRPr="00E143F9">
        <w:rPr>
          <w:rFonts w:ascii="Times New Roman" w:hAnsi="Times New Roman" w:cs="Times New Roman"/>
          <w:color w:val="000000" w:themeColor="text1"/>
          <w:sz w:val="24"/>
          <w:szCs w:val="24"/>
        </w:rPr>
        <w:t>The financial crisis that ravaged the UK and EU markets in 2008 had an impact on Unilever. Unilever, however, managed to maintain its position as a top global producer of consumer products despite the economic downturn. The company managed to withstand the storm and come out mostly unharmed and emphasis on environmental and civic duty and its solid brand portfolio. Unilever continued to invest investment in its products and technology throughout this time, which allowed it to stay a step above its competitors. To boost efficiency while maintaining revenue, the company focused on measures to reduce costs like lowering the number of employees and integrating its manufacturing operations.</w:t>
      </w:r>
      <w:r w:rsidR="00A05D06" w:rsidRPr="00E143F9">
        <w:rPr>
          <w:color w:val="000000" w:themeColor="text1"/>
        </w:rPr>
        <w:t xml:space="preserve"> </w:t>
      </w:r>
      <w:r w:rsidR="00A05D06" w:rsidRPr="00E143F9">
        <w:rPr>
          <w:rFonts w:ascii="Times New Roman" w:hAnsi="Times New Roman" w:cs="Times New Roman"/>
          <w:color w:val="000000" w:themeColor="text1"/>
          <w:sz w:val="24"/>
          <w:szCs w:val="24"/>
        </w:rPr>
        <w:t>Additionally, Unilever's commitment to ethical business practices and minimizing the negative environmental effects helped it distinguish out in the marketplace and attract consumers who became increasingly worried about how businesses affected society as a whole and the natural world. In general, Unilever managed to keep its standing as a dominant player in the UK and EU marketplaces by adapting to the difficulties brought on by the economic downturn while remaining true to its basic principles or long-term strategic goals.</w:t>
      </w:r>
    </w:p>
    <w:p w14:paraId="381481B3" w14:textId="77777777" w:rsidR="00AF366E" w:rsidRPr="00E143F9" w:rsidRDefault="00AF366E" w:rsidP="00AF366E">
      <w:pPr>
        <w:spacing w:line="360" w:lineRule="auto"/>
        <w:jc w:val="both"/>
        <w:rPr>
          <w:rFonts w:ascii="Times New Roman" w:hAnsi="Times New Roman" w:cs="Times New Roman"/>
          <w:color w:val="000000" w:themeColor="text1"/>
          <w:sz w:val="24"/>
          <w:szCs w:val="24"/>
        </w:rPr>
      </w:pPr>
    </w:p>
    <w:p w14:paraId="05C076B0" w14:textId="77777777" w:rsidR="00AF366E" w:rsidRPr="00E143F9" w:rsidRDefault="00AF366E" w:rsidP="00AF366E">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br w:type="page"/>
      </w:r>
    </w:p>
    <w:p w14:paraId="4395FC6E" w14:textId="77777777" w:rsidR="001B1A3E" w:rsidRPr="00E143F9" w:rsidRDefault="00AF366E" w:rsidP="00AF366E">
      <w:pPr>
        <w:pStyle w:val="Heading1"/>
        <w:spacing w:line="360" w:lineRule="auto"/>
        <w:jc w:val="both"/>
        <w:rPr>
          <w:rFonts w:ascii="Times New Roman" w:hAnsi="Times New Roman" w:cs="Times New Roman"/>
          <w:color w:val="000000" w:themeColor="text1"/>
          <w:sz w:val="24"/>
          <w:szCs w:val="24"/>
        </w:rPr>
      </w:pPr>
      <w:bookmarkStart w:id="22" w:name="_Toc133317382"/>
      <w:r w:rsidRPr="00E143F9">
        <w:rPr>
          <w:rFonts w:ascii="Times New Roman" w:hAnsi="Times New Roman" w:cs="Times New Roman"/>
          <w:color w:val="000000" w:themeColor="text1"/>
          <w:sz w:val="24"/>
          <w:szCs w:val="24"/>
        </w:rPr>
        <w:lastRenderedPageBreak/>
        <w:t>References</w:t>
      </w:r>
      <w:bookmarkEnd w:id="22"/>
    </w:p>
    <w:p w14:paraId="6C01CE2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Afonso, A. and Blanco-Arana, M.C., 2022. Financial and economic development in the context of the global 2008-09 financial crisis. </w:t>
      </w:r>
      <w:r w:rsidRPr="00E143F9">
        <w:rPr>
          <w:rFonts w:ascii="Times New Roman" w:hAnsi="Times New Roman" w:cs="Times New Roman"/>
          <w:i/>
          <w:iCs/>
          <w:color w:val="000000" w:themeColor="text1"/>
          <w:sz w:val="24"/>
          <w:szCs w:val="24"/>
          <w:shd w:val="clear" w:color="auto" w:fill="FFFFFF"/>
        </w:rPr>
        <w:t>International Economics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169</w:t>
      </w:r>
      <w:r w:rsidRPr="00E143F9">
        <w:rPr>
          <w:rFonts w:ascii="Times New Roman" w:hAnsi="Times New Roman" w:cs="Times New Roman"/>
          <w:color w:val="000000" w:themeColor="text1"/>
          <w:sz w:val="24"/>
          <w:szCs w:val="24"/>
          <w:shd w:val="clear" w:color="auto" w:fill="FFFFFF"/>
        </w:rPr>
        <w:t>, pp.30-42.</w:t>
      </w:r>
    </w:p>
    <w:p w14:paraId="1C4F290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Akgün</w:t>
      </w:r>
      <w:proofErr w:type="spellEnd"/>
      <w:r w:rsidRPr="00E143F9">
        <w:rPr>
          <w:rFonts w:ascii="Times New Roman" w:hAnsi="Times New Roman" w:cs="Times New Roman"/>
          <w:color w:val="000000" w:themeColor="text1"/>
          <w:sz w:val="24"/>
          <w:szCs w:val="24"/>
          <w:shd w:val="clear" w:color="auto" w:fill="FFFFFF"/>
        </w:rPr>
        <w:t xml:space="preserve">, A.I. and </w:t>
      </w:r>
      <w:proofErr w:type="spellStart"/>
      <w:r w:rsidRPr="00E143F9">
        <w:rPr>
          <w:rFonts w:ascii="Times New Roman" w:hAnsi="Times New Roman" w:cs="Times New Roman"/>
          <w:color w:val="000000" w:themeColor="text1"/>
          <w:sz w:val="24"/>
          <w:szCs w:val="24"/>
          <w:shd w:val="clear" w:color="auto" w:fill="FFFFFF"/>
        </w:rPr>
        <w:t>Memiş</w:t>
      </w:r>
      <w:proofErr w:type="spellEnd"/>
      <w:r w:rsidRPr="00E143F9">
        <w:rPr>
          <w:rFonts w:ascii="Times New Roman" w:hAnsi="Times New Roman" w:cs="Times New Roman"/>
          <w:color w:val="000000" w:themeColor="text1"/>
          <w:sz w:val="24"/>
          <w:szCs w:val="24"/>
          <w:shd w:val="clear" w:color="auto" w:fill="FFFFFF"/>
        </w:rPr>
        <w:t xml:space="preserve"> </w:t>
      </w:r>
      <w:proofErr w:type="spellStart"/>
      <w:r w:rsidRPr="00E143F9">
        <w:rPr>
          <w:rFonts w:ascii="Times New Roman" w:hAnsi="Times New Roman" w:cs="Times New Roman"/>
          <w:color w:val="000000" w:themeColor="text1"/>
          <w:sz w:val="24"/>
          <w:szCs w:val="24"/>
          <w:shd w:val="clear" w:color="auto" w:fill="FFFFFF"/>
        </w:rPr>
        <w:t>Karataş</w:t>
      </w:r>
      <w:proofErr w:type="spellEnd"/>
      <w:r w:rsidRPr="00E143F9">
        <w:rPr>
          <w:rFonts w:ascii="Times New Roman" w:hAnsi="Times New Roman" w:cs="Times New Roman"/>
          <w:color w:val="000000" w:themeColor="text1"/>
          <w:sz w:val="24"/>
          <w:szCs w:val="24"/>
          <w:shd w:val="clear" w:color="auto" w:fill="FFFFFF"/>
        </w:rPr>
        <w:t>, A., 2021. Investigating the relationship between working capital management and business performance: Evidence from the 2008 financial crisis of EU-28. </w:t>
      </w:r>
      <w:r w:rsidRPr="00E143F9">
        <w:rPr>
          <w:rFonts w:ascii="Times New Roman" w:hAnsi="Times New Roman" w:cs="Times New Roman"/>
          <w:i/>
          <w:iCs/>
          <w:color w:val="000000" w:themeColor="text1"/>
          <w:sz w:val="24"/>
          <w:szCs w:val="24"/>
          <w:shd w:val="clear" w:color="auto" w:fill="FFFFFF"/>
        </w:rPr>
        <w:t>International Journal of Managerial Finance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17</w:t>
      </w:r>
      <w:r w:rsidRPr="00E143F9">
        <w:rPr>
          <w:rFonts w:ascii="Times New Roman" w:hAnsi="Times New Roman" w:cs="Times New Roman"/>
          <w:color w:val="000000" w:themeColor="text1"/>
          <w:sz w:val="24"/>
          <w:szCs w:val="24"/>
          <w:shd w:val="clear" w:color="auto" w:fill="FFFFFF"/>
        </w:rPr>
        <w:t>(4), pp.545-567.</w:t>
      </w:r>
    </w:p>
    <w:p w14:paraId="23E5D07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Babcock, A., He, A. and Ramani, V., 2022. Building Investor Trust in Net Zero. </w:t>
      </w:r>
      <w:r w:rsidRPr="00E143F9">
        <w:rPr>
          <w:rFonts w:ascii="Times New Roman" w:hAnsi="Times New Roman" w:cs="Times New Roman"/>
          <w:i/>
          <w:iCs/>
          <w:color w:val="000000" w:themeColor="text1"/>
          <w:sz w:val="24"/>
          <w:szCs w:val="24"/>
          <w:shd w:val="clear" w:color="auto" w:fill="FFFFFF"/>
        </w:rPr>
        <w:t>Journal of Applied Corporate Finance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34</w:t>
      </w:r>
      <w:r w:rsidRPr="00E143F9">
        <w:rPr>
          <w:rFonts w:ascii="Times New Roman" w:hAnsi="Times New Roman" w:cs="Times New Roman"/>
          <w:color w:val="000000" w:themeColor="text1"/>
          <w:sz w:val="24"/>
          <w:szCs w:val="24"/>
          <w:shd w:val="clear" w:color="auto" w:fill="FFFFFF"/>
        </w:rPr>
        <w:t>(2), pp.52-59.</w:t>
      </w:r>
    </w:p>
    <w:p w14:paraId="427BB77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Banks, S.L., 2022. </w:t>
      </w:r>
      <w:r w:rsidRPr="00E143F9">
        <w:rPr>
          <w:rFonts w:ascii="Times New Roman" w:hAnsi="Times New Roman" w:cs="Times New Roman"/>
          <w:i/>
          <w:iCs/>
          <w:color w:val="000000" w:themeColor="text1"/>
          <w:sz w:val="24"/>
          <w:szCs w:val="24"/>
          <w:shd w:val="clear" w:color="auto" w:fill="FFFFFF"/>
        </w:rPr>
        <w:t>Examining Instructor-Inclusive Efforts to Reform Systems Negatively Impacting Student Self-Concept</w:t>
      </w:r>
      <w:r w:rsidRPr="00E143F9">
        <w:rPr>
          <w:rFonts w:ascii="Times New Roman" w:hAnsi="Times New Roman" w:cs="Times New Roman"/>
          <w:color w:val="000000" w:themeColor="text1"/>
          <w:sz w:val="24"/>
          <w:szCs w:val="24"/>
          <w:shd w:val="clear" w:color="auto" w:fill="FFFFFF"/>
        </w:rPr>
        <w:t xml:space="preserve"> (Doctoral dissertation, </w:t>
      </w:r>
      <w:proofErr w:type="spellStart"/>
      <w:r w:rsidRPr="00E143F9">
        <w:rPr>
          <w:rFonts w:ascii="Times New Roman" w:hAnsi="Times New Roman" w:cs="Times New Roman"/>
          <w:color w:val="000000" w:themeColor="text1"/>
          <w:sz w:val="24"/>
          <w:szCs w:val="24"/>
          <w:shd w:val="clear" w:color="auto" w:fill="FFFFFF"/>
        </w:rPr>
        <w:t>Northeastern</w:t>
      </w:r>
      <w:proofErr w:type="spellEnd"/>
      <w:r w:rsidRPr="00E143F9">
        <w:rPr>
          <w:rFonts w:ascii="Times New Roman" w:hAnsi="Times New Roman" w:cs="Times New Roman"/>
          <w:color w:val="000000" w:themeColor="text1"/>
          <w:sz w:val="24"/>
          <w:szCs w:val="24"/>
          <w:shd w:val="clear" w:color="auto" w:fill="FFFFFF"/>
        </w:rPr>
        <w:t xml:space="preserve"> University).</w:t>
      </w:r>
    </w:p>
    <w:p w14:paraId="1F3AB76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Bernier, L., 2022. The 2008 economic crisis and the rebirth of public enterprises. </w:t>
      </w:r>
      <w:r w:rsidRPr="00E143F9">
        <w:rPr>
          <w:rFonts w:ascii="Times New Roman" w:hAnsi="Times New Roman" w:cs="Times New Roman"/>
          <w:i/>
          <w:iCs/>
          <w:color w:val="000000" w:themeColor="text1"/>
          <w:sz w:val="24"/>
          <w:szCs w:val="24"/>
          <w:shd w:val="clear" w:color="auto" w:fill="FFFFFF"/>
        </w:rPr>
        <w:t>The Economy of the Collective Interest: 75 years of scientific research</w:t>
      </w:r>
      <w:r w:rsidRPr="00E143F9">
        <w:rPr>
          <w:rFonts w:ascii="Times New Roman" w:hAnsi="Times New Roman" w:cs="Times New Roman"/>
          <w:color w:val="000000" w:themeColor="text1"/>
          <w:sz w:val="24"/>
          <w:szCs w:val="24"/>
          <w:shd w:val="clear" w:color="auto" w:fill="FFFFFF"/>
        </w:rPr>
        <w:t>, p.281.</w:t>
      </w:r>
    </w:p>
    <w:p w14:paraId="2A9A124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Bettencourt, A.S.D.A., 2022. </w:t>
      </w:r>
      <w:r w:rsidRPr="00E143F9">
        <w:rPr>
          <w:rFonts w:ascii="Times New Roman" w:hAnsi="Times New Roman" w:cs="Times New Roman"/>
          <w:i/>
          <w:iCs/>
          <w:color w:val="000000" w:themeColor="text1"/>
          <w:sz w:val="24"/>
          <w:szCs w:val="24"/>
          <w:shd w:val="clear" w:color="auto" w:fill="FFFFFF"/>
        </w:rPr>
        <w:t>Market share as a key sensitive factor to Unilever-s profitability</w:t>
      </w:r>
      <w:r w:rsidRPr="00E143F9">
        <w:rPr>
          <w:rFonts w:ascii="Times New Roman" w:hAnsi="Times New Roman" w:cs="Times New Roman"/>
          <w:color w:val="000000" w:themeColor="text1"/>
          <w:sz w:val="24"/>
          <w:szCs w:val="24"/>
          <w:shd w:val="clear" w:color="auto" w:fill="FFFFFF"/>
        </w:rPr>
        <w:t> (Doctoral dissertation).</w:t>
      </w:r>
    </w:p>
    <w:p w14:paraId="73BCFCC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Bulmer, S., 2022. Germany, the Eurozone crisis and the Covid-19 pandemic: Failing forward or moving on?. </w:t>
      </w:r>
      <w:r w:rsidRPr="00E143F9">
        <w:rPr>
          <w:rFonts w:ascii="Times New Roman" w:hAnsi="Times New Roman" w:cs="Times New Roman"/>
          <w:i/>
          <w:iCs/>
          <w:color w:val="000000" w:themeColor="text1"/>
          <w:sz w:val="24"/>
          <w:szCs w:val="24"/>
          <w:shd w:val="clear" w:color="auto" w:fill="FFFFFF"/>
        </w:rPr>
        <w:t>Comparative European Politics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20</w:t>
      </w:r>
      <w:r w:rsidRPr="00E143F9">
        <w:rPr>
          <w:rFonts w:ascii="Times New Roman" w:hAnsi="Times New Roman" w:cs="Times New Roman"/>
          <w:color w:val="000000" w:themeColor="text1"/>
          <w:sz w:val="24"/>
          <w:szCs w:val="24"/>
          <w:shd w:val="clear" w:color="auto" w:fill="FFFFFF"/>
        </w:rPr>
        <w:t>(2), pp.166-183.</w:t>
      </w:r>
    </w:p>
    <w:p w14:paraId="343AFC5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Calvo-Mariscal, L., 2022. Cooperation Initiatives by EU Member States with Third Countries for the Control of Migratory Flows: The Case of the Memorandum of Understanding Between Malta and Libya. </w:t>
      </w:r>
      <w:proofErr w:type="spellStart"/>
      <w:r w:rsidRPr="00E143F9">
        <w:rPr>
          <w:rFonts w:ascii="Times New Roman" w:hAnsi="Times New Roman" w:cs="Times New Roman"/>
          <w:i/>
          <w:iCs/>
          <w:color w:val="000000" w:themeColor="text1"/>
          <w:sz w:val="24"/>
          <w:szCs w:val="24"/>
          <w:shd w:val="clear" w:color="auto" w:fill="FFFFFF"/>
        </w:rPr>
        <w:t>Cuadernos</w:t>
      </w:r>
      <w:proofErr w:type="spellEnd"/>
      <w:r w:rsidRPr="00E143F9">
        <w:rPr>
          <w:rFonts w:ascii="Times New Roman" w:hAnsi="Times New Roman" w:cs="Times New Roman"/>
          <w:i/>
          <w:iCs/>
          <w:color w:val="000000" w:themeColor="text1"/>
          <w:sz w:val="24"/>
          <w:szCs w:val="24"/>
          <w:shd w:val="clear" w:color="auto" w:fill="FFFFFF"/>
        </w:rPr>
        <w:t xml:space="preserve"> </w:t>
      </w:r>
      <w:proofErr w:type="spellStart"/>
      <w:r w:rsidRPr="00E143F9">
        <w:rPr>
          <w:rFonts w:ascii="Times New Roman" w:hAnsi="Times New Roman" w:cs="Times New Roman"/>
          <w:i/>
          <w:iCs/>
          <w:color w:val="000000" w:themeColor="text1"/>
          <w:sz w:val="24"/>
          <w:szCs w:val="24"/>
          <w:shd w:val="clear" w:color="auto" w:fill="FFFFFF"/>
        </w:rPr>
        <w:t>Europeos</w:t>
      </w:r>
      <w:proofErr w:type="spellEnd"/>
      <w:r w:rsidRPr="00E143F9">
        <w:rPr>
          <w:rFonts w:ascii="Times New Roman" w:hAnsi="Times New Roman" w:cs="Times New Roman"/>
          <w:i/>
          <w:iCs/>
          <w:color w:val="000000" w:themeColor="text1"/>
          <w:sz w:val="24"/>
          <w:szCs w:val="24"/>
          <w:shd w:val="clear" w:color="auto" w:fill="FFFFFF"/>
        </w:rPr>
        <w:t xml:space="preserve"> de </w:t>
      </w:r>
      <w:proofErr w:type="spellStart"/>
      <w:r w:rsidRPr="00E143F9">
        <w:rPr>
          <w:rFonts w:ascii="Times New Roman" w:hAnsi="Times New Roman" w:cs="Times New Roman"/>
          <w:i/>
          <w:iCs/>
          <w:color w:val="000000" w:themeColor="text1"/>
          <w:sz w:val="24"/>
          <w:szCs w:val="24"/>
          <w:shd w:val="clear" w:color="auto" w:fill="FFFFFF"/>
        </w:rPr>
        <w:t>Deusto</w:t>
      </w:r>
      <w:proofErr w:type="spellEnd"/>
      <w:r w:rsidRPr="00E143F9">
        <w:rPr>
          <w:rFonts w:ascii="Times New Roman" w:hAnsi="Times New Roman" w:cs="Times New Roman"/>
          <w:color w:val="000000" w:themeColor="text1"/>
          <w:sz w:val="24"/>
          <w:szCs w:val="24"/>
          <w:shd w:val="clear" w:color="auto" w:fill="FFFFFF"/>
        </w:rPr>
        <w:t>, (06), pp.61-86.</w:t>
      </w:r>
    </w:p>
    <w:p w14:paraId="55F08F7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Chaisse</w:t>
      </w:r>
      <w:proofErr w:type="spellEnd"/>
      <w:r w:rsidRPr="00E143F9">
        <w:rPr>
          <w:rFonts w:ascii="Times New Roman" w:hAnsi="Times New Roman" w:cs="Times New Roman"/>
          <w:color w:val="000000" w:themeColor="text1"/>
          <w:sz w:val="24"/>
          <w:szCs w:val="24"/>
          <w:shd w:val="clear" w:color="auto" w:fill="FFFFFF"/>
        </w:rPr>
        <w:t xml:space="preserve">, J. and </w:t>
      </w:r>
      <w:proofErr w:type="spellStart"/>
      <w:r w:rsidRPr="00E143F9">
        <w:rPr>
          <w:rFonts w:ascii="Times New Roman" w:hAnsi="Times New Roman" w:cs="Times New Roman"/>
          <w:color w:val="000000" w:themeColor="text1"/>
          <w:sz w:val="24"/>
          <w:szCs w:val="24"/>
          <w:shd w:val="clear" w:color="auto" w:fill="FFFFFF"/>
        </w:rPr>
        <w:t>Dimitropoulos</w:t>
      </w:r>
      <w:proofErr w:type="spellEnd"/>
      <w:r w:rsidRPr="00E143F9">
        <w:rPr>
          <w:rFonts w:ascii="Times New Roman" w:hAnsi="Times New Roman" w:cs="Times New Roman"/>
          <w:color w:val="000000" w:themeColor="text1"/>
          <w:sz w:val="24"/>
          <w:szCs w:val="24"/>
          <w:shd w:val="clear" w:color="auto" w:fill="FFFFFF"/>
        </w:rPr>
        <w:t>, G., 2023. Domestic Investment Laws and International Economic Law in the Liberal International Order. </w:t>
      </w:r>
      <w:r w:rsidRPr="00E143F9">
        <w:rPr>
          <w:rFonts w:ascii="Times New Roman" w:hAnsi="Times New Roman" w:cs="Times New Roman"/>
          <w:i/>
          <w:iCs/>
          <w:color w:val="000000" w:themeColor="text1"/>
          <w:sz w:val="24"/>
          <w:szCs w:val="24"/>
          <w:shd w:val="clear" w:color="auto" w:fill="FFFFFF"/>
        </w:rPr>
        <w:t>World Trade Review</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22</w:t>
      </w:r>
      <w:r w:rsidRPr="00E143F9">
        <w:rPr>
          <w:rFonts w:ascii="Times New Roman" w:hAnsi="Times New Roman" w:cs="Times New Roman"/>
          <w:color w:val="000000" w:themeColor="text1"/>
          <w:sz w:val="24"/>
          <w:szCs w:val="24"/>
          <w:shd w:val="clear" w:color="auto" w:fill="FFFFFF"/>
        </w:rPr>
        <w:t>(1), pp.1-17.</w:t>
      </w:r>
    </w:p>
    <w:p w14:paraId="08BCC8F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Chatzinas</w:t>
      </w:r>
      <w:proofErr w:type="spellEnd"/>
      <w:r w:rsidRPr="00E143F9">
        <w:rPr>
          <w:rFonts w:ascii="Times New Roman" w:hAnsi="Times New Roman" w:cs="Times New Roman"/>
          <w:color w:val="000000" w:themeColor="text1"/>
          <w:sz w:val="24"/>
          <w:szCs w:val="24"/>
          <w:shd w:val="clear" w:color="auto" w:fill="FFFFFF"/>
        </w:rPr>
        <w:t>, G. and Papadopoulos, S., 2022. DETERMINANTS OF THE CAPITAL STRUCTURE OF EUROPEAN FIRMS: THE MODERATING ROLE OF EFSF/ESM FINANCIAL ASSISTANCE PROGRAMS. </w:t>
      </w:r>
      <w:r w:rsidRPr="00E143F9">
        <w:rPr>
          <w:rFonts w:ascii="Times New Roman" w:hAnsi="Times New Roman" w:cs="Times New Roman"/>
          <w:i/>
          <w:iCs/>
          <w:color w:val="000000" w:themeColor="text1"/>
          <w:sz w:val="24"/>
          <w:szCs w:val="24"/>
          <w:shd w:val="clear" w:color="auto" w:fill="FFFFFF"/>
        </w:rPr>
        <w:t>International Journal of Banking and Finance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17</w:t>
      </w:r>
      <w:r w:rsidRPr="00E143F9">
        <w:rPr>
          <w:rFonts w:ascii="Times New Roman" w:hAnsi="Times New Roman" w:cs="Times New Roman"/>
          <w:color w:val="000000" w:themeColor="text1"/>
          <w:sz w:val="24"/>
          <w:szCs w:val="24"/>
          <w:shd w:val="clear" w:color="auto" w:fill="FFFFFF"/>
        </w:rPr>
        <w:t>(1), pp.81-108.</w:t>
      </w:r>
    </w:p>
    <w:p w14:paraId="4D763B17"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Eom</w:t>
      </w:r>
      <w:proofErr w:type="spellEnd"/>
      <w:r w:rsidRPr="00E143F9">
        <w:rPr>
          <w:rFonts w:ascii="Times New Roman" w:hAnsi="Times New Roman" w:cs="Times New Roman"/>
          <w:color w:val="000000" w:themeColor="text1"/>
          <w:sz w:val="24"/>
          <w:szCs w:val="24"/>
          <w:shd w:val="clear" w:color="auto" w:fill="FFFFFF"/>
        </w:rPr>
        <w:t>, S.J. and Lee, J., 2022. Digital government transformation in turbulent times: Responses, challenges, and future direction. </w:t>
      </w:r>
      <w:r w:rsidRPr="00E143F9">
        <w:rPr>
          <w:rFonts w:ascii="Times New Roman" w:hAnsi="Times New Roman" w:cs="Times New Roman"/>
          <w:i/>
          <w:iCs/>
          <w:color w:val="000000" w:themeColor="text1"/>
          <w:sz w:val="24"/>
          <w:szCs w:val="24"/>
          <w:shd w:val="clear" w:color="auto" w:fill="FFFFFF"/>
        </w:rPr>
        <w:t>Government Information Quarterly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39</w:t>
      </w:r>
      <w:r w:rsidRPr="00E143F9">
        <w:rPr>
          <w:rFonts w:ascii="Times New Roman" w:hAnsi="Times New Roman" w:cs="Times New Roman"/>
          <w:color w:val="000000" w:themeColor="text1"/>
          <w:sz w:val="24"/>
          <w:szCs w:val="24"/>
          <w:shd w:val="clear" w:color="auto" w:fill="FFFFFF"/>
        </w:rPr>
        <w:t>(2), p.101690.</w:t>
      </w:r>
    </w:p>
    <w:p w14:paraId="4BC5C443"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lastRenderedPageBreak/>
        <w:t xml:space="preserve">European Commission, 2014. </w:t>
      </w:r>
      <w:r w:rsidRPr="00E143F9">
        <w:rPr>
          <w:rFonts w:ascii="Times New Roman" w:hAnsi="Times New Roman" w:cs="Times New Roman"/>
          <w:i/>
          <w:iCs/>
          <w:color w:val="000000" w:themeColor="text1"/>
          <w:sz w:val="24"/>
          <w:szCs w:val="24"/>
        </w:rPr>
        <w:t>Press corner</w:t>
      </w:r>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European Commission - European Commission</w:t>
      </w:r>
      <w:r w:rsidRPr="00E143F9">
        <w:rPr>
          <w:rFonts w:ascii="Times New Roman" w:hAnsi="Times New Roman" w:cs="Times New Roman"/>
          <w:color w:val="000000" w:themeColor="text1"/>
          <w:sz w:val="24"/>
          <w:szCs w:val="24"/>
        </w:rPr>
        <w:t xml:space="preserve">. Available at: https://ec.europa.eu/commission/presscorner/detail/en/MEMO_14_57 (Accessed: April 22, 2023). </w:t>
      </w:r>
    </w:p>
    <w:p w14:paraId="7D070F2F"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European Union Committee, 2015. </w:t>
      </w:r>
      <w:r w:rsidRPr="00E143F9">
        <w:rPr>
          <w:rFonts w:ascii="Times New Roman" w:hAnsi="Times New Roman" w:cs="Times New Roman"/>
          <w:i/>
          <w:iCs/>
          <w:color w:val="000000" w:themeColor="text1"/>
          <w:sz w:val="24"/>
          <w:szCs w:val="24"/>
        </w:rPr>
        <w:t>The post-crisis EU Financial Regulatory Framework: Do pieces fit?</w:t>
      </w:r>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parliament.uk</w:t>
      </w:r>
      <w:r w:rsidRPr="00E143F9">
        <w:rPr>
          <w:rFonts w:ascii="Times New Roman" w:hAnsi="Times New Roman" w:cs="Times New Roman"/>
          <w:color w:val="000000" w:themeColor="text1"/>
          <w:sz w:val="24"/>
          <w:szCs w:val="24"/>
        </w:rPr>
        <w:t xml:space="preserve">. Available at: https://urbis.europarl.europa.eu/urbis/document/post-crisis-eu-financial-regulatory-framework-do-pieces-fit (Accessed: April 22, 2023). </w:t>
      </w:r>
    </w:p>
    <w:p w14:paraId="12DE7DE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Farrand, B. and </w:t>
      </w:r>
      <w:proofErr w:type="spellStart"/>
      <w:r w:rsidRPr="00E143F9">
        <w:rPr>
          <w:rFonts w:ascii="Times New Roman" w:hAnsi="Times New Roman" w:cs="Times New Roman"/>
          <w:color w:val="000000" w:themeColor="text1"/>
          <w:sz w:val="24"/>
          <w:szCs w:val="24"/>
          <w:shd w:val="clear" w:color="auto" w:fill="FFFFFF"/>
        </w:rPr>
        <w:t>Carrapico</w:t>
      </w:r>
      <w:proofErr w:type="spellEnd"/>
      <w:r w:rsidRPr="00E143F9">
        <w:rPr>
          <w:rFonts w:ascii="Times New Roman" w:hAnsi="Times New Roman" w:cs="Times New Roman"/>
          <w:color w:val="000000" w:themeColor="text1"/>
          <w:sz w:val="24"/>
          <w:szCs w:val="24"/>
          <w:shd w:val="clear" w:color="auto" w:fill="FFFFFF"/>
        </w:rPr>
        <w:t>, H., 2022. Digital sovereignty and taking back control: from regulatory capitalism to regulatory mercantilism in EU cybersecurity. </w:t>
      </w:r>
      <w:r w:rsidRPr="00E143F9">
        <w:rPr>
          <w:rFonts w:ascii="Times New Roman" w:hAnsi="Times New Roman" w:cs="Times New Roman"/>
          <w:i/>
          <w:iCs/>
          <w:color w:val="000000" w:themeColor="text1"/>
          <w:sz w:val="24"/>
          <w:szCs w:val="24"/>
          <w:shd w:val="clear" w:color="auto" w:fill="FFFFFF"/>
        </w:rPr>
        <w:t>European security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31</w:t>
      </w:r>
      <w:r w:rsidRPr="00E143F9">
        <w:rPr>
          <w:rFonts w:ascii="Times New Roman" w:hAnsi="Times New Roman" w:cs="Times New Roman"/>
          <w:color w:val="000000" w:themeColor="text1"/>
          <w:sz w:val="24"/>
          <w:szCs w:val="24"/>
          <w:shd w:val="clear" w:color="auto" w:fill="FFFFFF"/>
        </w:rPr>
        <w:t>(3), pp.435-453.</w:t>
      </w:r>
    </w:p>
    <w:p w14:paraId="7C90DC42"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Finnie-Ansley, J., Denny, P., Becker, B.A., Luxton-Reilly, A. and Prather, J., 2022, February. The robots are coming: Exploring the implications of </w:t>
      </w:r>
      <w:proofErr w:type="spellStart"/>
      <w:r w:rsidRPr="00E143F9">
        <w:rPr>
          <w:rFonts w:ascii="Times New Roman" w:hAnsi="Times New Roman" w:cs="Times New Roman"/>
          <w:color w:val="000000" w:themeColor="text1"/>
          <w:sz w:val="24"/>
          <w:szCs w:val="24"/>
          <w:shd w:val="clear" w:color="auto" w:fill="FFFFFF"/>
        </w:rPr>
        <w:t>openai</w:t>
      </w:r>
      <w:proofErr w:type="spellEnd"/>
      <w:r w:rsidRPr="00E143F9">
        <w:rPr>
          <w:rFonts w:ascii="Times New Roman" w:hAnsi="Times New Roman" w:cs="Times New Roman"/>
          <w:color w:val="000000" w:themeColor="text1"/>
          <w:sz w:val="24"/>
          <w:szCs w:val="24"/>
          <w:shd w:val="clear" w:color="auto" w:fill="FFFFFF"/>
        </w:rPr>
        <w:t xml:space="preserve"> codex on introductory programming. In </w:t>
      </w:r>
      <w:r w:rsidRPr="00E143F9">
        <w:rPr>
          <w:rFonts w:ascii="Times New Roman" w:hAnsi="Times New Roman" w:cs="Times New Roman"/>
          <w:i/>
          <w:iCs/>
          <w:color w:val="000000" w:themeColor="text1"/>
          <w:sz w:val="24"/>
          <w:szCs w:val="24"/>
          <w:shd w:val="clear" w:color="auto" w:fill="FFFFFF"/>
        </w:rPr>
        <w:t>Australasian Computing Education Conference</w:t>
      </w:r>
      <w:r w:rsidRPr="00E143F9">
        <w:rPr>
          <w:rFonts w:ascii="Times New Roman" w:hAnsi="Times New Roman" w:cs="Times New Roman"/>
          <w:color w:val="000000" w:themeColor="text1"/>
          <w:sz w:val="24"/>
          <w:szCs w:val="24"/>
          <w:shd w:val="clear" w:color="auto" w:fill="FFFFFF"/>
        </w:rPr>
        <w:t> (pp. 10-19).</w:t>
      </w:r>
    </w:p>
    <w:p w14:paraId="5C5ECBE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Focacci</w:t>
      </w:r>
      <w:proofErr w:type="spellEnd"/>
      <w:r w:rsidRPr="00E143F9">
        <w:rPr>
          <w:rFonts w:ascii="Times New Roman" w:hAnsi="Times New Roman" w:cs="Times New Roman"/>
          <w:color w:val="000000" w:themeColor="text1"/>
          <w:sz w:val="24"/>
          <w:szCs w:val="24"/>
          <w:shd w:val="clear" w:color="auto" w:fill="FFFFFF"/>
        </w:rPr>
        <w:t>, C.N. and Perez, C., 2022. The importance of education and training policies in supporting technological revolutions: A comparative and historical analysis of UK, US, Germany, and Sweden (1830–1970). </w:t>
      </w:r>
      <w:r w:rsidRPr="00E143F9">
        <w:rPr>
          <w:rFonts w:ascii="Times New Roman" w:hAnsi="Times New Roman" w:cs="Times New Roman"/>
          <w:i/>
          <w:iCs/>
          <w:color w:val="000000" w:themeColor="text1"/>
          <w:sz w:val="24"/>
          <w:szCs w:val="24"/>
          <w:shd w:val="clear" w:color="auto" w:fill="FFFFFF"/>
        </w:rPr>
        <w:t>Technology in Society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70</w:t>
      </w:r>
      <w:r w:rsidRPr="00E143F9">
        <w:rPr>
          <w:rFonts w:ascii="Times New Roman" w:hAnsi="Times New Roman" w:cs="Times New Roman"/>
          <w:color w:val="000000" w:themeColor="text1"/>
          <w:sz w:val="24"/>
          <w:szCs w:val="24"/>
          <w:shd w:val="clear" w:color="auto" w:fill="FFFFFF"/>
        </w:rPr>
        <w:t>, p.102000.</w:t>
      </w:r>
    </w:p>
    <w:p w14:paraId="3BC16DE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Fritz, B. and </w:t>
      </w:r>
      <w:proofErr w:type="spellStart"/>
      <w:r w:rsidRPr="00E143F9">
        <w:rPr>
          <w:rFonts w:ascii="Times New Roman" w:hAnsi="Times New Roman" w:cs="Times New Roman"/>
          <w:color w:val="000000" w:themeColor="text1"/>
          <w:sz w:val="24"/>
          <w:szCs w:val="24"/>
          <w:shd w:val="clear" w:color="auto" w:fill="FFFFFF"/>
        </w:rPr>
        <w:t>Mühlich</w:t>
      </w:r>
      <w:proofErr w:type="spellEnd"/>
      <w:r w:rsidRPr="00E143F9">
        <w:rPr>
          <w:rFonts w:ascii="Times New Roman" w:hAnsi="Times New Roman" w:cs="Times New Roman"/>
          <w:color w:val="000000" w:themeColor="text1"/>
          <w:sz w:val="24"/>
          <w:szCs w:val="24"/>
          <w:shd w:val="clear" w:color="auto" w:fill="FFFFFF"/>
        </w:rPr>
        <w:t>, L., 2019. Regional financial arrangements in the global financial safety net: The Arab Monetary Fund and the Eurasian Fund for Stabilization and Development. </w:t>
      </w:r>
      <w:r w:rsidRPr="00E143F9">
        <w:rPr>
          <w:rFonts w:ascii="Times New Roman" w:hAnsi="Times New Roman" w:cs="Times New Roman"/>
          <w:i/>
          <w:iCs/>
          <w:color w:val="000000" w:themeColor="text1"/>
          <w:sz w:val="24"/>
          <w:szCs w:val="24"/>
          <w:shd w:val="clear" w:color="auto" w:fill="FFFFFF"/>
        </w:rPr>
        <w:t>Development and Change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50</w:t>
      </w:r>
      <w:r w:rsidRPr="00E143F9">
        <w:rPr>
          <w:rFonts w:ascii="Times New Roman" w:hAnsi="Times New Roman" w:cs="Times New Roman"/>
          <w:color w:val="000000" w:themeColor="text1"/>
          <w:sz w:val="24"/>
          <w:szCs w:val="24"/>
          <w:shd w:val="clear" w:color="auto" w:fill="FFFFFF"/>
        </w:rPr>
        <w:t>(1), pp.96-121.</w:t>
      </w:r>
    </w:p>
    <w:p w14:paraId="06A222F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Gimma</w:t>
      </w:r>
      <w:proofErr w:type="spellEnd"/>
      <w:r w:rsidRPr="00E143F9">
        <w:rPr>
          <w:rFonts w:ascii="Times New Roman" w:hAnsi="Times New Roman" w:cs="Times New Roman"/>
          <w:color w:val="000000" w:themeColor="text1"/>
          <w:sz w:val="24"/>
          <w:szCs w:val="24"/>
          <w:shd w:val="clear" w:color="auto" w:fill="FFFFFF"/>
        </w:rPr>
        <w:t xml:space="preserve">, A., Munday, J.D., Wong, K.L., </w:t>
      </w:r>
      <w:proofErr w:type="spellStart"/>
      <w:r w:rsidRPr="00E143F9">
        <w:rPr>
          <w:rFonts w:ascii="Times New Roman" w:hAnsi="Times New Roman" w:cs="Times New Roman"/>
          <w:color w:val="000000" w:themeColor="text1"/>
          <w:sz w:val="24"/>
          <w:szCs w:val="24"/>
          <w:shd w:val="clear" w:color="auto" w:fill="FFFFFF"/>
        </w:rPr>
        <w:t>Coletti</w:t>
      </w:r>
      <w:proofErr w:type="spellEnd"/>
      <w:r w:rsidRPr="00E143F9">
        <w:rPr>
          <w:rFonts w:ascii="Times New Roman" w:hAnsi="Times New Roman" w:cs="Times New Roman"/>
          <w:color w:val="000000" w:themeColor="text1"/>
          <w:sz w:val="24"/>
          <w:szCs w:val="24"/>
          <w:shd w:val="clear" w:color="auto" w:fill="FFFFFF"/>
        </w:rPr>
        <w:t xml:space="preserve">, P., van </w:t>
      </w:r>
      <w:proofErr w:type="spellStart"/>
      <w:r w:rsidRPr="00E143F9">
        <w:rPr>
          <w:rFonts w:ascii="Times New Roman" w:hAnsi="Times New Roman" w:cs="Times New Roman"/>
          <w:color w:val="000000" w:themeColor="text1"/>
          <w:sz w:val="24"/>
          <w:szCs w:val="24"/>
          <w:shd w:val="clear" w:color="auto" w:fill="FFFFFF"/>
        </w:rPr>
        <w:t>Zandvoort</w:t>
      </w:r>
      <w:proofErr w:type="spellEnd"/>
      <w:r w:rsidRPr="00E143F9">
        <w:rPr>
          <w:rFonts w:ascii="Times New Roman" w:hAnsi="Times New Roman" w:cs="Times New Roman"/>
          <w:color w:val="000000" w:themeColor="text1"/>
          <w:sz w:val="24"/>
          <w:szCs w:val="24"/>
          <w:shd w:val="clear" w:color="auto" w:fill="FFFFFF"/>
        </w:rPr>
        <w:t xml:space="preserve">, K., Prem, K., CMMID COVID-19 working group, </w:t>
      </w:r>
      <w:proofErr w:type="spellStart"/>
      <w:r w:rsidRPr="00E143F9">
        <w:rPr>
          <w:rFonts w:ascii="Times New Roman" w:hAnsi="Times New Roman" w:cs="Times New Roman"/>
          <w:color w:val="000000" w:themeColor="text1"/>
          <w:sz w:val="24"/>
          <w:szCs w:val="24"/>
          <w:shd w:val="clear" w:color="auto" w:fill="FFFFFF"/>
        </w:rPr>
        <w:t>Klepac</w:t>
      </w:r>
      <w:proofErr w:type="spellEnd"/>
      <w:r w:rsidRPr="00E143F9">
        <w:rPr>
          <w:rFonts w:ascii="Times New Roman" w:hAnsi="Times New Roman" w:cs="Times New Roman"/>
          <w:color w:val="000000" w:themeColor="text1"/>
          <w:sz w:val="24"/>
          <w:szCs w:val="24"/>
          <w:shd w:val="clear" w:color="auto" w:fill="FFFFFF"/>
        </w:rPr>
        <w:t xml:space="preserve">, P., Rubin, G.J., Funk, S. and Edmunds, W.J., 2022. Changes in social contacts in England during the COVID-19 pandemic between March 2020 and March 2021 as measured by the </w:t>
      </w:r>
      <w:proofErr w:type="spellStart"/>
      <w:r w:rsidRPr="00E143F9">
        <w:rPr>
          <w:rFonts w:ascii="Times New Roman" w:hAnsi="Times New Roman" w:cs="Times New Roman"/>
          <w:color w:val="000000" w:themeColor="text1"/>
          <w:sz w:val="24"/>
          <w:szCs w:val="24"/>
          <w:shd w:val="clear" w:color="auto" w:fill="FFFFFF"/>
        </w:rPr>
        <w:t>CoMix</w:t>
      </w:r>
      <w:proofErr w:type="spellEnd"/>
      <w:r w:rsidRPr="00E143F9">
        <w:rPr>
          <w:rFonts w:ascii="Times New Roman" w:hAnsi="Times New Roman" w:cs="Times New Roman"/>
          <w:color w:val="000000" w:themeColor="text1"/>
          <w:sz w:val="24"/>
          <w:szCs w:val="24"/>
          <w:shd w:val="clear" w:color="auto" w:fill="FFFFFF"/>
        </w:rPr>
        <w:t xml:space="preserve"> survey: A repeated cross-sectional study. </w:t>
      </w:r>
      <w:proofErr w:type="spellStart"/>
      <w:r w:rsidRPr="00E143F9">
        <w:rPr>
          <w:rFonts w:ascii="Times New Roman" w:hAnsi="Times New Roman" w:cs="Times New Roman"/>
          <w:i/>
          <w:iCs/>
          <w:color w:val="000000" w:themeColor="text1"/>
          <w:sz w:val="24"/>
          <w:szCs w:val="24"/>
          <w:shd w:val="clear" w:color="auto" w:fill="FFFFFF"/>
        </w:rPr>
        <w:t>PLoS</w:t>
      </w:r>
      <w:proofErr w:type="spellEnd"/>
      <w:r w:rsidRPr="00E143F9">
        <w:rPr>
          <w:rFonts w:ascii="Times New Roman" w:hAnsi="Times New Roman" w:cs="Times New Roman"/>
          <w:i/>
          <w:iCs/>
          <w:color w:val="000000" w:themeColor="text1"/>
          <w:sz w:val="24"/>
          <w:szCs w:val="24"/>
          <w:shd w:val="clear" w:color="auto" w:fill="FFFFFF"/>
        </w:rPr>
        <w:t xml:space="preserve"> medicine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19</w:t>
      </w:r>
      <w:r w:rsidRPr="00E143F9">
        <w:rPr>
          <w:rFonts w:ascii="Times New Roman" w:hAnsi="Times New Roman" w:cs="Times New Roman"/>
          <w:color w:val="000000" w:themeColor="text1"/>
          <w:sz w:val="24"/>
          <w:szCs w:val="24"/>
          <w:shd w:val="clear" w:color="auto" w:fill="FFFFFF"/>
        </w:rPr>
        <w:t>(3), p.e1003907.</w:t>
      </w:r>
    </w:p>
    <w:p w14:paraId="152434B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Hobelsberger</w:t>
      </w:r>
      <w:proofErr w:type="spellEnd"/>
      <w:r w:rsidRPr="00E143F9">
        <w:rPr>
          <w:rFonts w:ascii="Times New Roman" w:hAnsi="Times New Roman" w:cs="Times New Roman"/>
          <w:color w:val="000000" w:themeColor="text1"/>
          <w:sz w:val="24"/>
          <w:szCs w:val="24"/>
          <w:shd w:val="clear" w:color="auto" w:fill="FFFFFF"/>
        </w:rPr>
        <w:t xml:space="preserve">, K., </w:t>
      </w:r>
      <w:proofErr w:type="spellStart"/>
      <w:r w:rsidRPr="00E143F9">
        <w:rPr>
          <w:rFonts w:ascii="Times New Roman" w:hAnsi="Times New Roman" w:cs="Times New Roman"/>
          <w:color w:val="000000" w:themeColor="text1"/>
          <w:sz w:val="24"/>
          <w:szCs w:val="24"/>
          <w:shd w:val="clear" w:color="auto" w:fill="FFFFFF"/>
        </w:rPr>
        <w:t>Kok</w:t>
      </w:r>
      <w:proofErr w:type="spellEnd"/>
      <w:r w:rsidRPr="00E143F9">
        <w:rPr>
          <w:rFonts w:ascii="Times New Roman" w:hAnsi="Times New Roman" w:cs="Times New Roman"/>
          <w:color w:val="000000" w:themeColor="text1"/>
          <w:sz w:val="24"/>
          <w:szCs w:val="24"/>
          <w:shd w:val="clear" w:color="auto" w:fill="FFFFFF"/>
        </w:rPr>
        <w:t xml:space="preserve">, C. and </w:t>
      </w:r>
      <w:proofErr w:type="spellStart"/>
      <w:r w:rsidRPr="00E143F9">
        <w:rPr>
          <w:rFonts w:ascii="Times New Roman" w:hAnsi="Times New Roman" w:cs="Times New Roman"/>
          <w:color w:val="000000" w:themeColor="text1"/>
          <w:sz w:val="24"/>
          <w:szCs w:val="24"/>
          <w:shd w:val="clear" w:color="auto" w:fill="FFFFFF"/>
        </w:rPr>
        <w:t>Mongelli</w:t>
      </w:r>
      <w:proofErr w:type="spellEnd"/>
      <w:r w:rsidRPr="00E143F9">
        <w:rPr>
          <w:rFonts w:ascii="Times New Roman" w:hAnsi="Times New Roman" w:cs="Times New Roman"/>
          <w:color w:val="000000" w:themeColor="text1"/>
          <w:sz w:val="24"/>
          <w:szCs w:val="24"/>
          <w:shd w:val="clear" w:color="auto" w:fill="FFFFFF"/>
        </w:rPr>
        <w:t>, F.P., 2022. Is this time different? Synergies between ECB's tasks. </w:t>
      </w:r>
      <w:r w:rsidRPr="00E143F9">
        <w:rPr>
          <w:rFonts w:ascii="Times New Roman" w:hAnsi="Times New Roman" w:cs="Times New Roman"/>
          <w:i/>
          <w:iCs/>
          <w:color w:val="000000" w:themeColor="text1"/>
          <w:sz w:val="24"/>
          <w:szCs w:val="24"/>
          <w:shd w:val="clear" w:color="auto" w:fill="FFFFFF"/>
        </w:rPr>
        <w:t>Central Banks and Supervisory Architecture in Europe</w:t>
      </w:r>
      <w:r w:rsidRPr="00E143F9">
        <w:rPr>
          <w:rFonts w:ascii="Times New Roman" w:hAnsi="Times New Roman" w:cs="Times New Roman"/>
          <w:color w:val="000000" w:themeColor="text1"/>
          <w:sz w:val="24"/>
          <w:szCs w:val="24"/>
          <w:shd w:val="clear" w:color="auto" w:fill="FFFFFF"/>
        </w:rPr>
        <w:t>, pp.135-155.</w:t>
      </w:r>
    </w:p>
    <w:p w14:paraId="290772A1"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Högenauer</w:t>
      </w:r>
      <w:proofErr w:type="spellEnd"/>
      <w:r w:rsidRPr="00E143F9">
        <w:rPr>
          <w:rFonts w:ascii="Times New Roman" w:hAnsi="Times New Roman" w:cs="Times New Roman"/>
          <w:color w:val="000000" w:themeColor="text1"/>
          <w:sz w:val="24"/>
          <w:szCs w:val="24"/>
          <w:shd w:val="clear" w:color="auto" w:fill="FFFFFF"/>
        </w:rPr>
        <w:t xml:space="preserve">, A.L., Howarth, D. and </w:t>
      </w:r>
      <w:proofErr w:type="spellStart"/>
      <w:r w:rsidRPr="00E143F9">
        <w:rPr>
          <w:rFonts w:ascii="Times New Roman" w:hAnsi="Times New Roman" w:cs="Times New Roman"/>
          <w:color w:val="000000" w:themeColor="text1"/>
          <w:sz w:val="24"/>
          <w:szCs w:val="24"/>
          <w:shd w:val="clear" w:color="auto" w:fill="FFFFFF"/>
        </w:rPr>
        <w:t>Quaglia</w:t>
      </w:r>
      <w:proofErr w:type="spellEnd"/>
      <w:r w:rsidRPr="00E143F9">
        <w:rPr>
          <w:rFonts w:ascii="Times New Roman" w:hAnsi="Times New Roman" w:cs="Times New Roman"/>
          <w:color w:val="000000" w:themeColor="text1"/>
          <w:sz w:val="24"/>
          <w:szCs w:val="24"/>
          <w:shd w:val="clear" w:color="auto" w:fill="FFFFFF"/>
        </w:rPr>
        <w:t>, L., 2023. Introduction to the special issue: the persistent challenges to European Banking Union.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45</w:t>
      </w:r>
      <w:r w:rsidRPr="00E143F9">
        <w:rPr>
          <w:rFonts w:ascii="Times New Roman" w:hAnsi="Times New Roman" w:cs="Times New Roman"/>
          <w:color w:val="000000" w:themeColor="text1"/>
          <w:sz w:val="24"/>
          <w:szCs w:val="24"/>
          <w:shd w:val="clear" w:color="auto" w:fill="FFFFFF"/>
        </w:rPr>
        <w:t>(1), pp.1-14.</w:t>
      </w:r>
    </w:p>
    <w:p w14:paraId="1DC540A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lastRenderedPageBreak/>
        <w:t xml:space="preserve">Howarth, D. and </w:t>
      </w:r>
      <w:proofErr w:type="spellStart"/>
      <w:r w:rsidRPr="00E143F9">
        <w:rPr>
          <w:rFonts w:ascii="Times New Roman" w:hAnsi="Times New Roman" w:cs="Times New Roman"/>
          <w:color w:val="000000" w:themeColor="text1"/>
          <w:sz w:val="24"/>
          <w:szCs w:val="24"/>
          <w:shd w:val="clear" w:color="auto" w:fill="FFFFFF"/>
        </w:rPr>
        <w:t>Schild</w:t>
      </w:r>
      <w:proofErr w:type="spellEnd"/>
      <w:r w:rsidRPr="00E143F9">
        <w:rPr>
          <w:rFonts w:ascii="Times New Roman" w:hAnsi="Times New Roman" w:cs="Times New Roman"/>
          <w:color w:val="000000" w:themeColor="text1"/>
          <w:sz w:val="24"/>
          <w:szCs w:val="24"/>
          <w:shd w:val="clear" w:color="auto" w:fill="FFFFFF"/>
        </w:rPr>
        <w:t>, J., 2021. Nein to ‘Transfer Union’: the German brake on the construction of a European Union fiscal capacity.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43</w:t>
      </w:r>
      <w:r w:rsidRPr="00E143F9">
        <w:rPr>
          <w:rFonts w:ascii="Times New Roman" w:hAnsi="Times New Roman" w:cs="Times New Roman"/>
          <w:color w:val="000000" w:themeColor="text1"/>
          <w:sz w:val="24"/>
          <w:szCs w:val="24"/>
          <w:shd w:val="clear" w:color="auto" w:fill="FFFFFF"/>
        </w:rPr>
        <w:t>(2), pp.209-226.</w:t>
      </w:r>
    </w:p>
    <w:p w14:paraId="334E79B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Kalaitzake</w:t>
      </w:r>
      <w:proofErr w:type="spellEnd"/>
      <w:r w:rsidRPr="00E143F9">
        <w:rPr>
          <w:rFonts w:ascii="Times New Roman" w:hAnsi="Times New Roman" w:cs="Times New Roman"/>
          <w:color w:val="000000" w:themeColor="text1"/>
          <w:sz w:val="24"/>
          <w:szCs w:val="24"/>
          <w:shd w:val="clear" w:color="auto" w:fill="FFFFFF"/>
        </w:rPr>
        <w:t>, M., 2019. Central banking and financial political power: An investigation into the European Central Bank. </w:t>
      </w:r>
      <w:r w:rsidRPr="00E143F9">
        <w:rPr>
          <w:rFonts w:ascii="Times New Roman" w:hAnsi="Times New Roman" w:cs="Times New Roman"/>
          <w:i/>
          <w:iCs/>
          <w:color w:val="000000" w:themeColor="text1"/>
          <w:sz w:val="24"/>
          <w:szCs w:val="24"/>
          <w:shd w:val="clear" w:color="auto" w:fill="FFFFFF"/>
        </w:rPr>
        <w:t>Competition &amp; Change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23</w:t>
      </w:r>
      <w:r w:rsidRPr="00E143F9">
        <w:rPr>
          <w:rFonts w:ascii="Times New Roman" w:hAnsi="Times New Roman" w:cs="Times New Roman"/>
          <w:color w:val="000000" w:themeColor="text1"/>
          <w:sz w:val="24"/>
          <w:szCs w:val="24"/>
          <w:shd w:val="clear" w:color="auto" w:fill="FFFFFF"/>
        </w:rPr>
        <w:t>(3), pp.221-244.</w:t>
      </w:r>
    </w:p>
    <w:p w14:paraId="64A172D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Kirli</w:t>
      </w:r>
      <w:proofErr w:type="spellEnd"/>
      <w:r w:rsidRPr="00E143F9">
        <w:rPr>
          <w:rFonts w:ascii="Times New Roman" w:hAnsi="Times New Roman" w:cs="Times New Roman"/>
          <w:color w:val="000000" w:themeColor="text1"/>
          <w:sz w:val="24"/>
          <w:szCs w:val="24"/>
          <w:shd w:val="clear" w:color="auto" w:fill="FFFFFF"/>
        </w:rPr>
        <w:t xml:space="preserve">, D., </w:t>
      </w:r>
      <w:proofErr w:type="spellStart"/>
      <w:r w:rsidRPr="00E143F9">
        <w:rPr>
          <w:rFonts w:ascii="Times New Roman" w:hAnsi="Times New Roman" w:cs="Times New Roman"/>
          <w:color w:val="000000" w:themeColor="text1"/>
          <w:sz w:val="24"/>
          <w:szCs w:val="24"/>
          <w:shd w:val="clear" w:color="auto" w:fill="FFFFFF"/>
        </w:rPr>
        <w:t>Couraud</w:t>
      </w:r>
      <w:proofErr w:type="spellEnd"/>
      <w:r w:rsidRPr="00E143F9">
        <w:rPr>
          <w:rFonts w:ascii="Times New Roman" w:hAnsi="Times New Roman" w:cs="Times New Roman"/>
          <w:color w:val="000000" w:themeColor="text1"/>
          <w:sz w:val="24"/>
          <w:szCs w:val="24"/>
          <w:shd w:val="clear" w:color="auto" w:fill="FFFFFF"/>
        </w:rPr>
        <w:t xml:space="preserve">, B., </w:t>
      </w:r>
      <w:proofErr w:type="spellStart"/>
      <w:r w:rsidRPr="00E143F9">
        <w:rPr>
          <w:rFonts w:ascii="Times New Roman" w:hAnsi="Times New Roman" w:cs="Times New Roman"/>
          <w:color w:val="000000" w:themeColor="text1"/>
          <w:sz w:val="24"/>
          <w:szCs w:val="24"/>
          <w:shd w:val="clear" w:color="auto" w:fill="FFFFFF"/>
        </w:rPr>
        <w:t>Robu</w:t>
      </w:r>
      <w:proofErr w:type="spellEnd"/>
      <w:r w:rsidRPr="00E143F9">
        <w:rPr>
          <w:rFonts w:ascii="Times New Roman" w:hAnsi="Times New Roman" w:cs="Times New Roman"/>
          <w:color w:val="000000" w:themeColor="text1"/>
          <w:sz w:val="24"/>
          <w:szCs w:val="24"/>
          <w:shd w:val="clear" w:color="auto" w:fill="FFFFFF"/>
        </w:rPr>
        <w:t xml:space="preserve">, V., Salgado-Bravo, M., Norbu, S., </w:t>
      </w:r>
      <w:proofErr w:type="spellStart"/>
      <w:r w:rsidRPr="00E143F9">
        <w:rPr>
          <w:rFonts w:ascii="Times New Roman" w:hAnsi="Times New Roman" w:cs="Times New Roman"/>
          <w:color w:val="000000" w:themeColor="text1"/>
          <w:sz w:val="24"/>
          <w:szCs w:val="24"/>
          <w:shd w:val="clear" w:color="auto" w:fill="FFFFFF"/>
        </w:rPr>
        <w:t>Andoni</w:t>
      </w:r>
      <w:proofErr w:type="spellEnd"/>
      <w:r w:rsidRPr="00E143F9">
        <w:rPr>
          <w:rFonts w:ascii="Times New Roman" w:hAnsi="Times New Roman" w:cs="Times New Roman"/>
          <w:color w:val="000000" w:themeColor="text1"/>
          <w:sz w:val="24"/>
          <w:szCs w:val="24"/>
          <w:shd w:val="clear" w:color="auto" w:fill="FFFFFF"/>
        </w:rPr>
        <w:t>, M., Antonopoulos, I., Negrete-</w:t>
      </w:r>
      <w:proofErr w:type="spellStart"/>
      <w:r w:rsidRPr="00E143F9">
        <w:rPr>
          <w:rFonts w:ascii="Times New Roman" w:hAnsi="Times New Roman" w:cs="Times New Roman"/>
          <w:color w:val="000000" w:themeColor="text1"/>
          <w:sz w:val="24"/>
          <w:szCs w:val="24"/>
          <w:shd w:val="clear" w:color="auto" w:fill="FFFFFF"/>
        </w:rPr>
        <w:t>Pincetic</w:t>
      </w:r>
      <w:proofErr w:type="spellEnd"/>
      <w:r w:rsidRPr="00E143F9">
        <w:rPr>
          <w:rFonts w:ascii="Times New Roman" w:hAnsi="Times New Roman" w:cs="Times New Roman"/>
          <w:color w:val="000000" w:themeColor="text1"/>
          <w:sz w:val="24"/>
          <w:szCs w:val="24"/>
          <w:shd w:val="clear" w:color="auto" w:fill="FFFFFF"/>
        </w:rPr>
        <w:t xml:space="preserve">, M., Flynn, D. and </w:t>
      </w:r>
      <w:proofErr w:type="spellStart"/>
      <w:r w:rsidRPr="00E143F9">
        <w:rPr>
          <w:rFonts w:ascii="Times New Roman" w:hAnsi="Times New Roman" w:cs="Times New Roman"/>
          <w:color w:val="000000" w:themeColor="text1"/>
          <w:sz w:val="24"/>
          <w:szCs w:val="24"/>
          <w:shd w:val="clear" w:color="auto" w:fill="FFFFFF"/>
        </w:rPr>
        <w:t>Kiprakis</w:t>
      </w:r>
      <w:proofErr w:type="spellEnd"/>
      <w:r w:rsidRPr="00E143F9">
        <w:rPr>
          <w:rFonts w:ascii="Times New Roman" w:hAnsi="Times New Roman" w:cs="Times New Roman"/>
          <w:color w:val="000000" w:themeColor="text1"/>
          <w:sz w:val="24"/>
          <w:szCs w:val="24"/>
          <w:shd w:val="clear" w:color="auto" w:fill="FFFFFF"/>
        </w:rPr>
        <w:t>, A., 2022. Smart contracts in energy systems: A systematic review of fundamental approaches and implementations. </w:t>
      </w:r>
      <w:r w:rsidRPr="00E143F9">
        <w:rPr>
          <w:rFonts w:ascii="Times New Roman" w:hAnsi="Times New Roman" w:cs="Times New Roman"/>
          <w:i/>
          <w:iCs/>
          <w:color w:val="000000" w:themeColor="text1"/>
          <w:sz w:val="24"/>
          <w:szCs w:val="24"/>
          <w:shd w:val="clear" w:color="auto" w:fill="FFFFFF"/>
        </w:rPr>
        <w:t>Renewable and Sustainable Energy Reviews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158</w:t>
      </w:r>
      <w:r w:rsidRPr="00E143F9">
        <w:rPr>
          <w:rFonts w:ascii="Times New Roman" w:hAnsi="Times New Roman" w:cs="Times New Roman"/>
          <w:color w:val="000000" w:themeColor="text1"/>
          <w:sz w:val="24"/>
          <w:szCs w:val="24"/>
          <w:shd w:val="clear" w:color="auto" w:fill="FFFFFF"/>
        </w:rPr>
        <w:t>, p.112013.</w:t>
      </w:r>
    </w:p>
    <w:p w14:paraId="20C0B0B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Knight, C. and Crick, T., 2022. Inclusive Education in Wales: Interpreting discourses of values and practice using critical policy analysis. </w:t>
      </w:r>
      <w:r w:rsidRPr="00E143F9">
        <w:rPr>
          <w:rFonts w:ascii="Times New Roman" w:hAnsi="Times New Roman" w:cs="Times New Roman"/>
          <w:i/>
          <w:iCs/>
          <w:color w:val="000000" w:themeColor="text1"/>
          <w:sz w:val="24"/>
          <w:szCs w:val="24"/>
          <w:shd w:val="clear" w:color="auto" w:fill="FFFFFF"/>
        </w:rPr>
        <w:t>ECNU Review of Education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5</w:t>
      </w:r>
      <w:r w:rsidRPr="00E143F9">
        <w:rPr>
          <w:rFonts w:ascii="Times New Roman" w:hAnsi="Times New Roman" w:cs="Times New Roman"/>
          <w:color w:val="000000" w:themeColor="text1"/>
          <w:sz w:val="24"/>
          <w:szCs w:val="24"/>
          <w:shd w:val="clear" w:color="auto" w:fill="FFFFFF"/>
        </w:rPr>
        <w:t>(2), pp.258-283.</w:t>
      </w:r>
    </w:p>
    <w:p w14:paraId="1B488FA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Kreienkamp</w:t>
      </w:r>
      <w:proofErr w:type="spellEnd"/>
      <w:r w:rsidRPr="00E143F9">
        <w:rPr>
          <w:rFonts w:ascii="Times New Roman" w:hAnsi="Times New Roman" w:cs="Times New Roman"/>
          <w:color w:val="000000" w:themeColor="text1"/>
          <w:sz w:val="24"/>
          <w:szCs w:val="24"/>
          <w:shd w:val="clear" w:color="auto" w:fill="FFFFFF"/>
        </w:rPr>
        <w:t>, J., Pegram, T. and Coen, D., 2022. Explaining transformative change in EU climate policy: multilevel problems, policies, and politics.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44</w:t>
      </w:r>
      <w:r w:rsidRPr="00E143F9">
        <w:rPr>
          <w:rFonts w:ascii="Times New Roman" w:hAnsi="Times New Roman" w:cs="Times New Roman"/>
          <w:color w:val="000000" w:themeColor="text1"/>
          <w:sz w:val="24"/>
          <w:szCs w:val="24"/>
          <w:shd w:val="clear" w:color="auto" w:fill="FFFFFF"/>
        </w:rPr>
        <w:t>(5), pp.731-748.</w:t>
      </w:r>
    </w:p>
    <w:p w14:paraId="49BB1F4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Lagaria</w:t>
      </w:r>
      <w:proofErr w:type="spellEnd"/>
      <w:r w:rsidRPr="00E143F9">
        <w:rPr>
          <w:rFonts w:ascii="Times New Roman" w:hAnsi="Times New Roman" w:cs="Times New Roman"/>
          <w:color w:val="000000" w:themeColor="text1"/>
          <w:sz w:val="24"/>
          <w:szCs w:val="24"/>
          <w:shd w:val="clear" w:color="auto" w:fill="FFFFFF"/>
        </w:rPr>
        <w:t>, K., 2022. Capital Conservation Buffer and Countercyclical Capital Buffer.</w:t>
      </w:r>
    </w:p>
    <w:p w14:paraId="2AACCAE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LaMonaca</w:t>
      </w:r>
      <w:proofErr w:type="spellEnd"/>
      <w:r w:rsidRPr="00E143F9">
        <w:rPr>
          <w:rFonts w:ascii="Times New Roman" w:hAnsi="Times New Roman" w:cs="Times New Roman"/>
          <w:color w:val="000000" w:themeColor="text1"/>
          <w:sz w:val="24"/>
          <w:szCs w:val="24"/>
          <w:shd w:val="clear" w:color="auto" w:fill="FFFFFF"/>
        </w:rPr>
        <w:t>, S. and Ryan, L., 2022. The state of play in electric vehicle charging services–A review of infrastructure provision, players, and policies. </w:t>
      </w:r>
      <w:r w:rsidRPr="00E143F9">
        <w:rPr>
          <w:rFonts w:ascii="Times New Roman" w:hAnsi="Times New Roman" w:cs="Times New Roman"/>
          <w:i/>
          <w:iCs/>
          <w:color w:val="000000" w:themeColor="text1"/>
          <w:sz w:val="24"/>
          <w:szCs w:val="24"/>
          <w:shd w:val="clear" w:color="auto" w:fill="FFFFFF"/>
        </w:rPr>
        <w:t>Renewable and sustainable energy reviews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154</w:t>
      </w:r>
      <w:r w:rsidRPr="00E143F9">
        <w:rPr>
          <w:rFonts w:ascii="Times New Roman" w:hAnsi="Times New Roman" w:cs="Times New Roman"/>
          <w:color w:val="000000" w:themeColor="text1"/>
          <w:sz w:val="24"/>
          <w:szCs w:val="24"/>
          <w:shd w:val="clear" w:color="auto" w:fill="FFFFFF"/>
        </w:rPr>
        <w:t>, p.111733.</w:t>
      </w:r>
    </w:p>
    <w:p w14:paraId="41F1CCE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Mall, P., Amin, R., Das, A.K., Leung, M.T. and Choo, K.K.R., 2022. PUF-based authentication and key agreement protocols for IoT, WSNs, and Smart Grids: a comprehensive survey. </w:t>
      </w:r>
      <w:r w:rsidRPr="00E143F9">
        <w:rPr>
          <w:rFonts w:ascii="Times New Roman" w:hAnsi="Times New Roman" w:cs="Times New Roman"/>
          <w:i/>
          <w:iCs/>
          <w:color w:val="000000" w:themeColor="text1"/>
          <w:sz w:val="24"/>
          <w:szCs w:val="24"/>
          <w:shd w:val="clear" w:color="auto" w:fill="FFFFFF"/>
        </w:rPr>
        <w:t>IEEE Internet of Things Journal</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9</w:t>
      </w:r>
      <w:r w:rsidRPr="00E143F9">
        <w:rPr>
          <w:rFonts w:ascii="Times New Roman" w:hAnsi="Times New Roman" w:cs="Times New Roman"/>
          <w:color w:val="000000" w:themeColor="text1"/>
          <w:sz w:val="24"/>
          <w:szCs w:val="24"/>
          <w:shd w:val="clear" w:color="auto" w:fill="FFFFFF"/>
        </w:rPr>
        <w:t>(11), pp.8205-8228.</w:t>
      </w:r>
    </w:p>
    <w:p w14:paraId="744E757C"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Megliani</w:t>
      </w:r>
      <w:proofErr w:type="spellEnd"/>
      <w:r w:rsidRPr="00E143F9">
        <w:rPr>
          <w:rFonts w:ascii="Times New Roman" w:hAnsi="Times New Roman" w:cs="Times New Roman"/>
          <w:color w:val="000000" w:themeColor="text1"/>
          <w:sz w:val="24"/>
          <w:szCs w:val="24"/>
          <w:shd w:val="clear" w:color="auto" w:fill="FFFFFF"/>
        </w:rPr>
        <w:t>, M., 2022. The ESM Pandemic Crisis Support Facility: A Changing Conditionality?. </w:t>
      </w:r>
      <w:r w:rsidRPr="00E143F9">
        <w:rPr>
          <w:rFonts w:ascii="Times New Roman" w:hAnsi="Times New Roman" w:cs="Times New Roman"/>
          <w:i/>
          <w:iCs/>
          <w:color w:val="000000" w:themeColor="text1"/>
          <w:sz w:val="24"/>
          <w:szCs w:val="24"/>
          <w:shd w:val="clear" w:color="auto" w:fill="FFFFFF"/>
        </w:rPr>
        <w:t>European Business Law Review</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33</w:t>
      </w:r>
      <w:r w:rsidRPr="00E143F9">
        <w:rPr>
          <w:rFonts w:ascii="Times New Roman" w:hAnsi="Times New Roman" w:cs="Times New Roman"/>
          <w:color w:val="000000" w:themeColor="text1"/>
          <w:sz w:val="24"/>
          <w:szCs w:val="24"/>
          <w:shd w:val="clear" w:color="auto" w:fill="FFFFFF"/>
        </w:rPr>
        <w:t>(2).</w:t>
      </w:r>
    </w:p>
    <w:p w14:paraId="00FDFF6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Meier, S., Gonzalez, M.R. and Kunze, F., 2021. The global financial crisis, the EMU sovereign debt crisis and international financial regulation: lessons from a systematic literature review. </w:t>
      </w:r>
      <w:r w:rsidRPr="00E143F9">
        <w:rPr>
          <w:rFonts w:ascii="Times New Roman" w:hAnsi="Times New Roman" w:cs="Times New Roman"/>
          <w:i/>
          <w:iCs/>
          <w:color w:val="000000" w:themeColor="text1"/>
          <w:sz w:val="24"/>
          <w:szCs w:val="24"/>
          <w:shd w:val="clear" w:color="auto" w:fill="FFFFFF"/>
        </w:rPr>
        <w:t>International Review of Law and Economics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65</w:t>
      </w:r>
      <w:r w:rsidRPr="00E143F9">
        <w:rPr>
          <w:rFonts w:ascii="Times New Roman" w:hAnsi="Times New Roman" w:cs="Times New Roman"/>
          <w:color w:val="000000" w:themeColor="text1"/>
          <w:sz w:val="24"/>
          <w:szCs w:val="24"/>
          <w:shd w:val="clear" w:color="auto" w:fill="FFFFFF"/>
        </w:rPr>
        <w:t>, p.105945.</w:t>
      </w:r>
    </w:p>
    <w:p w14:paraId="2B3BAE85"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Milkias</w:t>
      </w:r>
      <w:proofErr w:type="spellEnd"/>
      <w:r w:rsidRPr="00E143F9">
        <w:rPr>
          <w:rFonts w:ascii="Times New Roman" w:hAnsi="Times New Roman" w:cs="Times New Roman"/>
          <w:color w:val="000000" w:themeColor="text1"/>
          <w:sz w:val="24"/>
          <w:szCs w:val="24"/>
          <w:shd w:val="clear" w:color="auto" w:fill="FFFFFF"/>
        </w:rPr>
        <w:t xml:space="preserve">, H., </w:t>
      </w:r>
      <w:proofErr w:type="spellStart"/>
      <w:r w:rsidRPr="00E143F9">
        <w:rPr>
          <w:rFonts w:ascii="Times New Roman" w:hAnsi="Times New Roman" w:cs="Times New Roman"/>
          <w:color w:val="000000" w:themeColor="text1"/>
          <w:sz w:val="24"/>
          <w:szCs w:val="24"/>
          <w:shd w:val="clear" w:color="auto" w:fill="FFFFFF"/>
        </w:rPr>
        <w:t>Yewhalaw</w:t>
      </w:r>
      <w:proofErr w:type="spellEnd"/>
      <w:r w:rsidRPr="00E143F9">
        <w:rPr>
          <w:rFonts w:ascii="Times New Roman" w:hAnsi="Times New Roman" w:cs="Times New Roman"/>
          <w:color w:val="000000" w:themeColor="text1"/>
          <w:sz w:val="24"/>
          <w:szCs w:val="24"/>
          <w:shd w:val="clear" w:color="auto" w:fill="FFFFFF"/>
        </w:rPr>
        <w:t xml:space="preserve">, D. and Abebe, G., 2023. High non-compliance rate among presumptive tuberculosis cases referred from peripheral health facilities in </w:t>
      </w:r>
      <w:proofErr w:type="spellStart"/>
      <w:r w:rsidRPr="00E143F9">
        <w:rPr>
          <w:rFonts w:ascii="Times New Roman" w:hAnsi="Times New Roman" w:cs="Times New Roman"/>
          <w:color w:val="000000" w:themeColor="text1"/>
          <w:sz w:val="24"/>
          <w:szCs w:val="24"/>
          <w:shd w:val="clear" w:color="auto" w:fill="FFFFFF"/>
        </w:rPr>
        <w:t>silti</w:t>
      </w:r>
      <w:proofErr w:type="spellEnd"/>
      <w:r w:rsidRPr="00E143F9">
        <w:rPr>
          <w:rFonts w:ascii="Times New Roman" w:hAnsi="Times New Roman" w:cs="Times New Roman"/>
          <w:color w:val="000000" w:themeColor="text1"/>
          <w:sz w:val="24"/>
          <w:szCs w:val="24"/>
          <w:shd w:val="clear" w:color="auto" w:fill="FFFFFF"/>
        </w:rPr>
        <w:t xml:space="preserve"> district of Southern Ethiopia: a mixed methods study. </w:t>
      </w:r>
      <w:r w:rsidRPr="00E143F9">
        <w:rPr>
          <w:rFonts w:ascii="Times New Roman" w:hAnsi="Times New Roman" w:cs="Times New Roman"/>
          <w:i/>
          <w:iCs/>
          <w:color w:val="000000" w:themeColor="text1"/>
          <w:sz w:val="24"/>
          <w:szCs w:val="24"/>
          <w:shd w:val="clear" w:color="auto" w:fill="FFFFFF"/>
        </w:rPr>
        <w:t>Archives of Public Health</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81</w:t>
      </w:r>
      <w:r w:rsidRPr="00E143F9">
        <w:rPr>
          <w:rFonts w:ascii="Times New Roman" w:hAnsi="Times New Roman" w:cs="Times New Roman"/>
          <w:color w:val="000000" w:themeColor="text1"/>
          <w:sz w:val="24"/>
          <w:szCs w:val="24"/>
          <w:shd w:val="clear" w:color="auto" w:fill="FFFFFF"/>
        </w:rPr>
        <w:t>(1), p.50.</w:t>
      </w:r>
    </w:p>
    <w:p w14:paraId="2BA2DC37"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lastRenderedPageBreak/>
        <w:t>Mkhize, Z., 2022. Is it transformation or reform? The lived experiences of African women doctoral students in STEM disciplines in South African universities. </w:t>
      </w:r>
      <w:r w:rsidRPr="00E143F9">
        <w:rPr>
          <w:rFonts w:ascii="Times New Roman" w:hAnsi="Times New Roman" w:cs="Times New Roman"/>
          <w:i/>
          <w:iCs/>
          <w:color w:val="000000" w:themeColor="text1"/>
          <w:sz w:val="24"/>
          <w:szCs w:val="24"/>
          <w:shd w:val="clear" w:color="auto" w:fill="FFFFFF"/>
        </w:rPr>
        <w:t>Higher Education</w:t>
      </w:r>
      <w:r w:rsidRPr="00E143F9">
        <w:rPr>
          <w:rFonts w:ascii="Times New Roman" w:hAnsi="Times New Roman" w:cs="Times New Roman"/>
          <w:color w:val="000000" w:themeColor="text1"/>
          <w:sz w:val="24"/>
          <w:szCs w:val="24"/>
          <w:shd w:val="clear" w:color="auto" w:fill="FFFFFF"/>
        </w:rPr>
        <w:t>, pp.1-23.</w:t>
      </w:r>
    </w:p>
    <w:p w14:paraId="21E6FC4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Myklebust</w:t>
      </w:r>
      <w:proofErr w:type="spellEnd"/>
      <w:r w:rsidRPr="00E143F9">
        <w:rPr>
          <w:rFonts w:ascii="Times New Roman" w:hAnsi="Times New Roman" w:cs="Times New Roman"/>
          <w:color w:val="000000" w:themeColor="text1"/>
          <w:sz w:val="24"/>
          <w:szCs w:val="24"/>
          <w:shd w:val="clear" w:color="auto" w:fill="FFFFFF"/>
        </w:rPr>
        <w:t>, T., 2023. The Legitimacy of the European Systemic Risk Board in Respect of its Performance, Roles and Contributions to the Financial Regulatory System. </w:t>
      </w:r>
      <w:r w:rsidRPr="00E143F9">
        <w:rPr>
          <w:rFonts w:ascii="Times New Roman" w:hAnsi="Times New Roman" w:cs="Times New Roman"/>
          <w:i/>
          <w:iCs/>
          <w:color w:val="000000" w:themeColor="text1"/>
          <w:sz w:val="24"/>
          <w:szCs w:val="24"/>
          <w:shd w:val="clear" w:color="auto" w:fill="FFFFFF"/>
        </w:rPr>
        <w:t>Oslo Law Review</w:t>
      </w:r>
      <w:r w:rsidRPr="00E143F9">
        <w:rPr>
          <w:rFonts w:ascii="Times New Roman" w:hAnsi="Times New Roman" w:cs="Times New Roman"/>
          <w:color w:val="000000" w:themeColor="text1"/>
          <w:sz w:val="24"/>
          <w:szCs w:val="24"/>
          <w:shd w:val="clear" w:color="auto" w:fill="FFFFFF"/>
        </w:rPr>
        <w:t>, (2), pp.92-109.</w:t>
      </w:r>
    </w:p>
    <w:p w14:paraId="35697DF6"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Ongaro</w:t>
      </w:r>
      <w:proofErr w:type="spellEnd"/>
      <w:r w:rsidRPr="00E143F9">
        <w:rPr>
          <w:rFonts w:ascii="Times New Roman" w:hAnsi="Times New Roman" w:cs="Times New Roman"/>
          <w:color w:val="000000" w:themeColor="text1"/>
          <w:sz w:val="24"/>
          <w:szCs w:val="24"/>
          <w:shd w:val="clear" w:color="auto" w:fill="FFFFFF"/>
        </w:rPr>
        <w:t xml:space="preserve">, E., Di </w:t>
      </w:r>
      <w:proofErr w:type="spellStart"/>
      <w:r w:rsidRPr="00E143F9">
        <w:rPr>
          <w:rFonts w:ascii="Times New Roman" w:hAnsi="Times New Roman" w:cs="Times New Roman"/>
          <w:color w:val="000000" w:themeColor="text1"/>
          <w:sz w:val="24"/>
          <w:szCs w:val="24"/>
          <w:shd w:val="clear" w:color="auto" w:fill="FFFFFF"/>
        </w:rPr>
        <w:t>Mascio</w:t>
      </w:r>
      <w:proofErr w:type="spellEnd"/>
      <w:r w:rsidRPr="00E143F9">
        <w:rPr>
          <w:rFonts w:ascii="Times New Roman" w:hAnsi="Times New Roman" w:cs="Times New Roman"/>
          <w:color w:val="000000" w:themeColor="text1"/>
          <w:sz w:val="24"/>
          <w:szCs w:val="24"/>
          <w:shd w:val="clear" w:color="auto" w:fill="FFFFFF"/>
        </w:rPr>
        <w:t xml:space="preserve">, F. and </w:t>
      </w:r>
      <w:proofErr w:type="spellStart"/>
      <w:r w:rsidRPr="00E143F9">
        <w:rPr>
          <w:rFonts w:ascii="Times New Roman" w:hAnsi="Times New Roman" w:cs="Times New Roman"/>
          <w:color w:val="000000" w:themeColor="text1"/>
          <w:sz w:val="24"/>
          <w:szCs w:val="24"/>
          <w:shd w:val="clear" w:color="auto" w:fill="FFFFFF"/>
        </w:rPr>
        <w:t>Natalini</w:t>
      </w:r>
      <w:proofErr w:type="spellEnd"/>
      <w:r w:rsidRPr="00E143F9">
        <w:rPr>
          <w:rFonts w:ascii="Times New Roman" w:hAnsi="Times New Roman" w:cs="Times New Roman"/>
          <w:color w:val="000000" w:themeColor="text1"/>
          <w:sz w:val="24"/>
          <w:szCs w:val="24"/>
          <w:shd w:val="clear" w:color="auto" w:fill="FFFFFF"/>
        </w:rPr>
        <w:t>, A., 2022. How the European Union responded to populism and its implications for public sector reforms. </w:t>
      </w:r>
      <w:r w:rsidRPr="00E143F9">
        <w:rPr>
          <w:rFonts w:ascii="Times New Roman" w:hAnsi="Times New Roman" w:cs="Times New Roman"/>
          <w:i/>
          <w:iCs/>
          <w:color w:val="000000" w:themeColor="text1"/>
          <w:sz w:val="24"/>
          <w:szCs w:val="24"/>
          <w:shd w:val="clear" w:color="auto" w:fill="FFFFFF"/>
        </w:rPr>
        <w:t>Global Public Policy and Governance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w:t>
      </w:r>
      <w:r w:rsidRPr="00E143F9">
        <w:rPr>
          <w:rFonts w:ascii="Times New Roman" w:hAnsi="Times New Roman" w:cs="Times New Roman"/>
          <w:color w:val="000000" w:themeColor="text1"/>
          <w:sz w:val="24"/>
          <w:szCs w:val="24"/>
          <w:shd w:val="clear" w:color="auto" w:fill="FFFFFF"/>
        </w:rPr>
        <w:t>(1), pp.89-109.</w:t>
      </w:r>
    </w:p>
    <w:p w14:paraId="2B1204B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Priem</w:t>
      </w:r>
      <w:proofErr w:type="spellEnd"/>
      <w:r w:rsidRPr="00E143F9">
        <w:rPr>
          <w:rFonts w:ascii="Times New Roman" w:hAnsi="Times New Roman" w:cs="Times New Roman"/>
          <w:color w:val="000000" w:themeColor="text1"/>
          <w:sz w:val="24"/>
          <w:szCs w:val="24"/>
          <w:shd w:val="clear" w:color="auto" w:fill="FFFFFF"/>
        </w:rPr>
        <w:t>, R., 2022. A European distributed ledger technology pilot regime for market infrastructures: finding a balance between innovation, investor protection and financial stability. </w:t>
      </w:r>
      <w:r w:rsidRPr="00E143F9">
        <w:rPr>
          <w:rFonts w:ascii="Times New Roman" w:hAnsi="Times New Roman" w:cs="Times New Roman"/>
          <w:i/>
          <w:iCs/>
          <w:color w:val="000000" w:themeColor="text1"/>
          <w:sz w:val="24"/>
          <w:szCs w:val="24"/>
          <w:shd w:val="clear" w:color="auto" w:fill="FFFFFF"/>
        </w:rPr>
        <w:t>Journal of Financial Regulation and Compliance</w:t>
      </w:r>
      <w:r w:rsidRPr="00E143F9">
        <w:rPr>
          <w:rFonts w:ascii="Times New Roman" w:hAnsi="Times New Roman" w:cs="Times New Roman"/>
          <w:color w:val="000000" w:themeColor="text1"/>
          <w:sz w:val="24"/>
          <w:szCs w:val="24"/>
          <w:shd w:val="clear" w:color="auto" w:fill="FFFFFF"/>
        </w:rPr>
        <w:t>.</w:t>
      </w:r>
    </w:p>
    <w:p w14:paraId="6D4CE25C"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Quaglia</w:t>
      </w:r>
      <w:proofErr w:type="spellEnd"/>
      <w:r w:rsidRPr="00E143F9">
        <w:rPr>
          <w:rFonts w:ascii="Times New Roman" w:hAnsi="Times New Roman" w:cs="Times New Roman"/>
          <w:color w:val="000000" w:themeColor="text1"/>
          <w:sz w:val="24"/>
          <w:szCs w:val="24"/>
          <w:shd w:val="clear" w:color="auto" w:fill="FFFFFF"/>
        </w:rPr>
        <w:t xml:space="preserve">, L. and </w:t>
      </w:r>
      <w:proofErr w:type="spellStart"/>
      <w:r w:rsidRPr="00E143F9">
        <w:rPr>
          <w:rFonts w:ascii="Times New Roman" w:hAnsi="Times New Roman" w:cs="Times New Roman"/>
          <w:color w:val="000000" w:themeColor="text1"/>
          <w:sz w:val="24"/>
          <w:szCs w:val="24"/>
          <w:shd w:val="clear" w:color="auto" w:fill="FFFFFF"/>
        </w:rPr>
        <w:t>Spendzharova</w:t>
      </w:r>
      <w:proofErr w:type="spellEnd"/>
      <w:r w:rsidRPr="00E143F9">
        <w:rPr>
          <w:rFonts w:ascii="Times New Roman" w:hAnsi="Times New Roman" w:cs="Times New Roman"/>
          <w:color w:val="000000" w:themeColor="text1"/>
          <w:sz w:val="24"/>
          <w:szCs w:val="24"/>
          <w:shd w:val="clear" w:color="auto" w:fill="FFFFFF"/>
        </w:rPr>
        <w:t>, A., 2023. Explaining the EU’s Uneven Influence Across the International Regime Complex in Shadow Banking. </w:t>
      </w:r>
      <w:r w:rsidRPr="00E143F9">
        <w:rPr>
          <w:rFonts w:ascii="Times New Roman" w:hAnsi="Times New Roman" w:cs="Times New Roman"/>
          <w:i/>
          <w:iCs/>
          <w:color w:val="000000" w:themeColor="text1"/>
          <w:sz w:val="24"/>
          <w:szCs w:val="24"/>
          <w:shd w:val="clear" w:color="auto" w:fill="FFFFFF"/>
        </w:rPr>
        <w:t>Politics and Governance</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11</w:t>
      </w:r>
      <w:r w:rsidRPr="00E143F9">
        <w:rPr>
          <w:rFonts w:ascii="Times New Roman" w:hAnsi="Times New Roman" w:cs="Times New Roman"/>
          <w:color w:val="000000" w:themeColor="text1"/>
          <w:sz w:val="24"/>
          <w:szCs w:val="24"/>
          <w:shd w:val="clear" w:color="auto" w:fill="FFFFFF"/>
        </w:rPr>
        <w:t>(2).</w:t>
      </w:r>
    </w:p>
    <w:p w14:paraId="3994CE7F"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Quaglia</w:t>
      </w:r>
      <w:proofErr w:type="spellEnd"/>
      <w:r w:rsidRPr="00E143F9">
        <w:rPr>
          <w:rFonts w:ascii="Times New Roman" w:hAnsi="Times New Roman" w:cs="Times New Roman"/>
          <w:color w:val="000000" w:themeColor="text1"/>
          <w:sz w:val="24"/>
          <w:szCs w:val="24"/>
          <w:shd w:val="clear" w:color="auto" w:fill="FFFFFF"/>
        </w:rPr>
        <w:t xml:space="preserve">, L. and Verdun, A., 2023. The European Central Bank, the Single Supervisory Mechanism and the COVID-19 related economic crisis: a </w:t>
      </w:r>
      <w:proofErr w:type="spellStart"/>
      <w:r w:rsidRPr="00E143F9">
        <w:rPr>
          <w:rFonts w:ascii="Times New Roman" w:hAnsi="Times New Roman" w:cs="Times New Roman"/>
          <w:color w:val="000000" w:themeColor="text1"/>
          <w:sz w:val="24"/>
          <w:szCs w:val="24"/>
          <w:shd w:val="clear" w:color="auto" w:fill="FFFFFF"/>
        </w:rPr>
        <w:t>neofunctionalist</w:t>
      </w:r>
      <w:proofErr w:type="spellEnd"/>
      <w:r w:rsidRPr="00E143F9">
        <w:rPr>
          <w:rFonts w:ascii="Times New Roman" w:hAnsi="Times New Roman" w:cs="Times New Roman"/>
          <w:color w:val="000000" w:themeColor="text1"/>
          <w:sz w:val="24"/>
          <w:szCs w:val="24"/>
          <w:shd w:val="clear" w:color="auto" w:fill="FFFFFF"/>
        </w:rPr>
        <w:t xml:space="preserve"> analysis. </w:t>
      </w:r>
      <w:r w:rsidRPr="00E143F9">
        <w:rPr>
          <w:rFonts w:ascii="Times New Roman" w:hAnsi="Times New Roman" w:cs="Times New Roman"/>
          <w:i/>
          <w:iCs/>
          <w:color w:val="000000" w:themeColor="text1"/>
          <w:sz w:val="24"/>
          <w:szCs w:val="24"/>
          <w:shd w:val="clear" w:color="auto" w:fill="FFFFFF"/>
        </w:rPr>
        <w:t>Journal of European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45</w:t>
      </w:r>
      <w:r w:rsidRPr="00E143F9">
        <w:rPr>
          <w:rFonts w:ascii="Times New Roman" w:hAnsi="Times New Roman" w:cs="Times New Roman"/>
          <w:color w:val="000000" w:themeColor="text1"/>
          <w:sz w:val="24"/>
          <w:szCs w:val="24"/>
          <w:shd w:val="clear" w:color="auto" w:fill="FFFFFF"/>
        </w:rPr>
        <w:t>(1), pp.139-156.</w:t>
      </w:r>
    </w:p>
    <w:p w14:paraId="1CC2A758"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Qureshi, F., Yusuf, M., </w:t>
      </w:r>
      <w:proofErr w:type="spellStart"/>
      <w:r w:rsidRPr="00E143F9">
        <w:rPr>
          <w:rFonts w:ascii="Times New Roman" w:hAnsi="Times New Roman" w:cs="Times New Roman"/>
          <w:color w:val="000000" w:themeColor="text1"/>
          <w:sz w:val="24"/>
          <w:szCs w:val="24"/>
          <w:shd w:val="clear" w:color="auto" w:fill="FFFFFF"/>
        </w:rPr>
        <w:t>Kamyab</w:t>
      </w:r>
      <w:proofErr w:type="spellEnd"/>
      <w:r w:rsidRPr="00E143F9">
        <w:rPr>
          <w:rFonts w:ascii="Times New Roman" w:hAnsi="Times New Roman" w:cs="Times New Roman"/>
          <w:color w:val="000000" w:themeColor="text1"/>
          <w:sz w:val="24"/>
          <w:szCs w:val="24"/>
          <w:shd w:val="clear" w:color="auto" w:fill="FFFFFF"/>
        </w:rPr>
        <w:t xml:space="preserve">, H., Vo, D.V.N., </w:t>
      </w:r>
      <w:proofErr w:type="spellStart"/>
      <w:r w:rsidRPr="00E143F9">
        <w:rPr>
          <w:rFonts w:ascii="Times New Roman" w:hAnsi="Times New Roman" w:cs="Times New Roman"/>
          <w:color w:val="000000" w:themeColor="text1"/>
          <w:sz w:val="24"/>
          <w:szCs w:val="24"/>
          <w:shd w:val="clear" w:color="auto" w:fill="FFFFFF"/>
        </w:rPr>
        <w:t>Chelliapan</w:t>
      </w:r>
      <w:proofErr w:type="spellEnd"/>
      <w:r w:rsidRPr="00E143F9">
        <w:rPr>
          <w:rFonts w:ascii="Times New Roman" w:hAnsi="Times New Roman" w:cs="Times New Roman"/>
          <w:color w:val="000000" w:themeColor="text1"/>
          <w:sz w:val="24"/>
          <w:szCs w:val="24"/>
          <w:shd w:val="clear" w:color="auto" w:fill="FFFFFF"/>
        </w:rPr>
        <w:t xml:space="preserve">, S., Joo, S.W. and </w:t>
      </w:r>
      <w:proofErr w:type="spellStart"/>
      <w:r w:rsidRPr="00E143F9">
        <w:rPr>
          <w:rFonts w:ascii="Times New Roman" w:hAnsi="Times New Roman" w:cs="Times New Roman"/>
          <w:color w:val="000000" w:themeColor="text1"/>
          <w:sz w:val="24"/>
          <w:szCs w:val="24"/>
          <w:shd w:val="clear" w:color="auto" w:fill="FFFFFF"/>
        </w:rPr>
        <w:t>Vasseghian</w:t>
      </w:r>
      <w:proofErr w:type="spellEnd"/>
      <w:r w:rsidRPr="00E143F9">
        <w:rPr>
          <w:rFonts w:ascii="Times New Roman" w:hAnsi="Times New Roman" w:cs="Times New Roman"/>
          <w:color w:val="000000" w:themeColor="text1"/>
          <w:sz w:val="24"/>
          <w:szCs w:val="24"/>
          <w:shd w:val="clear" w:color="auto" w:fill="FFFFFF"/>
        </w:rPr>
        <w:t>, Y., 2022. Latest eco-friendly avenues on hydrogen production towards a circular bioeconomy: Currents challenges, innovative insights, and future perspectives. </w:t>
      </w:r>
      <w:r w:rsidRPr="00E143F9">
        <w:rPr>
          <w:rFonts w:ascii="Times New Roman" w:hAnsi="Times New Roman" w:cs="Times New Roman"/>
          <w:i/>
          <w:iCs/>
          <w:color w:val="000000" w:themeColor="text1"/>
          <w:sz w:val="24"/>
          <w:szCs w:val="24"/>
          <w:shd w:val="clear" w:color="auto" w:fill="FFFFFF"/>
        </w:rPr>
        <w:t>Renewable and Sustainable Energy Reviews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168</w:t>
      </w:r>
      <w:r w:rsidRPr="00E143F9">
        <w:rPr>
          <w:rFonts w:ascii="Times New Roman" w:hAnsi="Times New Roman" w:cs="Times New Roman"/>
          <w:color w:val="000000" w:themeColor="text1"/>
          <w:sz w:val="24"/>
          <w:szCs w:val="24"/>
          <w:shd w:val="clear" w:color="auto" w:fill="FFFFFF"/>
        </w:rPr>
        <w:t>, p.112916.</w:t>
      </w:r>
    </w:p>
    <w:p w14:paraId="729AA03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Sarbazvatan</w:t>
      </w:r>
      <w:proofErr w:type="spellEnd"/>
      <w:r w:rsidRPr="00E143F9">
        <w:rPr>
          <w:rFonts w:ascii="Times New Roman" w:hAnsi="Times New Roman" w:cs="Times New Roman"/>
          <w:color w:val="000000" w:themeColor="text1"/>
          <w:sz w:val="24"/>
          <w:szCs w:val="24"/>
          <w:shd w:val="clear" w:color="auto" w:fill="FFFFFF"/>
        </w:rPr>
        <w:t>, S., 2022. From the fair trade concept to a symbiotic sustainability business model: the case of Unilever and the Lipton-Rainforest Alliance partnership. </w:t>
      </w:r>
      <w:r w:rsidRPr="00E143F9">
        <w:rPr>
          <w:rFonts w:ascii="Times New Roman" w:hAnsi="Times New Roman" w:cs="Times New Roman"/>
          <w:i/>
          <w:iCs/>
          <w:color w:val="000000" w:themeColor="text1"/>
          <w:sz w:val="24"/>
          <w:szCs w:val="24"/>
          <w:shd w:val="clear" w:color="auto" w:fill="FFFFFF"/>
        </w:rPr>
        <w:t>International Journal of Competitiveness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w:t>
      </w:r>
      <w:r w:rsidRPr="00E143F9">
        <w:rPr>
          <w:rFonts w:ascii="Times New Roman" w:hAnsi="Times New Roman" w:cs="Times New Roman"/>
          <w:color w:val="000000" w:themeColor="text1"/>
          <w:sz w:val="24"/>
          <w:szCs w:val="24"/>
          <w:shd w:val="clear" w:color="auto" w:fill="FFFFFF"/>
        </w:rPr>
        <w:t>(3), pp.189-211.</w:t>
      </w:r>
    </w:p>
    <w:p w14:paraId="3100BE70"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Schenk, C.R., 2021. The global financial crisis and banking regulation: Another turn of the wheel?. </w:t>
      </w:r>
      <w:r w:rsidRPr="00E143F9">
        <w:rPr>
          <w:rFonts w:ascii="Times New Roman" w:hAnsi="Times New Roman" w:cs="Times New Roman"/>
          <w:i/>
          <w:iCs/>
          <w:color w:val="000000" w:themeColor="text1"/>
          <w:sz w:val="24"/>
          <w:szCs w:val="24"/>
          <w:shd w:val="clear" w:color="auto" w:fill="FFFFFF"/>
        </w:rPr>
        <w:t>Journal of Modern European History</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19</w:t>
      </w:r>
      <w:r w:rsidRPr="00E143F9">
        <w:rPr>
          <w:rFonts w:ascii="Times New Roman" w:hAnsi="Times New Roman" w:cs="Times New Roman"/>
          <w:color w:val="000000" w:themeColor="text1"/>
          <w:sz w:val="24"/>
          <w:szCs w:val="24"/>
          <w:shd w:val="clear" w:color="auto" w:fill="FFFFFF"/>
        </w:rPr>
        <w:t>(1), pp.8-13.</w:t>
      </w:r>
    </w:p>
    <w:p w14:paraId="0496968C"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Schoeman, A.H.A., Evans, C.C. and Du </w:t>
      </w:r>
      <w:proofErr w:type="spellStart"/>
      <w:r w:rsidRPr="00E143F9">
        <w:rPr>
          <w:rFonts w:ascii="Times New Roman" w:hAnsi="Times New Roman" w:cs="Times New Roman"/>
          <w:color w:val="000000" w:themeColor="text1"/>
          <w:sz w:val="24"/>
          <w:szCs w:val="24"/>
          <w:shd w:val="clear" w:color="auto" w:fill="FFFFFF"/>
        </w:rPr>
        <w:t>Preez</w:t>
      </w:r>
      <w:proofErr w:type="spellEnd"/>
      <w:r w:rsidRPr="00E143F9">
        <w:rPr>
          <w:rFonts w:ascii="Times New Roman" w:hAnsi="Times New Roman" w:cs="Times New Roman"/>
          <w:color w:val="000000" w:themeColor="text1"/>
          <w:sz w:val="24"/>
          <w:szCs w:val="24"/>
          <w:shd w:val="clear" w:color="auto" w:fill="FFFFFF"/>
        </w:rPr>
        <w:t>, H., 2022. To register or not to register for value-added tax? How tax rate changes can influence the decisions of small businesses in South Africa. </w:t>
      </w:r>
      <w:proofErr w:type="spellStart"/>
      <w:r w:rsidRPr="00E143F9">
        <w:rPr>
          <w:rFonts w:ascii="Times New Roman" w:hAnsi="Times New Roman" w:cs="Times New Roman"/>
          <w:i/>
          <w:iCs/>
          <w:color w:val="000000" w:themeColor="text1"/>
          <w:sz w:val="24"/>
          <w:szCs w:val="24"/>
          <w:shd w:val="clear" w:color="auto" w:fill="FFFFFF"/>
        </w:rPr>
        <w:t>Meditari</w:t>
      </w:r>
      <w:proofErr w:type="spellEnd"/>
      <w:r w:rsidRPr="00E143F9">
        <w:rPr>
          <w:rFonts w:ascii="Times New Roman" w:hAnsi="Times New Roman" w:cs="Times New Roman"/>
          <w:i/>
          <w:iCs/>
          <w:color w:val="000000" w:themeColor="text1"/>
          <w:sz w:val="24"/>
          <w:szCs w:val="24"/>
          <w:shd w:val="clear" w:color="auto" w:fill="FFFFFF"/>
        </w:rPr>
        <w:t xml:space="preserve"> Accountancy Research</w:t>
      </w:r>
      <w:r w:rsidRPr="00E143F9">
        <w:rPr>
          <w:rFonts w:ascii="Times New Roman" w:hAnsi="Times New Roman" w:cs="Times New Roman"/>
          <w:color w:val="000000" w:themeColor="text1"/>
          <w:sz w:val="24"/>
          <w:szCs w:val="24"/>
          <w:shd w:val="clear" w:color="auto" w:fill="FFFFFF"/>
        </w:rPr>
        <w:t>, (ahead-of-print).</w:t>
      </w:r>
    </w:p>
    <w:p w14:paraId="201A33C1"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lastRenderedPageBreak/>
        <w:t>Scholten, M., 2022. A ‘house of cards’ construction for the expanding mandate of supervision of financial markets in the EU. </w:t>
      </w:r>
      <w:r w:rsidRPr="00E143F9">
        <w:rPr>
          <w:rFonts w:ascii="Times New Roman" w:hAnsi="Times New Roman" w:cs="Times New Roman"/>
          <w:i/>
          <w:iCs/>
          <w:color w:val="000000" w:themeColor="text1"/>
          <w:sz w:val="24"/>
          <w:szCs w:val="24"/>
          <w:shd w:val="clear" w:color="auto" w:fill="FFFFFF"/>
        </w:rPr>
        <w:t>Jean Monnet Network on EU Law Enforcement</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35</w:t>
      </w:r>
      <w:r w:rsidRPr="00E143F9">
        <w:rPr>
          <w:rFonts w:ascii="Times New Roman" w:hAnsi="Times New Roman" w:cs="Times New Roman"/>
          <w:color w:val="000000" w:themeColor="text1"/>
          <w:sz w:val="24"/>
          <w:szCs w:val="24"/>
          <w:shd w:val="clear" w:color="auto" w:fill="FFFFFF"/>
        </w:rPr>
        <w:t>.</w:t>
      </w:r>
    </w:p>
    <w:p w14:paraId="2840441D"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Smeets</w:t>
      </w:r>
      <w:proofErr w:type="spellEnd"/>
      <w:r w:rsidRPr="00E143F9">
        <w:rPr>
          <w:rFonts w:ascii="Times New Roman" w:hAnsi="Times New Roman" w:cs="Times New Roman"/>
          <w:color w:val="000000" w:themeColor="text1"/>
          <w:sz w:val="24"/>
          <w:szCs w:val="24"/>
          <w:shd w:val="clear" w:color="auto" w:fill="FFFFFF"/>
        </w:rPr>
        <w:t>, S. and Beach, D., 2022. New institutional leadership goes viral EU crisis reforms and the coming about of the covid recovery fund. </w:t>
      </w:r>
      <w:r w:rsidRPr="00E143F9">
        <w:rPr>
          <w:rFonts w:ascii="Times New Roman" w:hAnsi="Times New Roman" w:cs="Times New Roman"/>
          <w:i/>
          <w:iCs/>
          <w:color w:val="000000" w:themeColor="text1"/>
          <w:sz w:val="24"/>
          <w:szCs w:val="24"/>
          <w:shd w:val="clear" w:color="auto" w:fill="FFFFFF"/>
        </w:rPr>
        <w:t>European Journal of Political Research</w:t>
      </w:r>
      <w:r w:rsidRPr="00E143F9">
        <w:rPr>
          <w:rFonts w:ascii="Times New Roman" w:hAnsi="Times New Roman" w:cs="Times New Roman"/>
          <w:color w:val="000000" w:themeColor="text1"/>
          <w:sz w:val="24"/>
          <w:szCs w:val="24"/>
          <w:shd w:val="clear" w:color="auto" w:fill="FFFFFF"/>
        </w:rPr>
        <w:t>.</w:t>
      </w:r>
    </w:p>
    <w:p w14:paraId="4481CD93"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 xml:space="preserve">Swinkels, M. and van </w:t>
      </w:r>
      <w:proofErr w:type="spellStart"/>
      <w:r w:rsidRPr="00E143F9">
        <w:rPr>
          <w:rFonts w:ascii="Times New Roman" w:hAnsi="Times New Roman" w:cs="Times New Roman"/>
          <w:color w:val="000000" w:themeColor="text1"/>
          <w:sz w:val="24"/>
          <w:szCs w:val="24"/>
          <w:shd w:val="clear" w:color="auto" w:fill="FFFFFF"/>
        </w:rPr>
        <w:t>Esch</w:t>
      </w:r>
      <w:proofErr w:type="spellEnd"/>
      <w:r w:rsidRPr="00E143F9">
        <w:rPr>
          <w:rFonts w:ascii="Times New Roman" w:hAnsi="Times New Roman" w:cs="Times New Roman"/>
          <w:color w:val="000000" w:themeColor="text1"/>
          <w:sz w:val="24"/>
          <w:szCs w:val="24"/>
          <w:shd w:val="clear" w:color="auto" w:fill="FFFFFF"/>
        </w:rPr>
        <w:t>, F., 2022. Deciding upon the Banking Union: How a joint belief shift instigated deep institutional change in Eurozone governance. </w:t>
      </w:r>
      <w:r w:rsidRPr="00E143F9">
        <w:rPr>
          <w:rFonts w:ascii="Times New Roman" w:hAnsi="Times New Roman" w:cs="Times New Roman"/>
          <w:i/>
          <w:iCs/>
          <w:color w:val="000000" w:themeColor="text1"/>
          <w:sz w:val="24"/>
          <w:szCs w:val="24"/>
          <w:shd w:val="clear" w:color="auto" w:fill="FFFFFF"/>
        </w:rPr>
        <w:t>European Policy Analysis</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8</w:t>
      </w:r>
      <w:r w:rsidRPr="00E143F9">
        <w:rPr>
          <w:rFonts w:ascii="Times New Roman" w:hAnsi="Times New Roman" w:cs="Times New Roman"/>
          <w:color w:val="000000" w:themeColor="text1"/>
          <w:sz w:val="24"/>
          <w:szCs w:val="24"/>
          <w:shd w:val="clear" w:color="auto" w:fill="FFFFFF"/>
        </w:rPr>
        <w:t>(1), pp.9-32.</w:t>
      </w:r>
    </w:p>
    <w:p w14:paraId="42B84D5B"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Tarasenko, A., 2022. Outsourcing elderly care to private companies in Russia:(non) compliance and creative compliance as responses to the principal-agent problem. </w:t>
      </w:r>
      <w:r w:rsidRPr="00E143F9">
        <w:rPr>
          <w:rFonts w:ascii="Times New Roman" w:hAnsi="Times New Roman" w:cs="Times New Roman"/>
          <w:i/>
          <w:iCs/>
          <w:color w:val="000000" w:themeColor="text1"/>
          <w:sz w:val="24"/>
          <w:szCs w:val="24"/>
          <w:shd w:val="clear" w:color="auto" w:fill="FFFFFF"/>
        </w:rPr>
        <w:t>East European Politics</w:t>
      </w:r>
      <w:r w:rsidRPr="00E143F9">
        <w:rPr>
          <w:rFonts w:ascii="Times New Roman" w:hAnsi="Times New Roman" w:cs="Times New Roman"/>
          <w:color w:val="000000" w:themeColor="text1"/>
          <w:sz w:val="24"/>
          <w:szCs w:val="24"/>
          <w:shd w:val="clear" w:color="auto" w:fill="FFFFFF"/>
        </w:rPr>
        <w:t>, pp.1-21.</w:t>
      </w:r>
    </w:p>
    <w:p w14:paraId="337C6471"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Unilever PLC, 2023. </w:t>
      </w:r>
      <w:r w:rsidRPr="00E143F9">
        <w:rPr>
          <w:rFonts w:ascii="Times New Roman" w:hAnsi="Times New Roman" w:cs="Times New Roman"/>
          <w:i/>
          <w:iCs/>
          <w:color w:val="000000" w:themeColor="text1"/>
          <w:sz w:val="24"/>
          <w:szCs w:val="24"/>
        </w:rPr>
        <w:t>A responsible taxpayer</w:t>
      </w:r>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Unilever</w:t>
      </w:r>
      <w:r w:rsidRPr="00E143F9">
        <w:rPr>
          <w:rFonts w:ascii="Times New Roman" w:hAnsi="Times New Roman" w:cs="Times New Roman"/>
          <w:color w:val="000000" w:themeColor="text1"/>
          <w:sz w:val="24"/>
          <w:szCs w:val="24"/>
        </w:rPr>
        <w:t xml:space="preserve">. Unilever PLC. Available at: https://www.unilever.com/planet-and-society/responsible-business/responsible-taxpayer/ (Accessed: April 22, 2023). </w:t>
      </w:r>
    </w:p>
    <w:p w14:paraId="4626085C" w14:textId="77777777" w:rsidR="009F64D8" w:rsidRPr="00E143F9" w:rsidRDefault="009F64D8" w:rsidP="009F64D8">
      <w:pPr>
        <w:spacing w:line="360" w:lineRule="auto"/>
        <w:jc w:val="both"/>
        <w:rPr>
          <w:rFonts w:ascii="Times New Roman" w:hAnsi="Times New Roman" w:cs="Times New Roman"/>
          <w:color w:val="000000" w:themeColor="text1"/>
          <w:sz w:val="24"/>
          <w:szCs w:val="24"/>
        </w:rPr>
      </w:pPr>
      <w:r w:rsidRPr="00E143F9">
        <w:rPr>
          <w:rFonts w:ascii="Times New Roman" w:hAnsi="Times New Roman" w:cs="Times New Roman"/>
          <w:color w:val="000000" w:themeColor="text1"/>
          <w:sz w:val="24"/>
          <w:szCs w:val="24"/>
        </w:rPr>
        <w:t xml:space="preserve">Unilever, 2023. </w:t>
      </w:r>
      <w:r w:rsidRPr="00E143F9">
        <w:rPr>
          <w:rFonts w:ascii="Times New Roman" w:hAnsi="Times New Roman" w:cs="Times New Roman"/>
          <w:i/>
          <w:iCs/>
          <w:color w:val="000000" w:themeColor="text1"/>
          <w:sz w:val="24"/>
          <w:szCs w:val="24"/>
        </w:rPr>
        <w:t xml:space="preserve">The governance of </w:t>
      </w:r>
      <w:proofErr w:type="spellStart"/>
      <w:r w:rsidRPr="00E143F9">
        <w:rPr>
          <w:rFonts w:ascii="Times New Roman" w:hAnsi="Times New Roman" w:cs="Times New Roman"/>
          <w:i/>
          <w:iCs/>
          <w:color w:val="000000" w:themeColor="text1"/>
          <w:sz w:val="24"/>
          <w:szCs w:val="24"/>
        </w:rPr>
        <w:t>unilever</w:t>
      </w:r>
      <w:proofErr w:type="spellEnd"/>
      <w:r w:rsidRPr="00E143F9">
        <w:rPr>
          <w:rFonts w:ascii="Times New Roman" w:hAnsi="Times New Roman" w:cs="Times New Roman"/>
          <w:color w:val="000000" w:themeColor="text1"/>
          <w:sz w:val="24"/>
          <w:szCs w:val="24"/>
        </w:rPr>
        <w:t xml:space="preserve">, </w:t>
      </w:r>
      <w:r w:rsidRPr="00E143F9">
        <w:rPr>
          <w:rFonts w:ascii="Times New Roman" w:hAnsi="Times New Roman" w:cs="Times New Roman"/>
          <w:i/>
          <w:iCs/>
          <w:color w:val="000000" w:themeColor="text1"/>
          <w:sz w:val="24"/>
          <w:szCs w:val="24"/>
        </w:rPr>
        <w:t>The Governance of Unilever</w:t>
      </w:r>
      <w:r w:rsidRPr="00E143F9">
        <w:rPr>
          <w:rFonts w:ascii="Times New Roman" w:hAnsi="Times New Roman" w:cs="Times New Roman"/>
          <w:color w:val="000000" w:themeColor="text1"/>
          <w:sz w:val="24"/>
          <w:szCs w:val="24"/>
        </w:rPr>
        <w:t xml:space="preserve">. Available at: https://www.unilever.com/files/a05bff1b-5b19-4c89-bf85-c085706e74f4/governance-of-unilever.pdf (Accessed: April 21, 2023). </w:t>
      </w:r>
    </w:p>
    <w:p w14:paraId="3C1B8BF0"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proofErr w:type="spellStart"/>
      <w:r w:rsidRPr="00E143F9">
        <w:rPr>
          <w:rFonts w:ascii="Times New Roman" w:hAnsi="Times New Roman" w:cs="Times New Roman"/>
          <w:color w:val="000000" w:themeColor="text1"/>
          <w:sz w:val="24"/>
          <w:szCs w:val="24"/>
          <w:shd w:val="clear" w:color="auto" w:fill="FFFFFF"/>
        </w:rPr>
        <w:t>Vanackère</w:t>
      </w:r>
      <w:proofErr w:type="spellEnd"/>
      <w:r w:rsidRPr="00E143F9">
        <w:rPr>
          <w:rFonts w:ascii="Times New Roman" w:hAnsi="Times New Roman" w:cs="Times New Roman"/>
          <w:color w:val="000000" w:themeColor="text1"/>
          <w:sz w:val="24"/>
          <w:szCs w:val="24"/>
          <w:shd w:val="clear" w:color="auto" w:fill="FFFFFF"/>
        </w:rPr>
        <w:t xml:space="preserve">, F. and </w:t>
      </w:r>
      <w:proofErr w:type="spellStart"/>
      <w:r w:rsidRPr="00E143F9">
        <w:rPr>
          <w:rFonts w:ascii="Times New Roman" w:hAnsi="Times New Roman" w:cs="Times New Roman"/>
          <w:color w:val="000000" w:themeColor="text1"/>
          <w:sz w:val="24"/>
          <w:szCs w:val="24"/>
          <w:shd w:val="clear" w:color="auto" w:fill="FFFFFF"/>
        </w:rPr>
        <w:t>Kaspiarovich</w:t>
      </w:r>
      <w:proofErr w:type="spellEnd"/>
      <w:r w:rsidRPr="00E143F9">
        <w:rPr>
          <w:rFonts w:ascii="Times New Roman" w:hAnsi="Times New Roman" w:cs="Times New Roman"/>
          <w:color w:val="000000" w:themeColor="text1"/>
          <w:sz w:val="24"/>
          <w:szCs w:val="24"/>
          <w:shd w:val="clear" w:color="auto" w:fill="FFFFFF"/>
        </w:rPr>
        <w:t>, Y., 2022. European Institutions Acting Outside the EU Legal Order: The Impact of the Euro Crisis on the EU's' Single Institutional Framework'. </w:t>
      </w:r>
      <w:r w:rsidRPr="00E143F9">
        <w:rPr>
          <w:rFonts w:ascii="Times New Roman" w:hAnsi="Times New Roman" w:cs="Times New Roman"/>
          <w:i/>
          <w:iCs/>
          <w:color w:val="000000" w:themeColor="text1"/>
          <w:sz w:val="24"/>
          <w:szCs w:val="24"/>
          <w:shd w:val="clear" w:color="auto" w:fill="FFFFFF"/>
        </w:rPr>
        <w:t>European Papers-A Journal on Law and Integration</w:t>
      </w:r>
      <w:r w:rsidRPr="00E143F9">
        <w:rPr>
          <w:rFonts w:ascii="Times New Roman" w:hAnsi="Times New Roman" w:cs="Times New Roman"/>
          <w:color w:val="000000" w:themeColor="text1"/>
          <w:sz w:val="24"/>
          <w:szCs w:val="24"/>
          <w:shd w:val="clear" w:color="auto" w:fill="FFFFFF"/>
        </w:rPr>
        <w:t>, </w:t>
      </w:r>
      <w:r w:rsidRPr="00E143F9">
        <w:rPr>
          <w:rFonts w:ascii="Times New Roman" w:hAnsi="Times New Roman" w:cs="Times New Roman"/>
          <w:i/>
          <w:iCs/>
          <w:color w:val="000000" w:themeColor="text1"/>
          <w:sz w:val="24"/>
          <w:szCs w:val="24"/>
          <w:shd w:val="clear" w:color="auto" w:fill="FFFFFF"/>
        </w:rPr>
        <w:t>2022</w:t>
      </w:r>
      <w:r w:rsidRPr="00E143F9">
        <w:rPr>
          <w:rFonts w:ascii="Times New Roman" w:hAnsi="Times New Roman" w:cs="Times New Roman"/>
          <w:color w:val="000000" w:themeColor="text1"/>
          <w:sz w:val="24"/>
          <w:szCs w:val="24"/>
          <w:shd w:val="clear" w:color="auto" w:fill="FFFFFF"/>
        </w:rPr>
        <w:t>(1), pp.481-506.</w:t>
      </w:r>
    </w:p>
    <w:p w14:paraId="07D439DA"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Wikström, I., 2022. Basel III leverage ratio in the EU banking system.</w:t>
      </w:r>
    </w:p>
    <w:p w14:paraId="73BC147E" w14:textId="77777777" w:rsidR="009F64D8" w:rsidRPr="00E143F9" w:rsidRDefault="009F64D8" w:rsidP="009F64D8">
      <w:pPr>
        <w:spacing w:line="360" w:lineRule="auto"/>
        <w:jc w:val="both"/>
        <w:rPr>
          <w:rFonts w:ascii="Times New Roman" w:hAnsi="Times New Roman" w:cs="Times New Roman"/>
          <w:color w:val="000000" w:themeColor="text1"/>
          <w:sz w:val="24"/>
          <w:szCs w:val="24"/>
          <w:shd w:val="clear" w:color="auto" w:fill="FFFFFF"/>
        </w:rPr>
      </w:pPr>
      <w:r w:rsidRPr="00E143F9">
        <w:rPr>
          <w:rFonts w:ascii="Times New Roman" w:hAnsi="Times New Roman" w:cs="Times New Roman"/>
          <w:color w:val="000000" w:themeColor="text1"/>
          <w:sz w:val="24"/>
          <w:szCs w:val="24"/>
          <w:shd w:val="clear" w:color="auto" w:fill="FFFFFF"/>
        </w:rPr>
        <w:t>Wilson, C.M., Nickson, D., Hetrick, C. and Wilson-Clark, D., 2022. “Nothing about us without us”: Tending to emancipatory ideologies and transformative goals in participatory action research partnerships. </w:t>
      </w:r>
      <w:r w:rsidRPr="00E143F9">
        <w:rPr>
          <w:rFonts w:ascii="Times New Roman" w:hAnsi="Times New Roman" w:cs="Times New Roman"/>
          <w:i/>
          <w:iCs/>
          <w:color w:val="000000" w:themeColor="text1"/>
          <w:sz w:val="24"/>
          <w:szCs w:val="24"/>
          <w:shd w:val="clear" w:color="auto" w:fill="FFFFFF"/>
        </w:rPr>
        <w:t>Qualitative Research</w:t>
      </w:r>
      <w:r w:rsidRPr="00E143F9">
        <w:rPr>
          <w:rFonts w:ascii="Times New Roman" w:hAnsi="Times New Roman" w:cs="Times New Roman"/>
          <w:color w:val="000000" w:themeColor="text1"/>
          <w:sz w:val="24"/>
          <w:szCs w:val="24"/>
          <w:shd w:val="clear" w:color="auto" w:fill="FFFFFF"/>
        </w:rPr>
        <w:t>, p.14687941221087869.</w:t>
      </w:r>
    </w:p>
    <w:p w14:paraId="116B1DBD" w14:textId="77777777" w:rsidR="003109FA" w:rsidRPr="00E143F9" w:rsidRDefault="003109FA" w:rsidP="00AF366E">
      <w:pPr>
        <w:spacing w:line="360" w:lineRule="auto"/>
        <w:jc w:val="both"/>
        <w:rPr>
          <w:rFonts w:ascii="Times New Roman" w:hAnsi="Times New Roman" w:cs="Times New Roman"/>
          <w:color w:val="000000" w:themeColor="text1"/>
          <w:sz w:val="24"/>
          <w:szCs w:val="24"/>
        </w:rPr>
      </w:pPr>
    </w:p>
    <w:p w14:paraId="556087CB" w14:textId="77777777" w:rsidR="00AF366E" w:rsidRPr="00E143F9" w:rsidRDefault="00AF366E" w:rsidP="00AF366E">
      <w:pPr>
        <w:pStyle w:val="NormalWeb"/>
        <w:spacing w:line="360" w:lineRule="auto"/>
        <w:ind w:left="567" w:hanging="567"/>
        <w:jc w:val="both"/>
        <w:rPr>
          <w:color w:val="000000" w:themeColor="text1"/>
        </w:rPr>
      </w:pPr>
    </w:p>
    <w:p w14:paraId="7346500F" w14:textId="77777777" w:rsidR="001B1A3E" w:rsidRPr="00E143F9" w:rsidRDefault="001B1A3E" w:rsidP="00AF366E">
      <w:pPr>
        <w:pStyle w:val="NormalWeb"/>
        <w:spacing w:before="0" w:beforeAutospacing="0" w:after="0" w:afterAutospacing="0" w:line="360" w:lineRule="auto"/>
        <w:jc w:val="both"/>
        <w:rPr>
          <w:color w:val="000000" w:themeColor="text1"/>
        </w:rPr>
      </w:pPr>
    </w:p>
    <w:p w14:paraId="6B7A3D11" w14:textId="77777777" w:rsidR="001B1A3E" w:rsidRPr="00E143F9" w:rsidRDefault="001B1A3E" w:rsidP="00AF366E">
      <w:pPr>
        <w:pStyle w:val="NormalWeb"/>
        <w:spacing w:before="0" w:beforeAutospacing="0" w:after="0" w:afterAutospacing="0" w:line="360" w:lineRule="auto"/>
        <w:jc w:val="both"/>
        <w:rPr>
          <w:color w:val="000000" w:themeColor="text1"/>
        </w:rPr>
      </w:pPr>
    </w:p>
    <w:p w14:paraId="0B5D9DA0" w14:textId="77777777" w:rsidR="00C9095B" w:rsidRPr="00E143F9" w:rsidRDefault="00C9095B" w:rsidP="00AF366E">
      <w:pPr>
        <w:spacing w:line="360" w:lineRule="auto"/>
        <w:jc w:val="both"/>
        <w:rPr>
          <w:rFonts w:ascii="Times New Roman" w:hAnsi="Times New Roman" w:cs="Times New Roman"/>
          <w:color w:val="000000" w:themeColor="text1"/>
          <w:sz w:val="24"/>
          <w:szCs w:val="24"/>
        </w:rPr>
      </w:pPr>
    </w:p>
    <w:sectPr w:rsidR="00C9095B" w:rsidRPr="00E143F9" w:rsidSect="00053DF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B85"/>
    <w:rsid w:val="000243CA"/>
    <w:rsid w:val="00040010"/>
    <w:rsid w:val="00053DFA"/>
    <w:rsid w:val="00064A25"/>
    <w:rsid w:val="000F2C32"/>
    <w:rsid w:val="001B1A3E"/>
    <w:rsid w:val="00244771"/>
    <w:rsid w:val="003109FA"/>
    <w:rsid w:val="00407C2B"/>
    <w:rsid w:val="004552F4"/>
    <w:rsid w:val="0047190E"/>
    <w:rsid w:val="0049049F"/>
    <w:rsid w:val="004F110B"/>
    <w:rsid w:val="0052397E"/>
    <w:rsid w:val="005301C8"/>
    <w:rsid w:val="005739A0"/>
    <w:rsid w:val="00575694"/>
    <w:rsid w:val="005D5F5F"/>
    <w:rsid w:val="00611925"/>
    <w:rsid w:val="006667D4"/>
    <w:rsid w:val="006B4B85"/>
    <w:rsid w:val="007042EE"/>
    <w:rsid w:val="0082069B"/>
    <w:rsid w:val="00891EAF"/>
    <w:rsid w:val="0089215F"/>
    <w:rsid w:val="009446B8"/>
    <w:rsid w:val="009A58DF"/>
    <w:rsid w:val="009F64D8"/>
    <w:rsid w:val="00A05D06"/>
    <w:rsid w:val="00A1549C"/>
    <w:rsid w:val="00A50AAA"/>
    <w:rsid w:val="00AF366E"/>
    <w:rsid w:val="00B000B8"/>
    <w:rsid w:val="00B54F78"/>
    <w:rsid w:val="00BE68FC"/>
    <w:rsid w:val="00C22D2F"/>
    <w:rsid w:val="00C305FA"/>
    <w:rsid w:val="00C62352"/>
    <w:rsid w:val="00C84A99"/>
    <w:rsid w:val="00C9095B"/>
    <w:rsid w:val="00D31AB5"/>
    <w:rsid w:val="00D44910"/>
    <w:rsid w:val="00D6519B"/>
    <w:rsid w:val="00E143F9"/>
    <w:rsid w:val="00E80F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7387"/>
  <w15:docId w15:val="{E0419C9C-57B3-4397-B136-F3F9604AE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A3E"/>
  </w:style>
  <w:style w:type="paragraph" w:styleId="Heading1">
    <w:name w:val="heading 1"/>
    <w:basedOn w:val="Normal"/>
    <w:next w:val="Normal"/>
    <w:link w:val="Heading1Char"/>
    <w:uiPriority w:val="9"/>
    <w:qFormat/>
    <w:rsid w:val="00C84A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00B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1A3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C84A9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53DFA"/>
    <w:pPr>
      <w:outlineLvl w:val="9"/>
    </w:pPr>
    <w:rPr>
      <w:lang w:val="en-US" w:eastAsia="ja-JP"/>
    </w:rPr>
  </w:style>
  <w:style w:type="paragraph" w:styleId="TOC1">
    <w:name w:val="toc 1"/>
    <w:basedOn w:val="Normal"/>
    <w:next w:val="Normal"/>
    <w:autoRedefine/>
    <w:uiPriority w:val="39"/>
    <w:unhideWhenUsed/>
    <w:rsid w:val="00053DFA"/>
    <w:pPr>
      <w:spacing w:after="100"/>
    </w:pPr>
  </w:style>
  <w:style w:type="character" w:styleId="Hyperlink">
    <w:name w:val="Hyperlink"/>
    <w:basedOn w:val="DefaultParagraphFont"/>
    <w:uiPriority w:val="99"/>
    <w:unhideWhenUsed/>
    <w:rsid w:val="00053DFA"/>
    <w:rPr>
      <w:color w:val="0000FF" w:themeColor="hyperlink"/>
      <w:u w:val="single"/>
    </w:rPr>
  </w:style>
  <w:style w:type="paragraph" w:styleId="BalloonText">
    <w:name w:val="Balloon Text"/>
    <w:basedOn w:val="Normal"/>
    <w:link w:val="BalloonTextChar"/>
    <w:uiPriority w:val="99"/>
    <w:semiHidden/>
    <w:unhideWhenUsed/>
    <w:rsid w:val="00053D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DFA"/>
    <w:rPr>
      <w:rFonts w:ascii="Tahoma" w:hAnsi="Tahoma" w:cs="Tahoma"/>
      <w:sz w:val="16"/>
      <w:szCs w:val="16"/>
    </w:rPr>
  </w:style>
  <w:style w:type="character" w:styleId="Strong">
    <w:name w:val="Strong"/>
    <w:basedOn w:val="DefaultParagraphFont"/>
    <w:uiPriority w:val="22"/>
    <w:qFormat/>
    <w:rsid w:val="00244771"/>
    <w:rPr>
      <w:b/>
      <w:bCs/>
    </w:rPr>
  </w:style>
  <w:style w:type="character" w:customStyle="1" w:styleId="Heading2Char">
    <w:name w:val="Heading 2 Char"/>
    <w:basedOn w:val="DefaultParagraphFont"/>
    <w:link w:val="Heading2"/>
    <w:uiPriority w:val="9"/>
    <w:rsid w:val="00B000B8"/>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6667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577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659A6C-E0C7-48F9-83EA-031AC50E6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6749</Words>
  <Characters>38472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Sonanki</dc:creator>
  <cp:lastModifiedBy>Sai Durga Polasi</cp:lastModifiedBy>
  <cp:revision>2</cp:revision>
  <dcterms:created xsi:type="dcterms:W3CDTF">2023-05-02T11:02:00Z</dcterms:created>
  <dcterms:modified xsi:type="dcterms:W3CDTF">2023-05-02T11:02:00Z</dcterms:modified>
</cp:coreProperties>
</file>