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C9F4D" w14:textId="77777777" w:rsidR="00B518C9" w:rsidRDefault="00B518C9" w:rsidP="00B518C9">
      <w:pPr>
        <w:spacing w:line="480" w:lineRule="auto"/>
        <w:jc w:val="center"/>
        <w:rPr>
          <w:rFonts w:ascii="Times New Roman" w:hAnsi="Times New Roman" w:cs="Times New Roman"/>
          <w:sz w:val="34"/>
          <w:szCs w:val="34"/>
        </w:rPr>
      </w:pPr>
    </w:p>
    <w:p w14:paraId="0625023E" w14:textId="77777777" w:rsidR="00B518C9" w:rsidRDefault="00B518C9" w:rsidP="00B518C9">
      <w:pPr>
        <w:spacing w:line="480" w:lineRule="auto"/>
        <w:jc w:val="center"/>
        <w:rPr>
          <w:rFonts w:ascii="Times New Roman" w:hAnsi="Times New Roman" w:cs="Times New Roman"/>
          <w:sz w:val="34"/>
          <w:szCs w:val="34"/>
        </w:rPr>
      </w:pPr>
    </w:p>
    <w:p w14:paraId="58E7CDF0" w14:textId="77777777" w:rsidR="00B518C9" w:rsidRDefault="00B518C9" w:rsidP="00B518C9">
      <w:pPr>
        <w:spacing w:line="480" w:lineRule="auto"/>
        <w:jc w:val="center"/>
        <w:rPr>
          <w:rFonts w:ascii="Times New Roman" w:hAnsi="Times New Roman" w:cs="Times New Roman"/>
          <w:sz w:val="34"/>
          <w:szCs w:val="34"/>
        </w:rPr>
      </w:pPr>
    </w:p>
    <w:p w14:paraId="21397CE9" w14:textId="77777777" w:rsidR="00B518C9" w:rsidRDefault="00B518C9" w:rsidP="00B518C9">
      <w:pPr>
        <w:spacing w:line="480" w:lineRule="auto"/>
        <w:jc w:val="center"/>
        <w:rPr>
          <w:rFonts w:ascii="Times New Roman" w:hAnsi="Times New Roman" w:cs="Times New Roman"/>
          <w:sz w:val="34"/>
          <w:szCs w:val="34"/>
        </w:rPr>
      </w:pPr>
    </w:p>
    <w:p w14:paraId="151D6606" w14:textId="4FD45E7B" w:rsidR="00B518C9" w:rsidRPr="00B75631" w:rsidRDefault="00B518C9" w:rsidP="00B518C9">
      <w:pPr>
        <w:spacing w:line="480" w:lineRule="auto"/>
        <w:jc w:val="center"/>
        <w:rPr>
          <w:rFonts w:ascii="Times New Roman" w:hAnsi="Times New Roman" w:cs="Times New Roman"/>
          <w:sz w:val="34"/>
          <w:szCs w:val="34"/>
        </w:rPr>
      </w:pPr>
      <w:r w:rsidRPr="00B75631">
        <w:rPr>
          <w:rFonts w:ascii="Times New Roman" w:hAnsi="Times New Roman" w:cs="Times New Roman"/>
          <w:sz w:val="34"/>
          <w:szCs w:val="34"/>
        </w:rPr>
        <w:t>University</w:t>
      </w:r>
      <w:r>
        <w:rPr>
          <w:rFonts w:ascii="Times New Roman" w:hAnsi="Times New Roman" w:cs="Times New Roman"/>
          <w:sz w:val="34"/>
          <w:szCs w:val="34"/>
        </w:rPr>
        <w:t xml:space="preserve"> </w:t>
      </w:r>
      <w:r w:rsidRPr="00B75631">
        <w:rPr>
          <w:rFonts w:ascii="Times New Roman" w:hAnsi="Times New Roman" w:cs="Times New Roman"/>
          <w:sz w:val="34"/>
          <w:szCs w:val="34"/>
        </w:rPr>
        <w:t>of Wales Trinity St</w:t>
      </w:r>
      <w:r>
        <w:rPr>
          <w:rFonts w:ascii="Times New Roman" w:hAnsi="Times New Roman" w:cs="Times New Roman"/>
          <w:sz w:val="34"/>
          <w:szCs w:val="34"/>
        </w:rPr>
        <w:t>.</w:t>
      </w:r>
      <w:r w:rsidRPr="00B75631">
        <w:rPr>
          <w:rFonts w:ascii="Times New Roman" w:hAnsi="Times New Roman" w:cs="Times New Roman"/>
          <w:sz w:val="34"/>
          <w:szCs w:val="34"/>
        </w:rPr>
        <w:t xml:space="preserve"> David</w:t>
      </w:r>
    </w:p>
    <w:p w14:paraId="23DFB8BE" w14:textId="77777777" w:rsidR="00B518C9" w:rsidRPr="00BB1316" w:rsidRDefault="00B518C9" w:rsidP="00B518C9">
      <w:pPr>
        <w:spacing w:line="480" w:lineRule="auto"/>
        <w:jc w:val="center"/>
        <w:rPr>
          <w:rFonts w:ascii="Times New Roman" w:hAnsi="Times New Roman" w:cs="Times New Roman"/>
          <w:sz w:val="24"/>
          <w:szCs w:val="24"/>
        </w:rPr>
      </w:pPr>
    </w:p>
    <w:p w14:paraId="107BD00C" w14:textId="77777777" w:rsidR="00B518C9" w:rsidRPr="00B518C9" w:rsidRDefault="00B518C9" w:rsidP="00B518C9">
      <w:pPr>
        <w:spacing w:line="360" w:lineRule="auto"/>
        <w:contextualSpacing/>
        <w:jc w:val="center"/>
        <w:rPr>
          <w:rFonts w:ascii="Times New Roman" w:hAnsi="Times New Roman" w:cs="Times New Roman"/>
          <w:b/>
          <w:bCs/>
          <w:color w:val="000000"/>
          <w:sz w:val="56"/>
          <w:szCs w:val="56"/>
          <w:shd w:val="clear" w:color="auto" w:fill="FFFFFF"/>
        </w:rPr>
      </w:pPr>
      <w:r w:rsidRPr="00B518C9">
        <w:rPr>
          <w:rFonts w:ascii="Times New Roman" w:hAnsi="Times New Roman" w:cs="Times New Roman"/>
          <w:b/>
          <w:bCs/>
          <w:color w:val="000000"/>
          <w:sz w:val="56"/>
          <w:szCs w:val="56"/>
          <w:shd w:val="clear" w:color="auto" w:fill="FFFFFF"/>
        </w:rPr>
        <w:t>Strategic Analysis of Aston Martin Lagonda</w:t>
      </w:r>
    </w:p>
    <w:p w14:paraId="43F6301D" w14:textId="77777777" w:rsidR="00B518C9" w:rsidRDefault="00B518C9" w:rsidP="00B518C9">
      <w:pPr>
        <w:spacing w:line="360" w:lineRule="auto"/>
        <w:contextualSpacing/>
        <w:jc w:val="center"/>
        <w:rPr>
          <w:rFonts w:ascii="Times New Roman" w:hAnsi="Times New Roman" w:cs="Times New Roman"/>
          <w:b/>
          <w:sz w:val="24"/>
          <w:szCs w:val="24"/>
        </w:rPr>
      </w:pPr>
    </w:p>
    <w:p w14:paraId="09A5C38F" w14:textId="77777777" w:rsidR="00B518C9" w:rsidRDefault="00B518C9" w:rsidP="00B518C9">
      <w:pPr>
        <w:spacing w:line="360" w:lineRule="auto"/>
        <w:contextualSpacing/>
        <w:jc w:val="center"/>
        <w:rPr>
          <w:rFonts w:ascii="Times New Roman" w:hAnsi="Times New Roman" w:cs="Times New Roman"/>
          <w:b/>
          <w:sz w:val="24"/>
          <w:szCs w:val="24"/>
        </w:rPr>
      </w:pPr>
    </w:p>
    <w:p w14:paraId="56A096FC" w14:textId="77777777" w:rsidR="00B518C9" w:rsidRDefault="00B518C9" w:rsidP="00B518C9">
      <w:pPr>
        <w:spacing w:line="360" w:lineRule="auto"/>
        <w:contextualSpacing/>
        <w:jc w:val="center"/>
        <w:rPr>
          <w:rFonts w:ascii="Times New Roman" w:hAnsi="Times New Roman" w:cs="Times New Roman"/>
          <w:b/>
          <w:sz w:val="24"/>
          <w:szCs w:val="24"/>
        </w:rPr>
      </w:pPr>
    </w:p>
    <w:p w14:paraId="69CD2234" w14:textId="77777777" w:rsidR="00B518C9" w:rsidRDefault="00B518C9" w:rsidP="00B518C9">
      <w:pPr>
        <w:spacing w:line="360" w:lineRule="auto"/>
        <w:contextualSpacing/>
        <w:jc w:val="center"/>
        <w:rPr>
          <w:rFonts w:ascii="Times New Roman" w:hAnsi="Times New Roman" w:cs="Times New Roman"/>
          <w:b/>
          <w:sz w:val="24"/>
          <w:szCs w:val="24"/>
        </w:rPr>
      </w:pPr>
    </w:p>
    <w:p w14:paraId="7DA60ADD" w14:textId="77777777" w:rsidR="00B518C9" w:rsidRDefault="00B518C9" w:rsidP="00B518C9">
      <w:pPr>
        <w:spacing w:line="360" w:lineRule="auto"/>
        <w:contextualSpacing/>
        <w:jc w:val="center"/>
        <w:rPr>
          <w:rFonts w:ascii="Times New Roman" w:hAnsi="Times New Roman" w:cs="Times New Roman"/>
          <w:b/>
          <w:sz w:val="24"/>
          <w:szCs w:val="24"/>
        </w:rPr>
      </w:pPr>
    </w:p>
    <w:p w14:paraId="65FBC8A7" w14:textId="77777777" w:rsidR="00B518C9" w:rsidRPr="00BB1316" w:rsidRDefault="00B518C9" w:rsidP="00B518C9">
      <w:pPr>
        <w:spacing w:line="360" w:lineRule="auto"/>
        <w:contextualSpacing/>
        <w:jc w:val="center"/>
        <w:rPr>
          <w:rFonts w:ascii="Times New Roman" w:hAnsi="Times New Roman" w:cs="Times New Roman"/>
          <w:b/>
          <w:sz w:val="24"/>
          <w:szCs w:val="24"/>
        </w:rPr>
      </w:pPr>
    </w:p>
    <w:p w14:paraId="074D9EFD" w14:textId="77777777" w:rsidR="00B518C9" w:rsidRPr="00B75631" w:rsidRDefault="00B518C9" w:rsidP="00B518C9">
      <w:pPr>
        <w:spacing w:line="360" w:lineRule="auto"/>
        <w:contextualSpacing/>
        <w:jc w:val="center"/>
        <w:rPr>
          <w:rFonts w:ascii="Times New Roman" w:hAnsi="Times New Roman" w:cs="Times New Roman"/>
          <w:b/>
          <w:sz w:val="34"/>
          <w:szCs w:val="34"/>
        </w:rPr>
      </w:pPr>
      <w:r w:rsidRPr="00B75631">
        <w:rPr>
          <w:rFonts w:ascii="Times New Roman" w:hAnsi="Times New Roman" w:cs="Times New Roman"/>
          <w:sz w:val="34"/>
          <w:szCs w:val="34"/>
        </w:rPr>
        <w:t>Name: Hassan</w:t>
      </w:r>
      <w:r>
        <w:rPr>
          <w:rFonts w:ascii="Times New Roman" w:hAnsi="Times New Roman" w:cs="Times New Roman"/>
          <w:sz w:val="34"/>
          <w:szCs w:val="34"/>
        </w:rPr>
        <w:t xml:space="preserve"> </w:t>
      </w:r>
      <w:r w:rsidRPr="00B75631">
        <w:rPr>
          <w:rFonts w:ascii="Times New Roman" w:hAnsi="Times New Roman" w:cs="Times New Roman"/>
          <w:sz w:val="34"/>
          <w:szCs w:val="34"/>
        </w:rPr>
        <w:t>Abbas</w:t>
      </w:r>
    </w:p>
    <w:p w14:paraId="47D90E1A" w14:textId="77777777" w:rsidR="00B518C9" w:rsidRPr="00B75631" w:rsidRDefault="00B518C9" w:rsidP="00B518C9">
      <w:pPr>
        <w:spacing w:line="360" w:lineRule="auto"/>
        <w:contextualSpacing/>
        <w:jc w:val="center"/>
        <w:rPr>
          <w:rFonts w:ascii="Times New Roman" w:hAnsi="Times New Roman" w:cs="Times New Roman"/>
          <w:sz w:val="34"/>
          <w:szCs w:val="34"/>
        </w:rPr>
      </w:pPr>
      <w:r w:rsidRPr="00B75631">
        <w:rPr>
          <w:rFonts w:ascii="Times New Roman" w:hAnsi="Times New Roman" w:cs="Times New Roman"/>
          <w:sz w:val="34"/>
          <w:szCs w:val="34"/>
        </w:rPr>
        <w:t>Student Id: 201082</w:t>
      </w:r>
      <w:r>
        <w:rPr>
          <w:rFonts w:ascii="Times New Roman" w:hAnsi="Times New Roman" w:cs="Times New Roman"/>
          <w:sz w:val="34"/>
          <w:szCs w:val="34"/>
        </w:rPr>
        <w:t>9</w:t>
      </w:r>
    </w:p>
    <w:p w14:paraId="2EF66A90" w14:textId="1E6297BD" w:rsidR="00E145D1" w:rsidRDefault="00B518C9" w:rsidP="00B518C9">
      <w:pPr>
        <w:rPr>
          <w:rFonts w:ascii="Times New Roman" w:hAnsi="Times New Roman" w:cs="Times New Roman"/>
          <w:sz w:val="34"/>
          <w:szCs w:val="34"/>
        </w:rPr>
      </w:pPr>
      <w:r w:rsidRPr="00AD563A">
        <w:rPr>
          <w:rFonts w:ascii="Times New Roman" w:hAnsi="Times New Roman" w:cs="Times New Roman"/>
          <w:sz w:val="34"/>
          <w:szCs w:val="34"/>
        </w:rPr>
        <w:t xml:space="preserve">     </w:t>
      </w:r>
      <w:r>
        <w:rPr>
          <w:rFonts w:ascii="Times New Roman" w:hAnsi="Times New Roman" w:cs="Times New Roman"/>
          <w:sz w:val="34"/>
          <w:szCs w:val="34"/>
        </w:rPr>
        <w:tab/>
      </w:r>
      <w:r>
        <w:rPr>
          <w:rFonts w:ascii="Times New Roman" w:hAnsi="Times New Roman" w:cs="Times New Roman"/>
          <w:sz w:val="34"/>
          <w:szCs w:val="34"/>
        </w:rPr>
        <w:tab/>
      </w:r>
      <w:r>
        <w:rPr>
          <w:rFonts w:ascii="Times New Roman" w:hAnsi="Times New Roman" w:cs="Times New Roman"/>
          <w:sz w:val="34"/>
          <w:szCs w:val="34"/>
        </w:rPr>
        <w:tab/>
        <w:t xml:space="preserve">   Entrepreneurship</w:t>
      </w:r>
      <w:r w:rsidRPr="00AD563A">
        <w:rPr>
          <w:rFonts w:ascii="Times New Roman" w:hAnsi="Times New Roman" w:cs="Times New Roman"/>
          <w:sz w:val="34"/>
          <w:szCs w:val="34"/>
        </w:rPr>
        <w:t xml:space="preserve"> – LCBB</w:t>
      </w:r>
      <w:r>
        <w:rPr>
          <w:rFonts w:ascii="Times New Roman" w:hAnsi="Times New Roman" w:cs="Times New Roman"/>
          <w:sz w:val="34"/>
          <w:szCs w:val="34"/>
        </w:rPr>
        <w:t>6015</w:t>
      </w:r>
    </w:p>
    <w:p w14:paraId="62303A4D" w14:textId="6916DC72" w:rsidR="00E145D1" w:rsidRDefault="00E145D1" w:rsidP="00B518C9">
      <w:pPr>
        <w:rPr>
          <w:rFonts w:ascii="Times New Roman" w:hAnsi="Times New Roman" w:cs="Times New Roman"/>
          <w:sz w:val="34"/>
          <w:szCs w:val="34"/>
        </w:rPr>
      </w:pPr>
      <w:r>
        <w:rPr>
          <w:rFonts w:ascii="Times New Roman" w:hAnsi="Times New Roman" w:cs="Times New Roman"/>
          <w:sz w:val="34"/>
          <w:szCs w:val="34"/>
        </w:rPr>
        <w:tab/>
      </w:r>
      <w:r>
        <w:rPr>
          <w:rFonts w:ascii="Times New Roman" w:hAnsi="Times New Roman" w:cs="Times New Roman"/>
          <w:sz w:val="34"/>
          <w:szCs w:val="34"/>
        </w:rPr>
        <w:tab/>
      </w:r>
      <w:r>
        <w:rPr>
          <w:rFonts w:ascii="Times New Roman" w:hAnsi="Times New Roman" w:cs="Times New Roman"/>
          <w:sz w:val="34"/>
          <w:szCs w:val="34"/>
        </w:rPr>
        <w:tab/>
      </w:r>
      <w:r>
        <w:rPr>
          <w:rFonts w:ascii="Times New Roman" w:hAnsi="Times New Roman" w:cs="Times New Roman"/>
          <w:sz w:val="34"/>
          <w:szCs w:val="34"/>
        </w:rPr>
        <w:tab/>
        <w:t xml:space="preserve">Lecturer: </w:t>
      </w:r>
      <w:r w:rsidRPr="00E145D1">
        <w:rPr>
          <w:rFonts w:ascii="Times New Roman" w:hAnsi="Times New Roman" w:cs="Times New Roman"/>
          <w:sz w:val="34"/>
          <w:szCs w:val="34"/>
        </w:rPr>
        <w:t>Nerys Dosseh</w:t>
      </w:r>
    </w:p>
    <w:p w14:paraId="05EA72F9" w14:textId="77777777" w:rsidR="00B518C9" w:rsidRDefault="00B518C9" w:rsidP="00B518C9">
      <w:pPr>
        <w:rPr>
          <w:rFonts w:ascii="Times New Roman" w:hAnsi="Times New Roman" w:cs="Times New Roman"/>
          <w:sz w:val="34"/>
          <w:szCs w:val="34"/>
        </w:rPr>
      </w:pPr>
    </w:p>
    <w:p w14:paraId="0E497188" w14:textId="77777777" w:rsidR="00B518C9" w:rsidRDefault="00B518C9" w:rsidP="00B518C9">
      <w:pPr>
        <w:rPr>
          <w:rFonts w:ascii="Times New Roman" w:hAnsi="Times New Roman" w:cs="Times New Roman"/>
          <w:sz w:val="34"/>
          <w:szCs w:val="34"/>
        </w:rPr>
      </w:pPr>
    </w:p>
    <w:sdt>
      <w:sdtPr>
        <w:rPr>
          <w:rFonts w:ascii="Arial" w:eastAsia="Aptos" w:hAnsi="Arial" w:cs="Times New Roman"/>
          <w:kern w:val="2"/>
          <w:sz w:val="24"/>
          <w:szCs w:val="24"/>
          <w14:ligatures w14:val="standardContextual"/>
        </w:rPr>
        <w:id w:val="-1829128289"/>
        <w:docPartObj>
          <w:docPartGallery w:val="Table of Contents"/>
          <w:docPartUnique/>
        </w:docPartObj>
      </w:sdtPr>
      <w:sdtEndPr>
        <w:rPr>
          <w:b/>
          <w:bCs/>
          <w:noProof/>
        </w:rPr>
      </w:sdtEndPr>
      <w:sdtContent>
        <w:p w14:paraId="310A9988" w14:textId="77777777" w:rsidR="00B518C9" w:rsidRPr="000534CF" w:rsidRDefault="00B518C9" w:rsidP="00B518C9">
          <w:pPr>
            <w:keepNext/>
            <w:keepLines/>
            <w:spacing w:before="240" w:after="0"/>
            <w:rPr>
              <w:rFonts w:ascii="Aptos Display" w:eastAsia="Times New Roman" w:hAnsi="Aptos Display" w:cs="Times New Roman"/>
              <w:color w:val="0F4761"/>
              <w:sz w:val="32"/>
              <w:szCs w:val="32"/>
              <w:lang w:val="en-US"/>
            </w:rPr>
          </w:pPr>
          <w:r w:rsidRPr="000534CF">
            <w:rPr>
              <w:rFonts w:ascii="Aptos Display" w:eastAsia="Times New Roman" w:hAnsi="Aptos Display" w:cs="Times New Roman"/>
              <w:color w:val="0F4761"/>
              <w:sz w:val="32"/>
              <w:szCs w:val="32"/>
              <w:lang w:val="en-US"/>
            </w:rPr>
            <w:t>Table of Contents</w:t>
          </w:r>
        </w:p>
        <w:p w14:paraId="6EF094F6" w14:textId="17E8BEF6" w:rsidR="00FB40B0" w:rsidRDefault="00B518C9">
          <w:pPr>
            <w:pStyle w:val="TOC1"/>
            <w:tabs>
              <w:tab w:val="right" w:leader="dot" w:pos="9016"/>
            </w:tabs>
            <w:rPr>
              <w:rFonts w:eastAsiaTheme="minorEastAsia"/>
              <w:noProof/>
              <w:kern w:val="2"/>
              <w:sz w:val="24"/>
              <w:szCs w:val="24"/>
              <w:lang w:eastAsia="en-GB"/>
              <w14:ligatures w14:val="standardContextual"/>
            </w:rPr>
          </w:pPr>
          <w:r w:rsidRPr="000534CF">
            <w:rPr>
              <w:rFonts w:ascii="Arial" w:eastAsia="Aptos" w:hAnsi="Arial" w:cs="Times New Roman"/>
              <w:kern w:val="2"/>
              <w:sz w:val="24"/>
              <w:szCs w:val="24"/>
              <w14:ligatures w14:val="standardContextual"/>
            </w:rPr>
            <w:fldChar w:fldCharType="begin"/>
          </w:r>
          <w:r w:rsidRPr="000534CF">
            <w:rPr>
              <w:rFonts w:ascii="Arial" w:eastAsia="Aptos" w:hAnsi="Arial" w:cs="Times New Roman"/>
              <w:kern w:val="2"/>
              <w:sz w:val="24"/>
              <w:szCs w:val="24"/>
              <w14:ligatures w14:val="standardContextual"/>
            </w:rPr>
            <w:instrText xml:space="preserve"> TOC \o "1-3" \h \z \u </w:instrText>
          </w:r>
          <w:r w:rsidRPr="000534CF">
            <w:rPr>
              <w:rFonts w:ascii="Arial" w:eastAsia="Aptos" w:hAnsi="Arial" w:cs="Times New Roman"/>
              <w:kern w:val="2"/>
              <w:sz w:val="24"/>
              <w:szCs w:val="24"/>
              <w14:ligatures w14:val="standardContextual"/>
            </w:rPr>
            <w:fldChar w:fldCharType="separate"/>
          </w:r>
          <w:hyperlink w:anchor="_Toc236394905" w:history="1">
            <w:r w:rsidR="00FB40B0" w:rsidRPr="00401CC2">
              <w:rPr>
                <w:rStyle w:val="Hyperlink"/>
                <w:b/>
                <w:bCs/>
                <w:noProof/>
              </w:rPr>
              <w:t>Executive Summary</w:t>
            </w:r>
            <w:r w:rsidR="00FB40B0">
              <w:rPr>
                <w:noProof/>
                <w:webHidden/>
              </w:rPr>
              <w:tab/>
            </w:r>
            <w:r w:rsidR="00FB40B0">
              <w:rPr>
                <w:noProof/>
                <w:webHidden/>
              </w:rPr>
              <w:fldChar w:fldCharType="begin"/>
            </w:r>
            <w:r w:rsidR="00FB40B0">
              <w:rPr>
                <w:noProof/>
                <w:webHidden/>
              </w:rPr>
              <w:instrText xml:space="preserve"> PAGEREF _Toc236394905 \h </w:instrText>
            </w:r>
            <w:r w:rsidR="00FB40B0">
              <w:rPr>
                <w:noProof/>
                <w:webHidden/>
              </w:rPr>
            </w:r>
            <w:r w:rsidR="00FB40B0">
              <w:rPr>
                <w:noProof/>
                <w:webHidden/>
              </w:rPr>
              <w:fldChar w:fldCharType="separate"/>
            </w:r>
            <w:r w:rsidR="00FB40B0">
              <w:rPr>
                <w:noProof/>
                <w:webHidden/>
              </w:rPr>
              <w:t>3</w:t>
            </w:r>
            <w:r w:rsidR="00FB40B0">
              <w:rPr>
                <w:noProof/>
                <w:webHidden/>
              </w:rPr>
              <w:fldChar w:fldCharType="end"/>
            </w:r>
          </w:hyperlink>
        </w:p>
        <w:p w14:paraId="1E8F8819" w14:textId="336C4FD3" w:rsidR="00FB40B0" w:rsidRDefault="00FB40B0">
          <w:pPr>
            <w:pStyle w:val="TOC1"/>
            <w:tabs>
              <w:tab w:val="right" w:leader="dot" w:pos="9016"/>
            </w:tabs>
            <w:rPr>
              <w:rFonts w:eastAsiaTheme="minorEastAsia"/>
              <w:noProof/>
              <w:kern w:val="2"/>
              <w:sz w:val="24"/>
              <w:szCs w:val="24"/>
              <w:lang w:eastAsia="en-GB"/>
              <w14:ligatures w14:val="standardContextual"/>
            </w:rPr>
          </w:pPr>
          <w:hyperlink w:anchor="_Toc236394906" w:history="1">
            <w:r w:rsidRPr="00401CC2">
              <w:rPr>
                <w:rStyle w:val="Hyperlink"/>
                <w:b/>
                <w:bCs/>
                <w:noProof/>
              </w:rPr>
              <w:t>Introduction</w:t>
            </w:r>
            <w:r>
              <w:rPr>
                <w:noProof/>
                <w:webHidden/>
              </w:rPr>
              <w:tab/>
            </w:r>
            <w:r>
              <w:rPr>
                <w:noProof/>
                <w:webHidden/>
              </w:rPr>
              <w:fldChar w:fldCharType="begin"/>
            </w:r>
            <w:r>
              <w:rPr>
                <w:noProof/>
                <w:webHidden/>
              </w:rPr>
              <w:instrText xml:space="preserve"> PAGEREF _Toc236394906 \h </w:instrText>
            </w:r>
            <w:r>
              <w:rPr>
                <w:noProof/>
                <w:webHidden/>
              </w:rPr>
            </w:r>
            <w:r>
              <w:rPr>
                <w:noProof/>
                <w:webHidden/>
              </w:rPr>
              <w:fldChar w:fldCharType="separate"/>
            </w:r>
            <w:r>
              <w:rPr>
                <w:noProof/>
                <w:webHidden/>
              </w:rPr>
              <w:t>4</w:t>
            </w:r>
            <w:r>
              <w:rPr>
                <w:noProof/>
                <w:webHidden/>
              </w:rPr>
              <w:fldChar w:fldCharType="end"/>
            </w:r>
          </w:hyperlink>
        </w:p>
        <w:p w14:paraId="0364DBC3" w14:textId="57EADB2F" w:rsidR="00FB40B0" w:rsidRDefault="00FB40B0">
          <w:pPr>
            <w:pStyle w:val="TOC1"/>
            <w:tabs>
              <w:tab w:val="right" w:leader="dot" w:pos="9016"/>
            </w:tabs>
            <w:rPr>
              <w:rFonts w:eastAsiaTheme="minorEastAsia"/>
              <w:noProof/>
              <w:kern w:val="2"/>
              <w:sz w:val="24"/>
              <w:szCs w:val="24"/>
              <w:lang w:eastAsia="en-GB"/>
              <w14:ligatures w14:val="standardContextual"/>
            </w:rPr>
          </w:pPr>
          <w:hyperlink w:anchor="_Toc236394907" w:history="1">
            <w:r w:rsidRPr="00401CC2">
              <w:rPr>
                <w:rStyle w:val="Hyperlink"/>
                <w:b/>
                <w:bCs/>
                <w:noProof/>
              </w:rPr>
              <w:t>Strategy Analysis</w:t>
            </w:r>
            <w:r>
              <w:rPr>
                <w:noProof/>
                <w:webHidden/>
              </w:rPr>
              <w:tab/>
            </w:r>
            <w:r>
              <w:rPr>
                <w:noProof/>
                <w:webHidden/>
              </w:rPr>
              <w:fldChar w:fldCharType="begin"/>
            </w:r>
            <w:r>
              <w:rPr>
                <w:noProof/>
                <w:webHidden/>
              </w:rPr>
              <w:instrText xml:space="preserve"> PAGEREF _Toc236394907 \h </w:instrText>
            </w:r>
            <w:r>
              <w:rPr>
                <w:noProof/>
                <w:webHidden/>
              </w:rPr>
            </w:r>
            <w:r>
              <w:rPr>
                <w:noProof/>
                <w:webHidden/>
              </w:rPr>
              <w:fldChar w:fldCharType="separate"/>
            </w:r>
            <w:r>
              <w:rPr>
                <w:noProof/>
                <w:webHidden/>
              </w:rPr>
              <w:t>5</w:t>
            </w:r>
            <w:r>
              <w:rPr>
                <w:noProof/>
                <w:webHidden/>
              </w:rPr>
              <w:fldChar w:fldCharType="end"/>
            </w:r>
          </w:hyperlink>
        </w:p>
        <w:p w14:paraId="4F4F6F8D" w14:textId="3456D531" w:rsidR="00FB40B0" w:rsidRDefault="00FB40B0">
          <w:pPr>
            <w:pStyle w:val="TOC2"/>
            <w:tabs>
              <w:tab w:val="right" w:leader="dot" w:pos="9016"/>
            </w:tabs>
            <w:rPr>
              <w:rFonts w:eastAsiaTheme="minorEastAsia"/>
              <w:noProof/>
              <w:kern w:val="2"/>
              <w:sz w:val="24"/>
              <w:szCs w:val="24"/>
              <w:lang w:eastAsia="en-GB"/>
              <w14:ligatures w14:val="standardContextual"/>
            </w:rPr>
          </w:pPr>
          <w:hyperlink w:anchor="_Toc236394908" w:history="1">
            <w:r w:rsidRPr="00401CC2">
              <w:rPr>
                <w:rStyle w:val="Hyperlink"/>
                <w:b/>
                <w:bCs/>
                <w:i/>
                <w:iCs/>
                <w:noProof/>
              </w:rPr>
              <w:t>External Environment Audit</w:t>
            </w:r>
            <w:r>
              <w:rPr>
                <w:noProof/>
                <w:webHidden/>
              </w:rPr>
              <w:tab/>
            </w:r>
            <w:r>
              <w:rPr>
                <w:noProof/>
                <w:webHidden/>
              </w:rPr>
              <w:fldChar w:fldCharType="begin"/>
            </w:r>
            <w:r>
              <w:rPr>
                <w:noProof/>
                <w:webHidden/>
              </w:rPr>
              <w:instrText xml:space="preserve"> PAGEREF _Toc236394908 \h </w:instrText>
            </w:r>
            <w:r>
              <w:rPr>
                <w:noProof/>
                <w:webHidden/>
              </w:rPr>
            </w:r>
            <w:r>
              <w:rPr>
                <w:noProof/>
                <w:webHidden/>
              </w:rPr>
              <w:fldChar w:fldCharType="separate"/>
            </w:r>
            <w:r>
              <w:rPr>
                <w:noProof/>
                <w:webHidden/>
              </w:rPr>
              <w:t>5</w:t>
            </w:r>
            <w:r>
              <w:rPr>
                <w:noProof/>
                <w:webHidden/>
              </w:rPr>
              <w:fldChar w:fldCharType="end"/>
            </w:r>
          </w:hyperlink>
        </w:p>
        <w:p w14:paraId="35775867" w14:textId="0C976D21" w:rsidR="00FB40B0" w:rsidRDefault="00FB40B0">
          <w:pPr>
            <w:pStyle w:val="TOC2"/>
            <w:tabs>
              <w:tab w:val="right" w:leader="dot" w:pos="9016"/>
            </w:tabs>
            <w:rPr>
              <w:rFonts w:eastAsiaTheme="minorEastAsia"/>
              <w:noProof/>
              <w:kern w:val="2"/>
              <w:sz w:val="24"/>
              <w:szCs w:val="24"/>
              <w:lang w:eastAsia="en-GB"/>
              <w14:ligatures w14:val="standardContextual"/>
            </w:rPr>
          </w:pPr>
          <w:hyperlink w:anchor="_Toc236394909" w:history="1">
            <w:r w:rsidRPr="00401CC2">
              <w:rPr>
                <w:rStyle w:val="Hyperlink"/>
                <w:b/>
                <w:bCs/>
                <w:i/>
                <w:iCs/>
                <w:noProof/>
              </w:rPr>
              <w:t>Internal Environment Audit</w:t>
            </w:r>
            <w:r>
              <w:rPr>
                <w:noProof/>
                <w:webHidden/>
              </w:rPr>
              <w:tab/>
            </w:r>
            <w:r>
              <w:rPr>
                <w:noProof/>
                <w:webHidden/>
              </w:rPr>
              <w:fldChar w:fldCharType="begin"/>
            </w:r>
            <w:r>
              <w:rPr>
                <w:noProof/>
                <w:webHidden/>
              </w:rPr>
              <w:instrText xml:space="preserve"> PAGEREF _Toc236394909 \h </w:instrText>
            </w:r>
            <w:r>
              <w:rPr>
                <w:noProof/>
                <w:webHidden/>
              </w:rPr>
            </w:r>
            <w:r>
              <w:rPr>
                <w:noProof/>
                <w:webHidden/>
              </w:rPr>
              <w:fldChar w:fldCharType="separate"/>
            </w:r>
            <w:r>
              <w:rPr>
                <w:noProof/>
                <w:webHidden/>
              </w:rPr>
              <w:t>6</w:t>
            </w:r>
            <w:r>
              <w:rPr>
                <w:noProof/>
                <w:webHidden/>
              </w:rPr>
              <w:fldChar w:fldCharType="end"/>
            </w:r>
          </w:hyperlink>
        </w:p>
        <w:p w14:paraId="3E873BA3" w14:textId="0F40F0F6" w:rsidR="00FB40B0" w:rsidRDefault="00FB40B0">
          <w:pPr>
            <w:pStyle w:val="TOC2"/>
            <w:tabs>
              <w:tab w:val="right" w:leader="dot" w:pos="9016"/>
            </w:tabs>
            <w:rPr>
              <w:rFonts w:eastAsiaTheme="minorEastAsia"/>
              <w:noProof/>
              <w:kern w:val="2"/>
              <w:sz w:val="24"/>
              <w:szCs w:val="24"/>
              <w:lang w:eastAsia="en-GB"/>
              <w14:ligatures w14:val="standardContextual"/>
            </w:rPr>
          </w:pPr>
          <w:hyperlink w:anchor="_Toc236394910" w:history="1">
            <w:r w:rsidRPr="00401CC2">
              <w:rPr>
                <w:rStyle w:val="Hyperlink"/>
                <w:b/>
                <w:bCs/>
                <w:i/>
                <w:iCs/>
                <w:noProof/>
              </w:rPr>
              <w:t>SWOT Analysis</w:t>
            </w:r>
            <w:r>
              <w:rPr>
                <w:noProof/>
                <w:webHidden/>
              </w:rPr>
              <w:tab/>
            </w:r>
            <w:r>
              <w:rPr>
                <w:noProof/>
                <w:webHidden/>
              </w:rPr>
              <w:fldChar w:fldCharType="begin"/>
            </w:r>
            <w:r>
              <w:rPr>
                <w:noProof/>
                <w:webHidden/>
              </w:rPr>
              <w:instrText xml:space="preserve"> PAGEREF _Toc236394910 \h </w:instrText>
            </w:r>
            <w:r>
              <w:rPr>
                <w:noProof/>
                <w:webHidden/>
              </w:rPr>
            </w:r>
            <w:r>
              <w:rPr>
                <w:noProof/>
                <w:webHidden/>
              </w:rPr>
              <w:fldChar w:fldCharType="separate"/>
            </w:r>
            <w:r>
              <w:rPr>
                <w:noProof/>
                <w:webHidden/>
              </w:rPr>
              <w:t>7</w:t>
            </w:r>
            <w:r>
              <w:rPr>
                <w:noProof/>
                <w:webHidden/>
              </w:rPr>
              <w:fldChar w:fldCharType="end"/>
            </w:r>
          </w:hyperlink>
        </w:p>
        <w:p w14:paraId="6507BC59" w14:textId="53E752A0" w:rsidR="00FB40B0" w:rsidRDefault="00FB40B0">
          <w:pPr>
            <w:pStyle w:val="TOC1"/>
            <w:tabs>
              <w:tab w:val="right" w:leader="dot" w:pos="9016"/>
            </w:tabs>
            <w:rPr>
              <w:rFonts w:eastAsiaTheme="minorEastAsia"/>
              <w:noProof/>
              <w:kern w:val="2"/>
              <w:sz w:val="24"/>
              <w:szCs w:val="24"/>
              <w:lang w:eastAsia="en-GB"/>
              <w14:ligatures w14:val="standardContextual"/>
            </w:rPr>
          </w:pPr>
          <w:hyperlink w:anchor="_Toc236394911" w:history="1">
            <w:r w:rsidRPr="00401CC2">
              <w:rPr>
                <w:rStyle w:val="Hyperlink"/>
                <w:b/>
                <w:bCs/>
                <w:noProof/>
              </w:rPr>
              <w:t>Strategy Formulation</w:t>
            </w:r>
            <w:r>
              <w:rPr>
                <w:noProof/>
                <w:webHidden/>
              </w:rPr>
              <w:tab/>
            </w:r>
            <w:r>
              <w:rPr>
                <w:noProof/>
                <w:webHidden/>
              </w:rPr>
              <w:fldChar w:fldCharType="begin"/>
            </w:r>
            <w:r>
              <w:rPr>
                <w:noProof/>
                <w:webHidden/>
              </w:rPr>
              <w:instrText xml:space="preserve"> PAGEREF _Toc236394911 \h </w:instrText>
            </w:r>
            <w:r>
              <w:rPr>
                <w:noProof/>
                <w:webHidden/>
              </w:rPr>
            </w:r>
            <w:r>
              <w:rPr>
                <w:noProof/>
                <w:webHidden/>
              </w:rPr>
              <w:fldChar w:fldCharType="separate"/>
            </w:r>
            <w:r>
              <w:rPr>
                <w:noProof/>
                <w:webHidden/>
              </w:rPr>
              <w:t>9</w:t>
            </w:r>
            <w:r>
              <w:rPr>
                <w:noProof/>
                <w:webHidden/>
              </w:rPr>
              <w:fldChar w:fldCharType="end"/>
            </w:r>
          </w:hyperlink>
        </w:p>
        <w:p w14:paraId="74D17DE4" w14:textId="4691ECF1" w:rsidR="00FB40B0" w:rsidRDefault="00FB40B0">
          <w:pPr>
            <w:pStyle w:val="TOC1"/>
            <w:tabs>
              <w:tab w:val="right" w:leader="dot" w:pos="9016"/>
            </w:tabs>
            <w:rPr>
              <w:rFonts w:eastAsiaTheme="minorEastAsia"/>
              <w:noProof/>
              <w:kern w:val="2"/>
              <w:sz w:val="24"/>
              <w:szCs w:val="24"/>
              <w:lang w:eastAsia="en-GB"/>
              <w14:ligatures w14:val="standardContextual"/>
            </w:rPr>
          </w:pPr>
          <w:hyperlink w:anchor="_Toc236394912" w:history="1">
            <w:r w:rsidRPr="00401CC2">
              <w:rPr>
                <w:rStyle w:val="Hyperlink"/>
                <w:b/>
                <w:bCs/>
                <w:noProof/>
              </w:rPr>
              <w:t>Conclusions and Recommendations</w:t>
            </w:r>
            <w:r>
              <w:rPr>
                <w:noProof/>
                <w:webHidden/>
              </w:rPr>
              <w:tab/>
            </w:r>
            <w:r>
              <w:rPr>
                <w:noProof/>
                <w:webHidden/>
              </w:rPr>
              <w:fldChar w:fldCharType="begin"/>
            </w:r>
            <w:r>
              <w:rPr>
                <w:noProof/>
                <w:webHidden/>
              </w:rPr>
              <w:instrText xml:space="preserve"> PAGEREF _Toc236394912 \h </w:instrText>
            </w:r>
            <w:r>
              <w:rPr>
                <w:noProof/>
                <w:webHidden/>
              </w:rPr>
            </w:r>
            <w:r>
              <w:rPr>
                <w:noProof/>
                <w:webHidden/>
              </w:rPr>
              <w:fldChar w:fldCharType="separate"/>
            </w:r>
            <w:r>
              <w:rPr>
                <w:noProof/>
                <w:webHidden/>
              </w:rPr>
              <w:t>10</w:t>
            </w:r>
            <w:r>
              <w:rPr>
                <w:noProof/>
                <w:webHidden/>
              </w:rPr>
              <w:fldChar w:fldCharType="end"/>
            </w:r>
          </w:hyperlink>
        </w:p>
        <w:p w14:paraId="23D792AF" w14:textId="7B2C74AA" w:rsidR="00FB40B0" w:rsidRDefault="00FB40B0">
          <w:pPr>
            <w:pStyle w:val="TOC1"/>
            <w:tabs>
              <w:tab w:val="right" w:leader="dot" w:pos="9016"/>
            </w:tabs>
            <w:rPr>
              <w:rFonts w:eastAsiaTheme="minorEastAsia"/>
              <w:noProof/>
              <w:kern w:val="2"/>
              <w:sz w:val="24"/>
              <w:szCs w:val="24"/>
              <w:lang w:eastAsia="en-GB"/>
              <w14:ligatures w14:val="standardContextual"/>
            </w:rPr>
          </w:pPr>
          <w:hyperlink w:anchor="_Toc236394913" w:history="1">
            <w:r w:rsidRPr="00401CC2">
              <w:rPr>
                <w:rStyle w:val="Hyperlink"/>
                <w:b/>
                <w:bCs/>
                <w:noProof/>
              </w:rPr>
              <w:t>References</w:t>
            </w:r>
            <w:r>
              <w:rPr>
                <w:noProof/>
                <w:webHidden/>
              </w:rPr>
              <w:tab/>
            </w:r>
            <w:r>
              <w:rPr>
                <w:noProof/>
                <w:webHidden/>
              </w:rPr>
              <w:fldChar w:fldCharType="begin"/>
            </w:r>
            <w:r>
              <w:rPr>
                <w:noProof/>
                <w:webHidden/>
              </w:rPr>
              <w:instrText xml:space="preserve"> PAGEREF _Toc236394913 \h </w:instrText>
            </w:r>
            <w:r>
              <w:rPr>
                <w:noProof/>
                <w:webHidden/>
              </w:rPr>
            </w:r>
            <w:r>
              <w:rPr>
                <w:noProof/>
                <w:webHidden/>
              </w:rPr>
              <w:fldChar w:fldCharType="separate"/>
            </w:r>
            <w:r>
              <w:rPr>
                <w:noProof/>
                <w:webHidden/>
              </w:rPr>
              <w:t>11</w:t>
            </w:r>
            <w:r>
              <w:rPr>
                <w:noProof/>
                <w:webHidden/>
              </w:rPr>
              <w:fldChar w:fldCharType="end"/>
            </w:r>
          </w:hyperlink>
        </w:p>
        <w:p w14:paraId="4C40AB16" w14:textId="20230AFC" w:rsidR="00B518C9" w:rsidRDefault="00B518C9" w:rsidP="00B518C9">
          <w:pPr>
            <w:spacing w:after="360" w:line="360" w:lineRule="auto"/>
            <w:rPr>
              <w:rFonts w:ascii="Arial" w:eastAsia="Aptos" w:hAnsi="Arial" w:cs="Times New Roman"/>
              <w:b/>
              <w:bCs/>
              <w:noProof/>
              <w:kern w:val="2"/>
              <w:sz w:val="24"/>
              <w:szCs w:val="24"/>
              <w14:ligatures w14:val="standardContextual"/>
            </w:rPr>
          </w:pPr>
          <w:r w:rsidRPr="000534CF">
            <w:rPr>
              <w:rFonts w:ascii="Arial" w:eastAsia="Aptos" w:hAnsi="Arial" w:cs="Times New Roman"/>
              <w:b/>
              <w:bCs/>
              <w:noProof/>
              <w:kern w:val="2"/>
              <w:sz w:val="24"/>
              <w:szCs w:val="24"/>
              <w14:ligatures w14:val="standardContextual"/>
            </w:rPr>
            <w:fldChar w:fldCharType="end"/>
          </w:r>
        </w:p>
      </w:sdtContent>
    </w:sdt>
    <w:p w14:paraId="67F04DBA" w14:textId="77777777" w:rsidR="00B518C9" w:rsidRDefault="00B518C9" w:rsidP="00B518C9"/>
    <w:p w14:paraId="08E2C9B7" w14:textId="77777777" w:rsidR="00B518C9" w:rsidRDefault="00B518C9" w:rsidP="00B518C9"/>
    <w:p w14:paraId="7F612F98" w14:textId="77777777" w:rsidR="00B518C9" w:rsidRDefault="00B518C9" w:rsidP="00B518C9"/>
    <w:p w14:paraId="4E6BCA50" w14:textId="77777777" w:rsidR="00B518C9" w:rsidRDefault="00B518C9" w:rsidP="00B518C9"/>
    <w:p w14:paraId="183D2EB7" w14:textId="77777777" w:rsidR="00B518C9" w:rsidRDefault="00B518C9" w:rsidP="00B518C9"/>
    <w:p w14:paraId="7E35D92D" w14:textId="77777777" w:rsidR="00B518C9" w:rsidRDefault="00B518C9" w:rsidP="00B518C9"/>
    <w:p w14:paraId="72D9841D" w14:textId="77777777" w:rsidR="00B518C9" w:rsidRDefault="00B518C9" w:rsidP="00B518C9"/>
    <w:p w14:paraId="1DAE349D" w14:textId="77777777" w:rsidR="00B518C9" w:rsidRDefault="00B518C9" w:rsidP="00B518C9"/>
    <w:p w14:paraId="3F252A0D" w14:textId="77777777" w:rsidR="00B518C9" w:rsidRDefault="00B518C9" w:rsidP="00B518C9"/>
    <w:p w14:paraId="0FCB0559" w14:textId="77777777" w:rsidR="00B518C9" w:rsidRDefault="00B518C9" w:rsidP="00B518C9"/>
    <w:p w14:paraId="7A98EBE3" w14:textId="77777777" w:rsidR="00B518C9" w:rsidRDefault="00B518C9" w:rsidP="00B518C9"/>
    <w:p w14:paraId="579E6B62" w14:textId="77777777" w:rsidR="00B518C9" w:rsidRDefault="00B518C9" w:rsidP="00B518C9"/>
    <w:p w14:paraId="738A7B9F" w14:textId="77777777" w:rsidR="00B518C9" w:rsidRDefault="00B518C9" w:rsidP="00B518C9"/>
    <w:p w14:paraId="22B5679E" w14:textId="77777777" w:rsidR="00B518C9" w:rsidRDefault="00B518C9" w:rsidP="00B518C9"/>
    <w:p w14:paraId="2454DEC2" w14:textId="77777777" w:rsidR="00B518C9" w:rsidRDefault="00B518C9" w:rsidP="00B518C9"/>
    <w:p w14:paraId="66F28174" w14:textId="77777777" w:rsidR="00B518C9" w:rsidRDefault="00B518C9" w:rsidP="00B518C9"/>
    <w:p w14:paraId="005D3C33" w14:textId="77777777" w:rsidR="00B518C9" w:rsidRDefault="00B518C9" w:rsidP="00B518C9"/>
    <w:p w14:paraId="13DB2A13" w14:textId="77777777" w:rsidR="00B518C9" w:rsidRDefault="00B518C9" w:rsidP="00B518C9"/>
    <w:p w14:paraId="59E9E18F" w14:textId="77777777" w:rsidR="00B518C9" w:rsidRDefault="00B518C9" w:rsidP="00B518C9"/>
    <w:p w14:paraId="7C7F1E2B" w14:textId="77777777" w:rsidR="00B518C9" w:rsidRDefault="00B518C9" w:rsidP="00B518C9"/>
    <w:p w14:paraId="2073135B" w14:textId="77777777" w:rsidR="00B518C9" w:rsidRPr="00E145D1" w:rsidRDefault="00B518C9" w:rsidP="00E145D1">
      <w:pPr>
        <w:pStyle w:val="Heading1"/>
        <w:rPr>
          <w:b/>
          <w:bCs/>
          <w:color w:val="auto"/>
        </w:rPr>
      </w:pPr>
      <w:bookmarkStart w:id="0" w:name="_Toc236394905"/>
      <w:r w:rsidRPr="00E145D1">
        <w:rPr>
          <w:b/>
          <w:bCs/>
          <w:color w:val="auto"/>
        </w:rPr>
        <w:lastRenderedPageBreak/>
        <w:t>Executive Summary</w:t>
      </w:r>
      <w:bookmarkEnd w:id="0"/>
    </w:p>
    <w:p w14:paraId="79BA5150"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Aston Martin Lagonda, an iconic British luxury automotive manufacturer, faces a critical strategic inflection point characterised by deepening financial losses, substantial debt burdens, geopolitical headwinds, and the complex transition toward vehicle electrification. This report provides a comprehensive strategic analysis of the company, examining macro-environmental and industry forces, internal capabilities, and strategic alternatives. The findings reveal that while Aston Martin possesses formidable intangible assets—heritage brand, design capabilities, and Formula One association—these are undermined by chronic profitability challenges, a leveraged balance sheet with net debt reaching £1.38 billion, and operational diseconomies of scale (Aston Martin Lagonda, 2025). The strategic formulation proposes a dual-pathway approach: short-term "Financial Stabilisation" prioritising cost rationalisation and average selling price optimisation, complemented by long-term "Controlled Electrification" focused on selective partnerships and platform modularity.</w:t>
      </w:r>
    </w:p>
    <w:p w14:paraId="7BCE604C" w14:textId="4C20E71B" w:rsidR="00B518C9" w:rsidRDefault="00B518C9" w:rsidP="00B518C9">
      <w:pPr>
        <w:jc w:val="both"/>
        <w:rPr>
          <w:rFonts w:ascii="Arial" w:hAnsi="Arial" w:cs="Arial"/>
          <w:sz w:val="24"/>
          <w:szCs w:val="24"/>
        </w:rPr>
      </w:pPr>
    </w:p>
    <w:p w14:paraId="5B0EE8D4" w14:textId="77777777" w:rsidR="00ED2D94" w:rsidRDefault="00ED2D94" w:rsidP="00B518C9">
      <w:pPr>
        <w:jc w:val="both"/>
        <w:rPr>
          <w:rFonts w:ascii="Arial" w:hAnsi="Arial" w:cs="Arial"/>
          <w:sz w:val="24"/>
          <w:szCs w:val="24"/>
        </w:rPr>
      </w:pPr>
    </w:p>
    <w:p w14:paraId="35BE6419" w14:textId="77777777" w:rsidR="00ED2D94" w:rsidRDefault="00ED2D94" w:rsidP="00B518C9">
      <w:pPr>
        <w:jc w:val="both"/>
        <w:rPr>
          <w:rFonts w:ascii="Arial" w:hAnsi="Arial" w:cs="Arial"/>
          <w:sz w:val="24"/>
          <w:szCs w:val="24"/>
        </w:rPr>
      </w:pPr>
    </w:p>
    <w:p w14:paraId="42352CA5" w14:textId="77777777" w:rsidR="00ED2D94" w:rsidRDefault="00ED2D94" w:rsidP="00B518C9">
      <w:pPr>
        <w:jc w:val="both"/>
        <w:rPr>
          <w:rFonts w:ascii="Arial" w:hAnsi="Arial" w:cs="Arial"/>
          <w:sz w:val="24"/>
          <w:szCs w:val="24"/>
        </w:rPr>
      </w:pPr>
    </w:p>
    <w:p w14:paraId="1A8BB81A" w14:textId="77777777" w:rsidR="00ED2D94" w:rsidRDefault="00ED2D94" w:rsidP="00B518C9">
      <w:pPr>
        <w:jc w:val="both"/>
        <w:rPr>
          <w:rFonts w:ascii="Arial" w:hAnsi="Arial" w:cs="Arial"/>
          <w:sz w:val="24"/>
          <w:szCs w:val="24"/>
        </w:rPr>
      </w:pPr>
    </w:p>
    <w:p w14:paraId="2E9D7089" w14:textId="77777777" w:rsidR="00ED2D94" w:rsidRDefault="00ED2D94" w:rsidP="00B518C9">
      <w:pPr>
        <w:jc w:val="both"/>
        <w:rPr>
          <w:rFonts w:ascii="Arial" w:hAnsi="Arial" w:cs="Arial"/>
          <w:sz w:val="24"/>
          <w:szCs w:val="24"/>
        </w:rPr>
      </w:pPr>
    </w:p>
    <w:p w14:paraId="4DE0B766" w14:textId="77777777" w:rsidR="00ED2D94" w:rsidRDefault="00ED2D94" w:rsidP="00B518C9">
      <w:pPr>
        <w:jc w:val="both"/>
        <w:rPr>
          <w:rFonts w:ascii="Arial" w:hAnsi="Arial" w:cs="Arial"/>
          <w:sz w:val="24"/>
          <w:szCs w:val="24"/>
        </w:rPr>
      </w:pPr>
    </w:p>
    <w:p w14:paraId="36D02DEF" w14:textId="77777777" w:rsidR="00ED2D94" w:rsidRDefault="00ED2D94" w:rsidP="00B518C9">
      <w:pPr>
        <w:jc w:val="both"/>
        <w:rPr>
          <w:rFonts w:ascii="Arial" w:hAnsi="Arial" w:cs="Arial"/>
          <w:sz w:val="24"/>
          <w:szCs w:val="24"/>
        </w:rPr>
      </w:pPr>
    </w:p>
    <w:p w14:paraId="010D35D5" w14:textId="77777777" w:rsidR="00ED2D94" w:rsidRDefault="00ED2D94" w:rsidP="00B518C9">
      <w:pPr>
        <w:jc w:val="both"/>
        <w:rPr>
          <w:rFonts w:ascii="Arial" w:hAnsi="Arial" w:cs="Arial"/>
          <w:sz w:val="24"/>
          <w:szCs w:val="24"/>
        </w:rPr>
      </w:pPr>
    </w:p>
    <w:p w14:paraId="38EC1F82" w14:textId="77777777" w:rsidR="00ED2D94" w:rsidRDefault="00ED2D94" w:rsidP="00B518C9">
      <w:pPr>
        <w:jc w:val="both"/>
        <w:rPr>
          <w:rFonts w:ascii="Arial" w:hAnsi="Arial" w:cs="Arial"/>
          <w:sz w:val="24"/>
          <w:szCs w:val="24"/>
        </w:rPr>
      </w:pPr>
    </w:p>
    <w:p w14:paraId="65FEA981" w14:textId="77777777" w:rsidR="00ED2D94" w:rsidRDefault="00ED2D94" w:rsidP="00B518C9">
      <w:pPr>
        <w:jc w:val="both"/>
        <w:rPr>
          <w:rFonts w:ascii="Arial" w:hAnsi="Arial" w:cs="Arial"/>
          <w:sz w:val="24"/>
          <w:szCs w:val="24"/>
        </w:rPr>
      </w:pPr>
    </w:p>
    <w:p w14:paraId="6D35DD1C" w14:textId="77777777" w:rsidR="00ED2D94" w:rsidRDefault="00ED2D94" w:rsidP="00B518C9">
      <w:pPr>
        <w:jc w:val="both"/>
        <w:rPr>
          <w:rFonts w:ascii="Arial" w:hAnsi="Arial" w:cs="Arial"/>
          <w:sz w:val="24"/>
          <w:szCs w:val="24"/>
        </w:rPr>
      </w:pPr>
    </w:p>
    <w:p w14:paraId="61D87F0A" w14:textId="77777777" w:rsidR="00ED2D94" w:rsidRDefault="00ED2D94" w:rsidP="00B518C9">
      <w:pPr>
        <w:jc w:val="both"/>
        <w:rPr>
          <w:rFonts w:ascii="Arial" w:hAnsi="Arial" w:cs="Arial"/>
          <w:sz w:val="24"/>
          <w:szCs w:val="24"/>
        </w:rPr>
      </w:pPr>
    </w:p>
    <w:p w14:paraId="79F6A360" w14:textId="77777777" w:rsidR="00ED2D94" w:rsidRDefault="00ED2D94" w:rsidP="00B518C9">
      <w:pPr>
        <w:jc w:val="both"/>
        <w:rPr>
          <w:rFonts w:ascii="Arial" w:hAnsi="Arial" w:cs="Arial"/>
          <w:sz w:val="24"/>
          <w:szCs w:val="24"/>
        </w:rPr>
      </w:pPr>
    </w:p>
    <w:p w14:paraId="7B4A1C14" w14:textId="77777777" w:rsidR="00ED2D94" w:rsidRDefault="00ED2D94" w:rsidP="00B518C9">
      <w:pPr>
        <w:jc w:val="both"/>
        <w:rPr>
          <w:rFonts w:ascii="Arial" w:hAnsi="Arial" w:cs="Arial"/>
          <w:sz w:val="24"/>
          <w:szCs w:val="24"/>
        </w:rPr>
      </w:pPr>
    </w:p>
    <w:p w14:paraId="395678E3" w14:textId="77777777" w:rsidR="00ED2D94" w:rsidRDefault="00ED2D94" w:rsidP="00B518C9">
      <w:pPr>
        <w:jc w:val="both"/>
        <w:rPr>
          <w:rFonts w:ascii="Arial" w:hAnsi="Arial" w:cs="Arial"/>
          <w:sz w:val="24"/>
          <w:szCs w:val="24"/>
        </w:rPr>
      </w:pPr>
    </w:p>
    <w:p w14:paraId="544FF758" w14:textId="77777777" w:rsidR="00ED2D94" w:rsidRDefault="00ED2D94" w:rsidP="00B518C9">
      <w:pPr>
        <w:jc w:val="both"/>
        <w:rPr>
          <w:rFonts w:ascii="Arial" w:hAnsi="Arial" w:cs="Arial"/>
          <w:sz w:val="24"/>
          <w:szCs w:val="24"/>
        </w:rPr>
      </w:pPr>
    </w:p>
    <w:p w14:paraId="54E778B5" w14:textId="77777777" w:rsidR="00ED2D94" w:rsidRDefault="00ED2D94" w:rsidP="00B518C9">
      <w:pPr>
        <w:jc w:val="both"/>
        <w:rPr>
          <w:rFonts w:ascii="Arial" w:hAnsi="Arial" w:cs="Arial"/>
          <w:sz w:val="24"/>
          <w:szCs w:val="24"/>
        </w:rPr>
      </w:pPr>
    </w:p>
    <w:p w14:paraId="7FBA45F2" w14:textId="77777777" w:rsidR="00ED2D94" w:rsidRDefault="00ED2D94" w:rsidP="00B518C9">
      <w:pPr>
        <w:jc w:val="both"/>
        <w:rPr>
          <w:rFonts w:ascii="Arial" w:hAnsi="Arial" w:cs="Arial"/>
          <w:sz w:val="24"/>
          <w:szCs w:val="24"/>
        </w:rPr>
      </w:pPr>
    </w:p>
    <w:p w14:paraId="121E35A8" w14:textId="77777777" w:rsidR="00ED2D94" w:rsidRDefault="00ED2D94" w:rsidP="00B518C9">
      <w:pPr>
        <w:jc w:val="both"/>
        <w:rPr>
          <w:rFonts w:ascii="Arial" w:hAnsi="Arial" w:cs="Arial"/>
          <w:sz w:val="24"/>
          <w:szCs w:val="24"/>
        </w:rPr>
      </w:pPr>
    </w:p>
    <w:p w14:paraId="375135BA" w14:textId="43308829" w:rsidR="00B518C9" w:rsidRPr="00E145D1" w:rsidRDefault="00B518C9" w:rsidP="00E145D1">
      <w:pPr>
        <w:pStyle w:val="Heading1"/>
        <w:rPr>
          <w:b/>
          <w:bCs/>
          <w:color w:val="auto"/>
        </w:rPr>
      </w:pPr>
      <w:bookmarkStart w:id="1" w:name="_Toc236394906"/>
      <w:r w:rsidRPr="00E145D1">
        <w:rPr>
          <w:b/>
          <w:bCs/>
          <w:color w:val="auto"/>
        </w:rPr>
        <w:lastRenderedPageBreak/>
        <w:t>Introduction</w:t>
      </w:r>
      <w:bookmarkEnd w:id="1"/>
    </w:p>
    <w:p w14:paraId="4186EC9F" w14:textId="5347F552" w:rsidR="00B518C9" w:rsidRPr="00ED2D94" w:rsidRDefault="00B518C9" w:rsidP="00ED2D94">
      <w:pPr>
        <w:pStyle w:val="ListParagraph"/>
        <w:numPr>
          <w:ilvl w:val="0"/>
          <w:numId w:val="2"/>
        </w:numPr>
        <w:jc w:val="both"/>
        <w:rPr>
          <w:rFonts w:ascii="Arial" w:hAnsi="Arial" w:cs="Arial"/>
          <w:b/>
          <w:bCs/>
          <w:sz w:val="24"/>
          <w:szCs w:val="24"/>
        </w:rPr>
      </w:pPr>
      <w:r w:rsidRPr="00ED2D94">
        <w:rPr>
          <w:rFonts w:ascii="Arial" w:hAnsi="Arial" w:cs="Arial"/>
          <w:b/>
          <w:bCs/>
          <w:sz w:val="24"/>
          <w:szCs w:val="24"/>
        </w:rPr>
        <w:t>The Relevance of Strategic Management</w:t>
      </w:r>
    </w:p>
    <w:p w14:paraId="7030779C"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Strategic management provides the essential analytical framework for organisations navigating dynamic environments (Grant, 2019). For companies within the UK automotive sector, facing technological disruption, regulatory transformation, and geopolitical volatility, strategic management is a prerequisite for survival. The Society of Motor Manufacturers and Traders (SMMT) highlights that the UK's high-value, small-volume manufacturers, including Aston Martin, generated turnover exceeding £5.5 billion in 2024, with approximately nine in ten vehicles shipped overseas (SMMT, 2025). These manufacturers employ over 15,000 people in high-skilled positions, making strategic decision-making critical for both corporate and national economic interests.</w:t>
      </w:r>
    </w:p>
    <w:p w14:paraId="0E699270" w14:textId="0AF76B73" w:rsidR="00B518C9" w:rsidRPr="00ED2D94" w:rsidRDefault="00B518C9" w:rsidP="00ED2D94">
      <w:pPr>
        <w:pStyle w:val="ListParagraph"/>
        <w:numPr>
          <w:ilvl w:val="0"/>
          <w:numId w:val="2"/>
        </w:numPr>
        <w:jc w:val="both"/>
        <w:rPr>
          <w:rFonts w:ascii="Arial" w:hAnsi="Arial" w:cs="Arial"/>
          <w:b/>
          <w:bCs/>
          <w:sz w:val="24"/>
          <w:szCs w:val="24"/>
        </w:rPr>
      </w:pPr>
      <w:r w:rsidRPr="00ED2D94">
        <w:rPr>
          <w:rFonts w:ascii="Arial" w:hAnsi="Arial" w:cs="Arial"/>
          <w:b/>
          <w:bCs/>
          <w:sz w:val="24"/>
          <w:szCs w:val="24"/>
        </w:rPr>
        <w:t>Company Overview and Background</w:t>
      </w:r>
    </w:p>
    <w:p w14:paraId="0323826C"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Aston Martin Lagonda Global Holdings plc, founded in 1913, is an iconic British manufacturer of luxury sports cars and grand tourers headquartered in Gaydon, Warwickshire (Aston Martin Lagonda, 2024). The company's portfolio encompasses front-engine GT cars including the DB12 and Vantage, the DBX707 SUV produced at St Athan, Wales, and halo hypercars including the Valkyrie and Valhalla. Following a 2020 rescue led by Executive Chairman Lawrence Stroll and the appointment of CEO Adrian Hallmark in 2024, the company is undertaking strategic transformation to address its legacy of financial instability. The global dealership network spans over 160 locations across 53 countries.</w:t>
      </w:r>
    </w:p>
    <w:p w14:paraId="044F1166" w14:textId="476A68E1" w:rsidR="00B518C9" w:rsidRPr="00ED2D94" w:rsidRDefault="00B518C9" w:rsidP="00ED2D94">
      <w:pPr>
        <w:pStyle w:val="ListParagraph"/>
        <w:numPr>
          <w:ilvl w:val="0"/>
          <w:numId w:val="2"/>
        </w:numPr>
        <w:jc w:val="both"/>
        <w:rPr>
          <w:rFonts w:ascii="Arial" w:hAnsi="Arial" w:cs="Arial"/>
          <w:b/>
          <w:bCs/>
          <w:sz w:val="24"/>
          <w:szCs w:val="24"/>
        </w:rPr>
      </w:pPr>
      <w:r w:rsidRPr="00ED2D94">
        <w:rPr>
          <w:rFonts w:ascii="Arial" w:hAnsi="Arial" w:cs="Arial"/>
          <w:b/>
          <w:bCs/>
          <w:sz w:val="24"/>
          <w:szCs w:val="24"/>
        </w:rPr>
        <w:t>Vision, Mission, and Objectives</w:t>
      </w:r>
    </w:p>
    <w:p w14:paraId="685B3751"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 xml:space="preserve">Aston Martin's vision is to be "the world's most desirable, ultra-luxury British brand" (Aston Martin Lagonda, 2024). The mission fuses "the latest technology, time-honoured craftsmanship and beautiful styling" with sustainability through its "Racing. Green." strategy (Aston Martin Lagonda, 2024). </w:t>
      </w:r>
      <w:proofErr w:type="spellStart"/>
      <w:r w:rsidRPr="00B518C9">
        <w:rPr>
          <w:rFonts w:ascii="Arial" w:hAnsi="Arial" w:cs="Arial"/>
          <w:sz w:val="24"/>
          <w:szCs w:val="24"/>
        </w:rPr>
        <w:t>Essamri</w:t>
      </w:r>
      <w:proofErr w:type="spellEnd"/>
      <w:r w:rsidRPr="00B518C9">
        <w:rPr>
          <w:rFonts w:ascii="Arial" w:hAnsi="Arial" w:cs="Arial"/>
          <w:sz w:val="24"/>
          <w:szCs w:val="24"/>
        </w:rPr>
        <w:t xml:space="preserve"> (2019) notes that Aston Martin possesses a unique duality: an exclusive luxury brand accessible only to the wealthiest 1%, yet a "lovemark" with a vast fan base of approximately 6.5 million followers. Under Hallmark, key objectives include achieving sustainable profitability at approximately 6,000 units annually, reducing net debt, increasing average selling prices, and delivering the Valhalla plug-in hybrid hypercar as a profitability catalyst.</w:t>
      </w:r>
    </w:p>
    <w:p w14:paraId="0E661747" w14:textId="41AAB61C" w:rsidR="00B518C9" w:rsidRDefault="00B518C9" w:rsidP="00B518C9">
      <w:pPr>
        <w:jc w:val="both"/>
        <w:rPr>
          <w:rFonts w:ascii="Arial" w:hAnsi="Arial" w:cs="Arial"/>
          <w:sz w:val="24"/>
          <w:szCs w:val="24"/>
        </w:rPr>
      </w:pPr>
    </w:p>
    <w:p w14:paraId="58F1EC52" w14:textId="77777777" w:rsidR="00E145D1" w:rsidRDefault="00E145D1" w:rsidP="00B518C9">
      <w:pPr>
        <w:jc w:val="both"/>
        <w:rPr>
          <w:rFonts w:ascii="Arial" w:hAnsi="Arial" w:cs="Arial"/>
          <w:sz w:val="24"/>
          <w:szCs w:val="24"/>
        </w:rPr>
      </w:pPr>
    </w:p>
    <w:p w14:paraId="3724ECF1" w14:textId="77777777" w:rsidR="00E145D1" w:rsidRDefault="00E145D1" w:rsidP="00B518C9">
      <w:pPr>
        <w:jc w:val="both"/>
        <w:rPr>
          <w:rFonts w:ascii="Arial" w:hAnsi="Arial" w:cs="Arial"/>
          <w:sz w:val="24"/>
          <w:szCs w:val="24"/>
        </w:rPr>
      </w:pPr>
    </w:p>
    <w:p w14:paraId="24C6924B" w14:textId="77777777" w:rsidR="00E145D1" w:rsidRPr="00B518C9" w:rsidRDefault="00E145D1" w:rsidP="00B518C9">
      <w:pPr>
        <w:jc w:val="both"/>
        <w:rPr>
          <w:rFonts w:ascii="Arial" w:hAnsi="Arial" w:cs="Arial"/>
          <w:sz w:val="24"/>
          <w:szCs w:val="24"/>
        </w:rPr>
      </w:pPr>
    </w:p>
    <w:p w14:paraId="7D97C8D2" w14:textId="57833B3A" w:rsidR="00B518C9" w:rsidRPr="00E145D1" w:rsidRDefault="00B518C9" w:rsidP="00E145D1">
      <w:pPr>
        <w:pStyle w:val="Heading1"/>
        <w:rPr>
          <w:b/>
          <w:bCs/>
          <w:color w:val="auto"/>
        </w:rPr>
      </w:pPr>
      <w:bookmarkStart w:id="2" w:name="_Toc236394907"/>
      <w:r w:rsidRPr="00E145D1">
        <w:rPr>
          <w:b/>
          <w:bCs/>
          <w:color w:val="auto"/>
        </w:rPr>
        <w:lastRenderedPageBreak/>
        <w:t>Strategy Analysis</w:t>
      </w:r>
      <w:bookmarkEnd w:id="2"/>
    </w:p>
    <w:p w14:paraId="43000BD0" w14:textId="19AC205C" w:rsidR="00B518C9" w:rsidRPr="00E145D1" w:rsidRDefault="00B518C9" w:rsidP="00E145D1">
      <w:pPr>
        <w:pStyle w:val="Heading2"/>
        <w:jc w:val="center"/>
        <w:rPr>
          <w:b/>
          <w:bCs/>
          <w:i/>
          <w:iCs/>
          <w:color w:val="auto"/>
          <w:sz w:val="28"/>
          <w:szCs w:val="28"/>
          <w:u w:val="single"/>
        </w:rPr>
      </w:pPr>
      <w:bookmarkStart w:id="3" w:name="_Toc236394908"/>
      <w:r w:rsidRPr="00E145D1">
        <w:rPr>
          <w:b/>
          <w:bCs/>
          <w:i/>
          <w:iCs/>
          <w:color w:val="auto"/>
          <w:sz w:val="28"/>
          <w:szCs w:val="28"/>
          <w:u w:val="single"/>
        </w:rPr>
        <w:t>External Environment Audit</w:t>
      </w:r>
      <w:bookmarkEnd w:id="3"/>
    </w:p>
    <w:p w14:paraId="73D1F736" w14:textId="6EF269D7" w:rsidR="00B518C9" w:rsidRPr="00ED2D94" w:rsidRDefault="00B518C9" w:rsidP="00ED2D94">
      <w:pPr>
        <w:pStyle w:val="ListParagraph"/>
        <w:numPr>
          <w:ilvl w:val="0"/>
          <w:numId w:val="5"/>
        </w:numPr>
        <w:jc w:val="both"/>
        <w:rPr>
          <w:rFonts w:ascii="Arial" w:hAnsi="Arial" w:cs="Arial"/>
          <w:b/>
          <w:bCs/>
          <w:sz w:val="24"/>
          <w:szCs w:val="24"/>
        </w:rPr>
      </w:pPr>
      <w:r w:rsidRPr="00ED2D94">
        <w:rPr>
          <w:rFonts w:ascii="Arial" w:hAnsi="Arial" w:cs="Arial"/>
          <w:b/>
          <w:bCs/>
          <w:sz w:val="24"/>
          <w:szCs w:val="24"/>
        </w:rPr>
        <w:t>PESTLE Analysis</w:t>
      </w:r>
    </w:p>
    <w:p w14:paraId="5905CBDA"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Political Factors:</w:t>
      </w:r>
      <w:r w:rsidRPr="00B518C9">
        <w:rPr>
          <w:rFonts w:ascii="Arial" w:hAnsi="Arial" w:cs="Arial"/>
          <w:sz w:val="24"/>
          <w:szCs w:val="24"/>
        </w:rPr>
        <w:t xml:space="preserve"> The UK automotive sector faces significant political uncertainty. The International Organization of Motor Vehicle Manufacturers (OICA) confirms the global automotive industry is navigating a far more complex environment characterised by geopolitical tensions, diverging policy approaches, and trade frictions (OICA, 2026). The SMMT warns that luxury UK car makers face "multiple geopolitical headwinds" threatening competitiveness (SMMT, 2025). Post-Brexit Rules of Origin regulations, effective January 2027, mandate electric vehicles exported between the UK and EU contain at least 55% </w:t>
      </w:r>
      <w:proofErr w:type="gramStart"/>
      <w:r w:rsidRPr="00B518C9">
        <w:rPr>
          <w:rFonts w:ascii="Arial" w:hAnsi="Arial" w:cs="Arial"/>
          <w:sz w:val="24"/>
          <w:szCs w:val="24"/>
        </w:rPr>
        <w:t>locally-sourced</w:t>
      </w:r>
      <w:proofErr w:type="gramEnd"/>
      <w:r w:rsidRPr="00B518C9">
        <w:rPr>
          <w:rFonts w:ascii="Arial" w:hAnsi="Arial" w:cs="Arial"/>
          <w:sz w:val="24"/>
          <w:szCs w:val="24"/>
        </w:rPr>
        <w:t xml:space="preserve"> components, with non-compliant vehicles facing 10% tariffs. The SMMT estimates 70% of vehicles will not comply, representing £1.4 billion in potential tariffs. Additionally, Aston Martin remains exposed to US tariff volatility, with CEO Hallmark explicitly attributing recent losses to heightened tariffs in the U.S. and China (Aston Martin Lagonda, 2025; Xinhua, 2026).</w:t>
      </w:r>
    </w:p>
    <w:p w14:paraId="4E6A4023"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Economic Factors:</w:t>
      </w:r>
      <w:r w:rsidRPr="00B518C9">
        <w:rPr>
          <w:rFonts w:ascii="Arial" w:hAnsi="Arial" w:cs="Arial"/>
          <w:sz w:val="24"/>
          <w:szCs w:val="24"/>
        </w:rPr>
        <w:t> The macroeconomic environment presents mixed signals. OICA data shows global vehicle production rose from 92.7 million units in 2024 to 96.4 million in 2025, but growth is concentrating in Asia while Europe stagnates (OICA, 2026). European production slipped 0.8% to 17.2 million vehicles. Fitch Ratings downgraded Aston Martin's rating to 'CCC+' from 'B-' in November 2025 due to deteriorating liquidity (Fitch Ratings, 2025). Free cash flow remained significantly negative with a forecast shortfall of approximately £400 million for 2025, expected to remain negative until 2028. Net debt reached £1.38 billion at end-2025, with total liquidity of £250 million (Aston Martin Lagonda, 2025).</w:t>
      </w:r>
    </w:p>
    <w:p w14:paraId="5D2B65AA"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Social Factors:</w:t>
      </w:r>
      <w:r w:rsidRPr="00B518C9">
        <w:rPr>
          <w:rFonts w:ascii="Arial" w:hAnsi="Arial" w:cs="Arial"/>
          <w:sz w:val="24"/>
          <w:szCs w:val="24"/>
        </w:rPr>
        <w:t> Consumer preferences are evolving, with younger affluent demographics increasingly valuing sustainability credentials. However, Lawrence Stroll has been critical of the 2035 petrol and diesel car ban, describing it as "premature" and based on "hype" rather than consumer demand (Daily Express, 2024). He stated: "We've just felt a real lack of consumer demand... Politically, you cannot drive consumer demand. Consumer demand will be what consumer demand is" (Daily Express, 2024).</w:t>
      </w:r>
    </w:p>
    <w:p w14:paraId="64E81AA0"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Technological Factors:</w:t>
      </w:r>
      <w:r w:rsidRPr="00B518C9">
        <w:rPr>
          <w:rFonts w:ascii="Arial" w:hAnsi="Arial" w:cs="Arial"/>
          <w:sz w:val="24"/>
          <w:szCs w:val="24"/>
        </w:rPr>
        <w:t> The industry faces significant technological transformation encompassing electrification, autonomous driving, and digital connectivity (Harper, 2015). OICA Secretary General François Roudier emphasised that the most important question is "where competitiveness is shifting" (OICA, 2026). Aston Martin's strategic decision to delay BEV development until market demand crystallises reflects deliberate caution. Stroll confirmed: "As long as we're allowed legally to keep making them, we will keep making them" (Daily Express, 2024).</w:t>
      </w:r>
    </w:p>
    <w:p w14:paraId="37524D3C"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Legal Factors:</w:t>
      </w:r>
      <w:r w:rsidRPr="00B518C9">
        <w:rPr>
          <w:rFonts w:ascii="Arial" w:hAnsi="Arial" w:cs="Arial"/>
          <w:sz w:val="24"/>
          <w:szCs w:val="24"/>
        </w:rPr>
        <w:t xml:space="preserve"> The UK's Zero Emission Vehicle Mandate requires manufacturers to ensure a specified proportion of new car sales are fully electric, with non-compliance fines up to £15,000 per vehicle. SMMT chief executive Mike Hawes calls for supportive </w:t>
      </w:r>
      <w:r w:rsidRPr="00B518C9">
        <w:rPr>
          <w:rFonts w:ascii="Arial" w:hAnsi="Arial" w:cs="Arial"/>
          <w:sz w:val="24"/>
          <w:szCs w:val="24"/>
        </w:rPr>
        <w:lastRenderedPageBreak/>
        <w:t>global regulatory frameworks to enable the sector to "not just survive but thrive" (SMMT, 2025).</w:t>
      </w:r>
    </w:p>
    <w:p w14:paraId="6B69B9DB"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Environmental Factors:</w:t>
      </w:r>
      <w:r w:rsidRPr="00B518C9">
        <w:rPr>
          <w:rFonts w:ascii="Arial" w:hAnsi="Arial" w:cs="Arial"/>
          <w:sz w:val="24"/>
          <w:szCs w:val="24"/>
        </w:rPr>
        <w:t> Sustainability has emerged as a defining industry force. OICA confirms the sector continues investing heavily in clean technologies but must navigate a more fragmented global environment (OICA, 2026). Aston Martin's "Racing. Green." strategy commits to a blended drivetrain approach between 2025 and 2030. However, the company faces competitive disadvantage relative to luxury rivals benefiting from larger group economies.</w:t>
      </w:r>
    </w:p>
    <w:p w14:paraId="520BF633" w14:textId="7B1B0ADE" w:rsidR="00B518C9" w:rsidRPr="00ED2D94" w:rsidRDefault="00B518C9" w:rsidP="00ED2D94">
      <w:pPr>
        <w:pStyle w:val="ListParagraph"/>
        <w:numPr>
          <w:ilvl w:val="0"/>
          <w:numId w:val="5"/>
        </w:numPr>
        <w:jc w:val="both"/>
        <w:rPr>
          <w:rFonts w:ascii="Arial" w:hAnsi="Arial" w:cs="Arial"/>
          <w:b/>
          <w:bCs/>
          <w:sz w:val="24"/>
          <w:szCs w:val="24"/>
        </w:rPr>
      </w:pPr>
      <w:r w:rsidRPr="00ED2D94">
        <w:rPr>
          <w:rFonts w:ascii="Arial" w:hAnsi="Arial" w:cs="Arial"/>
          <w:b/>
          <w:bCs/>
          <w:sz w:val="24"/>
          <w:szCs w:val="24"/>
        </w:rPr>
        <w:t>Porter's Five Forces Analysis</w:t>
      </w:r>
    </w:p>
    <w:p w14:paraId="2FF0F53E"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Threat of New Entrants: Moderate.</w:t>
      </w:r>
      <w:r w:rsidRPr="00B518C9">
        <w:rPr>
          <w:rFonts w:ascii="Arial" w:hAnsi="Arial" w:cs="Arial"/>
          <w:sz w:val="24"/>
          <w:szCs w:val="24"/>
        </w:rPr>
        <w:t> The ultra-luxury segment presents substantial barriers including significant capital requirements, established brand equity, and regulatory compliance (Grant, 2019). However, Chinese manufacturers, including Geely which holds a 17% stake in Aston Martin, are increasingly competing in the premium segment. OICA notes that "the real question is where competitiveness is shifting" (OICA, 2026), with Asia consolidating dominance.</w:t>
      </w:r>
    </w:p>
    <w:p w14:paraId="49FD28E2"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Bargaining Power of Suppliers: High.</w:t>
      </w:r>
      <w:r w:rsidRPr="00B518C9">
        <w:rPr>
          <w:rFonts w:ascii="Arial" w:hAnsi="Arial" w:cs="Arial"/>
          <w:sz w:val="24"/>
          <w:szCs w:val="24"/>
        </w:rPr>
        <w:t> Aston Martin's low-volume production undermines purchasing power. The company is heavily dependent on Mercedes-AMG for V8 engines. Increased in-house component production aims to mitigate this exposure but requires capital investment.</w:t>
      </w:r>
    </w:p>
    <w:p w14:paraId="10164C62"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Bargaining Power of Buyers: Moderate.</w:t>
      </w:r>
      <w:r w:rsidRPr="00B518C9">
        <w:rPr>
          <w:rFonts w:ascii="Arial" w:hAnsi="Arial" w:cs="Arial"/>
          <w:sz w:val="24"/>
          <w:szCs w:val="24"/>
        </w:rPr>
        <w:t xml:space="preserve"> Customers are high-net-worth individuals with considerable spending power. </w:t>
      </w:r>
      <w:proofErr w:type="spellStart"/>
      <w:r w:rsidRPr="00B518C9">
        <w:rPr>
          <w:rFonts w:ascii="Arial" w:hAnsi="Arial" w:cs="Arial"/>
          <w:sz w:val="24"/>
          <w:szCs w:val="24"/>
        </w:rPr>
        <w:t>Essamri</w:t>
      </w:r>
      <w:proofErr w:type="spellEnd"/>
      <w:r w:rsidRPr="00B518C9">
        <w:rPr>
          <w:rFonts w:ascii="Arial" w:hAnsi="Arial" w:cs="Arial"/>
          <w:sz w:val="24"/>
          <w:szCs w:val="24"/>
        </w:rPr>
        <w:t xml:space="preserve"> (2019) notes they serve as brand ambassadors, feeling part of the Aston Martin family. Growing order backlog for DB12 and Vantage models demonstrates restored demand leverage.</w:t>
      </w:r>
    </w:p>
    <w:p w14:paraId="427CFCC1"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Threat of Substitutes: High.</w:t>
      </w:r>
      <w:r w:rsidRPr="00B518C9">
        <w:rPr>
          <w:rFonts w:ascii="Arial" w:hAnsi="Arial" w:cs="Arial"/>
          <w:sz w:val="24"/>
          <w:szCs w:val="24"/>
        </w:rPr>
        <w:t> The sector faces direct substitution across competitors and indirect substitution from other luxury experiences. The global transition toward sustainable mobility creates existential substitution risk. OICA notes manufacturers face persistent uncertainty over diverging approaches to electrification (OICA, 2026).</w:t>
      </w:r>
    </w:p>
    <w:p w14:paraId="4FF957F2"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Intensity of Rivalry: High.</w:t>
      </w:r>
      <w:r w:rsidRPr="00B518C9">
        <w:rPr>
          <w:rFonts w:ascii="Arial" w:hAnsi="Arial" w:cs="Arial"/>
          <w:sz w:val="24"/>
          <w:szCs w:val="24"/>
        </w:rPr>
        <w:t> Competition is exceptionally fierce. Ferrari dominates with industry-leading margins. Porsche, Bentley, and Lamborghini benefit from Volkswagen Group economies. Aston Martin operates independently with higher cost structures and limited scale. SMMT chief executive noted Britain's luxury vehicle makers face "multiple geopolitical headwinds" threatening competitiveness (SMMT, 2025).</w:t>
      </w:r>
    </w:p>
    <w:p w14:paraId="2BAFC4F8" w14:textId="38D17F84" w:rsidR="00B518C9" w:rsidRPr="00E145D1" w:rsidRDefault="00B518C9" w:rsidP="00E145D1">
      <w:pPr>
        <w:pStyle w:val="Heading2"/>
        <w:jc w:val="center"/>
        <w:rPr>
          <w:b/>
          <w:bCs/>
          <w:i/>
          <w:iCs/>
          <w:color w:val="auto"/>
          <w:sz w:val="28"/>
          <w:szCs w:val="28"/>
          <w:u w:val="single"/>
        </w:rPr>
      </w:pPr>
      <w:bookmarkStart w:id="4" w:name="_Toc236394909"/>
      <w:r w:rsidRPr="00E145D1">
        <w:rPr>
          <w:b/>
          <w:bCs/>
          <w:i/>
          <w:iCs/>
          <w:color w:val="auto"/>
          <w:sz w:val="28"/>
          <w:szCs w:val="28"/>
          <w:u w:val="single"/>
        </w:rPr>
        <w:t>Internal Environment Audit</w:t>
      </w:r>
      <w:bookmarkEnd w:id="4"/>
    </w:p>
    <w:p w14:paraId="112420B5" w14:textId="79485DEA" w:rsidR="00B518C9" w:rsidRPr="00ED2D94" w:rsidRDefault="00B518C9" w:rsidP="00ED2D94">
      <w:pPr>
        <w:pStyle w:val="ListParagraph"/>
        <w:numPr>
          <w:ilvl w:val="0"/>
          <w:numId w:val="6"/>
        </w:numPr>
        <w:jc w:val="both"/>
        <w:rPr>
          <w:rFonts w:ascii="Arial" w:hAnsi="Arial" w:cs="Arial"/>
          <w:b/>
          <w:bCs/>
          <w:sz w:val="24"/>
          <w:szCs w:val="24"/>
        </w:rPr>
      </w:pPr>
      <w:r w:rsidRPr="00ED2D94">
        <w:rPr>
          <w:rFonts w:ascii="Arial" w:hAnsi="Arial" w:cs="Arial"/>
          <w:b/>
          <w:bCs/>
          <w:sz w:val="24"/>
          <w:szCs w:val="24"/>
        </w:rPr>
        <w:t>Value Chain Analysis</w:t>
      </w:r>
    </w:p>
    <w:p w14:paraId="32078597"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Inbound Logistics:</w:t>
      </w:r>
      <w:r w:rsidRPr="00B518C9">
        <w:rPr>
          <w:rFonts w:ascii="Arial" w:hAnsi="Arial" w:cs="Arial"/>
          <w:sz w:val="24"/>
          <w:szCs w:val="24"/>
        </w:rPr>
        <w:t> The company sources components globally, with Mercedes-AMG providing approximately one-third of components. Harper (2015) notes Aston Martin faced a recall of 17,600 vehicles due to a fault with a Chinese-produced plastic part, representing 75% of vehicles made since 2007.</w:t>
      </w:r>
    </w:p>
    <w:p w14:paraId="659CB06B"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lastRenderedPageBreak/>
        <w:t>Operations:</w:t>
      </w:r>
      <w:r w:rsidRPr="00B518C9">
        <w:rPr>
          <w:rFonts w:ascii="Arial" w:hAnsi="Arial" w:cs="Arial"/>
          <w:sz w:val="24"/>
          <w:szCs w:val="24"/>
        </w:rPr>
        <w:t> Manufacturing is divided between Gaydon and St Athan. Total wholesale volumes decreased 10% to 5,448 in 2025, limiting economies of scale (Aston Martin Lagonda, 2025).</w:t>
      </w:r>
    </w:p>
    <w:p w14:paraId="4728EC69"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Outbound Logistics:</w:t>
      </w:r>
      <w:r w:rsidRPr="00B518C9">
        <w:rPr>
          <w:rFonts w:ascii="Arial" w:hAnsi="Arial" w:cs="Arial"/>
          <w:sz w:val="24"/>
          <w:szCs w:val="24"/>
        </w:rPr>
        <w:t> The global dealership network operates across 53 countries, with the US a critical market. Tariff exposure has created sales forecasting uncertainty.</w:t>
      </w:r>
    </w:p>
    <w:p w14:paraId="0802556F"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Marketing and Sales:</w:t>
      </w:r>
      <w:r w:rsidRPr="00B518C9">
        <w:rPr>
          <w:rFonts w:ascii="Arial" w:hAnsi="Arial" w:cs="Arial"/>
          <w:sz w:val="24"/>
          <w:szCs w:val="24"/>
        </w:rPr>
        <w:t xml:space="preserve"> Aston Martin's brand equity constitutes its primary asset. </w:t>
      </w:r>
      <w:proofErr w:type="spellStart"/>
      <w:r w:rsidRPr="00B518C9">
        <w:rPr>
          <w:rFonts w:ascii="Arial" w:hAnsi="Arial" w:cs="Arial"/>
          <w:sz w:val="24"/>
          <w:szCs w:val="24"/>
        </w:rPr>
        <w:t>Essamri</w:t>
      </w:r>
      <w:proofErr w:type="spellEnd"/>
      <w:r w:rsidRPr="00B518C9">
        <w:rPr>
          <w:rFonts w:ascii="Arial" w:hAnsi="Arial" w:cs="Arial"/>
          <w:sz w:val="24"/>
          <w:szCs w:val="24"/>
        </w:rPr>
        <w:t xml:space="preserve"> (2019) notes the company has 6.5 million followers. Core average selling price increased 5% to £185,000 in 2025 (Aston Martin Lagonda, 2025).</w:t>
      </w:r>
    </w:p>
    <w:p w14:paraId="5C943C45"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Service:</w:t>
      </w:r>
      <w:r w:rsidRPr="00B518C9">
        <w:rPr>
          <w:rFonts w:ascii="Arial" w:hAnsi="Arial" w:cs="Arial"/>
          <w:sz w:val="24"/>
          <w:szCs w:val="24"/>
        </w:rPr>
        <w:t> The aftersales business remains underdeveloped relative to peers, representing a margin improvement opportunity.</w:t>
      </w:r>
    </w:p>
    <w:p w14:paraId="3DD8FEB4" w14:textId="014C7B5E" w:rsidR="00B518C9" w:rsidRPr="00ED2D94" w:rsidRDefault="00B518C9" w:rsidP="00ED2D94">
      <w:pPr>
        <w:pStyle w:val="ListParagraph"/>
        <w:numPr>
          <w:ilvl w:val="0"/>
          <w:numId w:val="6"/>
        </w:numPr>
        <w:jc w:val="both"/>
        <w:rPr>
          <w:rFonts w:ascii="Arial" w:hAnsi="Arial" w:cs="Arial"/>
          <w:b/>
          <w:bCs/>
          <w:sz w:val="24"/>
          <w:szCs w:val="24"/>
        </w:rPr>
      </w:pPr>
      <w:r w:rsidRPr="00ED2D94">
        <w:rPr>
          <w:rFonts w:ascii="Arial" w:hAnsi="Arial" w:cs="Arial"/>
          <w:b/>
          <w:bCs/>
          <w:sz w:val="24"/>
          <w:szCs w:val="24"/>
        </w:rPr>
        <w:t>Resource-Based View and VRIO Analysis</w:t>
      </w:r>
    </w:p>
    <w:p w14:paraId="48B01ED9"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Brand Heritage and Reputation:</w:t>
      </w:r>
      <w:r w:rsidRPr="00B518C9">
        <w:rPr>
          <w:rFonts w:ascii="Arial" w:hAnsi="Arial" w:cs="Arial"/>
          <w:sz w:val="24"/>
          <w:szCs w:val="24"/>
        </w:rPr>
        <w:t xml:space="preserve"> Valuable, rare, costly to imitate, and well-organised. Aston Martin's 113-year heritage is genuinely inimitable. </w:t>
      </w:r>
      <w:proofErr w:type="spellStart"/>
      <w:r w:rsidRPr="00B518C9">
        <w:rPr>
          <w:rFonts w:ascii="Arial" w:hAnsi="Arial" w:cs="Arial"/>
          <w:sz w:val="24"/>
          <w:szCs w:val="24"/>
        </w:rPr>
        <w:t>Essamri</w:t>
      </w:r>
      <w:proofErr w:type="spellEnd"/>
      <w:r w:rsidRPr="00B518C9">
        <w:rPr>
          <w:rFonts w:ascii="Arial" w:hAnsi="Arial" w:cs="Arial"/>
          <w:sz w:val="24"/>
          <w:szCs w:val="24"/>
        </w:rPr>
        <w:t xml:space="preserve"> (2019) notes the brand commands respect, with employees feeling pride working for Aston Martin despite lower pay. This represents a sustained competitive advantage.</w:t>
      </w:r>
    </w:p>
    <w:p w14:paraId="279C5468"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Formula One Association:</w:t>
      </w:r>
      <w:r w:rsidRPr="00B518C9">
        <w:rPr>
          <w:rFonts w:ascii="Arial" w:hAnsi="Arial" w:cs="Arial"/>
          <w:sz w:val="24"/>
          <w:szCs w:val="24"/>
        </w:rPr>
        <w:t> Provides valuable visibility and technological credibility. Costly to imitate given substantial investment required. Creates sustained competitive advantage.</w:t>
      </w:r>
    </w:p>
    <w:p w14:paraId="335EF100"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Design and Craftsmanship Capabilities:</w:t>
      </w:r>
      <w:r w:rsidRPr="00B518C9">
        <w:rPr>
          <w:rFonts w:ascii="Arial" w:hAnsi="Arial" w:cs="Arial"/>
          <w:sz w:val="24"/>
          <w:szCs w:val="24"/>
        </w:rPr>
        <w:t> </w:t>
      </w:r>
      <w:proofErr w:type="spellStart"/>
      <w:r w:rsidRPr="00B518C9">
        <w:rPr>
          <w:rFonts w:ascii="Arial" w:hAnsi="Arial" w:cs="Arial"/>
          <w:sz w:val="24"/>
          <w:szCs w:val="24"/>
        </w:rPr>
        <w:t>Essamri</w:t>
      </w:r>
      <w:proofErr w:type="spellEnd"/>
      <w:r w:rsidRPr="00B518C9">
        <w:rPr>
          <w:rFonts w:ascii="Arial" w:hAnsi="Arial" w:cs="Arial"/>
          <w:sz w:val="24"/>
          <w:szCs w:val="24"/>
        </w:rPr>
        <w:t xml:space="preserve"> (2019) identifies design as probably the most important brand attribute. Represents sustained competitive advantage when properly organised.</w:t>
      </w:r>
    </w:p>
    <w:p w14:paraId="5C5050F5"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Q by Aston Martin Bespoke Capability:</w:t>
      </w:r>
      <w:r w:rsidRPr="00B518C9">
        <w:rPr>
          <w:rFonts w:ascii="Arial" w:hAnsi="Arial" w:cs="Arial"/>
          <w:sz w:val="24"/>
          <w:szCs w:val="24"/>
        </w:rPr>
        <w:t> Provides valuable, rare, costly-to-imitate capabilities. Currently developing organisational support. Potential sustained competitive advantage.</w:t>
      </w:r>
    </w:p>
    <w:p w14:paraId="103EBD8B"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DBX SUV Platform:</w:t>
      </w:r>
      <w:r w:rsidRPr="00B518C9">
        <w:rPr>
          <w:rFonts w:ascii="Arial" w:hAnsi="Arial" w:cs="Arial"/>
          <w:sz w:val="24"/>
          <w:szCs w:val="24"/>
        </w:rPr>
        <w:t> Valuable but not rare, as luxury SUVs proliferate. Represents temporary competitive advantage at best.</w:t>
      </w:r>
    </w:p>
    <w:p w14:paraId="51FA3E9C"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Electrification Technology through Lucid Partnership:</w:t>
      </w:r>
      <w:r w:rsidRPr="00B518C9">
        <w:rPr>
          <w:rFonts w:ascii="Arial" w:hAnsi="Arial" w:cs="Arial"/>
          <w:sz w:val="24"/>
          <w:szCs w:val="24"/>
        </w:rPr>
        <w:t> Valuable but not rare. Represents competitive parity.</w:t>
      </w:r>
    </w:p>
    <w:p w14:paraId="0840BA98"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Dealer Network:</w:t>
      </w:r>
      <w:r w:rsidRPr="00B518C9">
        <w:rPr>
          <w:rFonts w:ascii="Arial" w:hAnsi="Arial" w:cs="Arial"/>
          <w:sz w:val="24"/>
          <w:szCs w:val="24"/>
        </w:rPr>
        <w:t> Provides competitive parity necessary for market participation.</w:t>
      </w:r>
    </w:p>
    <w:p w14:paraId="36431D7B"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Key Vulnerability:</w:t>
      </w:r>
      <w:r w:rsidRPr="00B518C9">
        <w:rPr>
          <w:rFonts w:ascii="Arial" w:hAnsi="Arial" w:cs="Arial"/>
          <w:sz w:val="24"/>
          <w:szCs w:val="24"/>
        </w:rPr>
        <w:t> Lack of economies of scale represents structural disadvantage. Aston Martin reported pre-tax loss of £363.9 million in 2025, revenue falling 21% year-on-year to £1.26 billion (Xinhua, 2026).</w:t>
      </w:r>
    </w:p>
    <w:p w14:paraId="47CEBD5E" w14:textId="584D840F" w:rsidR="00B518C9" w:rsidRPr="00E145D1" w:rsidRDefault="00B518C9" w:rsidP="00E145D1">
      <w:pPr>
        <w:pStyle w:val="Heading2"/>
        <w:jc w:val="center"/>
        <w:rPr>
          <w:b/>
          <w:bCs/>
          <w:i/>
          <w:iCs/>
          <w:color w:val="auto"/>
          <w:sz w:val="28"/>
          <w:szCs w:val="28"/>
          <w:u w:val="single"/>
        </w:rPr>
      </w:pPr>
      <w:bookmarkStart w:id="5" w:name="_Toc236394910"/>
      <w:r w:rsidRPr="00E145D1">
        <w:rPr>
          <w:b/>
          <w:bCs/>
          <w:i/>
          <w:iCs/>
          <w:color w:val="auto"/>
          <w:sz w:val="28"/>
          <w:szCs w:val="28"/>
          <w:u w:val="single"/>
        </w:rPr>
        <w:t>SWOT Analysis</w:t>
      </w:r>
      <w:bookmarkEnd w:id="5"/>
    </w:p>
    <w:p w14:paraId="61439623"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Strengths:</w:t>
      </w:r>
      <w:r w:rsidRPr="00B518C9">
        <w:rPr>
          <w:rFonts w:ascii="Arial" w:hAnsi="Arial" w:cs="Arial"/>
          <w:sz w:val="24"/>
          <w:szCs w:val="24"/>
        </w:rPr>
        <w:t> Iconic brand with 113-year heritage; 6.5 million followers; motivated workforce; Formula One association; core average selling price of £185,000; design and craftsmanship excellence.</w:t>
      </w:r>
    </w:p>
    <w:p w14:paraId="78E3B87E"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lastRenderedPageBreak/>
        <w:t>Weaknesses:</w:t>
      </w:r>
      <w:r w:rsidRPr="00B518C9">
        <w:rPr>
          <w:rFonts w:ascii="Arial" w:hAnsi="Arial" w:cs="Arial"/>
          <w:sz w:val="24"/>
          <w:szCs w:val="24"/>
        </w:rPr>
        <w:t> Loss before tax of £363.9 million for 2025; net debt of £1.38 billion; wholesale volumes decreased 10% to 5,448; dependence on Mercedes-AMG; technology not considered a primary brand attribute (</w:t>
      </w:r>
      <w:proofErr w:type="spellStart"/>
      <w:r w:rsidRPr="00B518C9">
        <w:rPr>
          <w:rFonts w:ascii="Arial" w:hAnsi="Arial" w:cs="Arial"/>
          <w:sz w:val="24"/>
          <w:szCs w:val="24"/>
        </w:rPr>
        <w:t>Essamri</w:t>
      </w:r>
      <w:proofErr w:type="spellEnd"/>
      <w:r w:rsidRPr="00B518C9">
        <w:rPr>
          <w:rFonts w:ascii="Arial" w:hAnsi="Arial" w:cs="Arial"/>
          <w:sz w:val="24"/>
          <w:szCs w:val="24"/>
        </w:rPr>
        <w:t>, 2019).</w:t>
      </w:r>
    </w:p>
    <w:p w14:paraId="5329BCAC"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Opportunities:</w:t>
      </w:r>
      <w:r w:rsidRPr="00B518C9">
        <w:rPr>
          <w:rFonts w:ascii="Arial" w:hAnsi="Arial" w:cs="Arial"/>
          <w:sz w:val="24"/>
          <w:szCs w:val="24"/>
        </w:rPr>
        <w:t> Valhalla hypercar with 152 deliveries in Q4 2025; growing bespoke luxury demand; strategic partnerships; platform re-engineering; £40 million cost reduction targets through workforce reductions (Xinhua, 2026; International Finance News, 2026).</w:t>
      </w:r>
    </w:p>
    <w:p w14:paraId="0337F8EA" w14:textId="77777777" w:rsidR="00B518C9" w:rsidRDefault="00B518C9" w:rsidP="00B518C9">
      <w:pPr>
        <w:jc w:val="both"/>
        <w:rPr>
          <w:rFonts w:ascii="Arial" w:hAnsi="Arial" w:cs="Arial"/>
          <w:sz w:val="24"/>
          <w:szCs w:val="24"/>
        </w:rPr>
      </w:pPr>
      <w:r w:rsidRPr="00B518C9">
        <w:rPr>
          <w:rFonts w:ascii="Arial" w:hAnsi="Arial" w:cs="Arial"/>
          <w:b/>
          <w:bCs/>
          <w:sz w:val="24"/>
          <w:szCs w:val="24"/>
        </w:rPr>
        <w:t>Threats:</w:t>
      </w:r>
      <w:r w:rsidRPr="00B518C9">
        <w:rPr>
          <w:rFonts w:ascii="Arial" w:hAnsi="Arial" w:cs="Arial"/>
          <w:sz w:val="24"/>
          <w:szCs w:val="24"/>
        </w:rPr>
        <w:t> Post-Brexit Rules of Origin tariffs from 2027; US tariff volatility; Asia-Pacific sales challenges; free cash outflow expected to continue; OICA's confirmation that Europe faces difficult industrial adjustment (OICA, 2026).</w:t>
      </w:r>
    </w:p>
    <w:p w14:paraId="6EB852E7" w14:textId="77777777" w:rsidR="00E145D1" w:rsidRDefault="00E145D1" w:rsidP="00B518C9">
      <w:pPr>
        <w:jc w:val="both"/>
        <w:rPr>
          <w:rFonts w:ascii="Arial" w:hAnsi="Arial" w:cs="Arial"/>
          <w:sz w:val="24"/>
          <w:szCs w:val="24"/>
        </w:rPr>
      </w:pPr>
    </w:p>
    <w:p w14:paraId="75224D6D" w14:textId="77777777" w:rsidR="00E145D1" w:rsidRDefault="00E145D1" w:rsidP="00B518C9">
      <w:pPr>
        <w:jc w:val="both"/>
        <w:rPr>
          <w:rFonts w:ascii="Arial" w:hAnsi="Arial" w:cs="Arial"/>
          <w:sz w:val="24"/>
          <w:szCs w:val="24"/>
        </w:rPr>
      </w:pPr>
    </w:p>
    <w:p w14:paraId="41CB95D3" w14:textId="77777777" w:rsidR="00E145D1" w:rsidRDefault="00E145D1" w:rsidP="00B518C9">
      <w:pPr>
        <w:jc w:val="both"/>
        <w:rPr>
          <w:rFonts w:ascii="Arial" w:hAnsi="Arial" w:cs="Arial"/>
          <w:sz w:val="24"/>
          <w:szCs w:val="24"/>
        </w:rPr>
      </w:pPr>
    </w:p>
    <w:p w14:paraId="58313E39" w14:textId="77777777" w:rsidR="00E145D1" w:rsidRDefault="00E145D1" w:rsidP="00B518C9">
      <w:pPr>
        <w:jc w:val="both"/>
        <w:rPr>
          <w:rFonts w:ascii="Arial" w:hAnsi="Arial" w:cs="Arial"/>
          <w:sz w:val="24"/>
          <w:szCs w:val="24"/>
        </w:rPr>
      </w:pPr>
    </w:p>
    <w:p w14:paraId="0C12C4AB" w14:textId="77777777" w:rsidR="00E145D1" w:rsidRDefault="00E145D1" w:rsidP="00B518C9">
      <w:pPr>
        <w:jc w:val="both"/>
        <w:rPr>
          <w:rFonts w:ascii="Arial" w:hAnsi="Arial" w:cs="Arial"/>
          <w:sz w:val="24"/>
          <w:szCs w:val="24"/>
        </w:rPr>
      </w:pPr>
    </w:p>
    <w:p w14:paraId="5DE90851" w14:textId="77777777" w:rsidR="00E145D1" w:rsidRDefault="00E145D1" w:rsidP="00B518C9">
      <w:pPr>
        <w:jc w:val="both"/>
        <w:rPr>
          <w:rFonts w:ascii="Arial" w:hAnsi="Arial" w:cs="Arial"/>
          <w:sz w:val="24"/>
          <w:szCs w:val="24"/>
        </w:rPr>
      </w:pPr>
    </w:p>
    <w:p w14:paraId="3ECE340F" w14:textId="77777777" w:rsidR="00E145D1" w:rsidRDefault="00E145D1" w:rsidP="00B518C9">
      <w:pPr>
        <w:jc w:val="both"/>
        <w:rPr>
          <w:rFonts w:ascii="Arial" w:hAnsi="Arial" w:cs="Arial"/>
          <w:sz w:val="24"/>
          <w:szCs w:val="24"/>
        </w:rPr>
      </w:pPr>
    </w:p>
    <w:p w14:paraId="34029756" w14:textId="77777777" w:rsidR="00E145D1" w:rsidRDefault="00E145D1" w:rsidP="00B518C9">
      <w:pPr>
        <w:jc w:val="both"/>
        <w:rPr>
          <w:rFonts w:ascii="Arial" w:hAnsi="Arial" w:cs="Arial"/>
          <w:sz w:val="24"/>
          <w:szCs w:val="24"/>
        </w:rPr>
      </w:pPr>
    </w:p>
    <w:p w14:paraId="5E5D2CF5" w14:textId="77777777" w:rsidR="00E145D1" w:rsidRDefault="00E145D1" w:rsidP="00B518C9">
      <w:pPr>
        <w:jc w:val="both"/>
        <w:rPr>
          <w:rFonts w:ascii="Arial" w:hAnsi="Arial" w:cs="Arial"/>
          <w:sz w:val="24"/>
          <w:szCs w:val="24"/>
        </w:rPr>
      </w:pPr>
    </w:p>
    <w:p w14:paraId="2B048C0C" w14:textId="77777777" w:rsidR="00E145D1" w:rsidRDefault="00E145D1" w:rsidP="00B518C9">
      <w:pPr>
        <w:jc w:val="both"/>
        <w:rPr>
          <w:rFonts w:ascii="Arial" w:hAnsi="Arial" w:cs="Arial"/>
          <w:sz w:val="24"/>
          <w:szCs w:val="24"/>
        </w:rPr>
      </w:pPr>
    </w:p>
    <w:p w14:paraId="3D81244F" w14:textId="77777777" w:rsidR="00E145D1" w:rsidRDefault="00E145D1" w:rsidP="00B518C9">
      <w:pPr>
        <w:jc w:val="both"/>
        <w:rPr>
          <w:rFonts w:ascii="Arial" w:hAnsi="Arial" w:cs="Arial"/>
          <w:sz w:val="24"/>
          <w:szCs w:val="24"/>
        </w:rPr>
      </w:pPr>
    </w:p>
    <w:p w14:paraId="5D699756" w14:textId="77777777" w:rsidR="00E145D1" w:rsidRDefault="00E145D1" w:rsidP="00B518C9">
      <w:pPr>
        <w:jc w:val="both"/>
        <w:rPr>
          <w:rFonts w:ascii="Arial" w:hAnsi="Arial" w:cs="Arial"/>
          <w:sz w:val="24"/>
          <w:szCs w:val="24"/>
        </w:rPr>
      </w:pPr>
    </w:p>
    <w:p w14:paraId="36D01A6F" w14:textId="77777777" w:rsidR="00E145D1" w:rsidRDefault="00E145D1" w:rsidP="00B518C9">
      <w:pPr>
        <w:jc w:val="both"/>
        <w:rPr>
          <w:rFonts w:ascii="Arial" w:hAnsi="Arial" w:cs="Arial"/>
          <w:sz w:val="24"/>
          <w:szCs w:val="24"/>
        </w:rPr>
      </w:pPr>
    </w:p>
    <w:p w14:paraId="050FC8CB" w14:textId="77777777" w:rsidR="00E145D1" w:rsidRDefault="00E145D1" w:rsidP="00B518C9">
      <w:pPr>
        <w:jc w:val="both"/>
        <w:rPr>
          <w:rFonts w:ascii="Arial" w:hAnsi="Arial" w:cs="Arial"/>
          <w:sz w:val="24"/>
          <w:szCs w:val="24"/>
        </w:rPr>
      </w:pPr>
    </w:p>
    <w:p w14:paraId="2ECBE50B" w14:textId="77777777" w:rsidR="00E145D1" w:rsidRDefault="00E145D1" w:rsidP="00B518C9">
      <w:pPr>
        <w:jc w:val="both"/>
        <w:rPr>
          <w:rFonts w:ascii="Arial" w:hAnsi="Arial" w:cs="Arial"/>
          <w:sz w:val="24"/>
          <w:szCs w:val="24"/>
        </w:rPr>
      </w:pPr>
    </w:p>
    <w:p w14:paraId="7E19B3D8" w14:textId="77777777" w:rsidR="00E145D1" w:rsidRDefault="00E145D1" w:rsidP="00B518C9">
      <w:pPr>
        <w:jc w:val="both"/>
        <w:rPr>
          <w:rFonts w:ascii="Arial" w:hAnsi="Arial" w:cs="Arial"/>
          <w:sz w:val="24"/>
          <w:szCs w:val="24"/>
        </w:rPr>
      </w:pPr>
    </w:p>
    <w:p w14:paraId="0B2A4DF1" w14:textId="77777777" w:rsidR="00E145D1" w:rsidRDefault="00E145D1" w:rsidP="00B518C9">
      <w:pPr>
        <w:jc w:val="both"/>
        <w:rPr>
          <w:rFonts w:ascii="Arial" w:hAnsi="Arial" w:cs="Arial"/>
          <w:sz w:val="24"/>
          <w:szCs w:val="24"/>
        </w:rPr>
      </w:pPr>
    </w:p>
    <w:p w14:paraId="44BD578F" w14:textId="77777777" w:rsidR="00E145D1" w:rsidRDefault="00E145D1" w:rsidP="00B518C9">
      <w:pPr>
        <w:jc w:val="both"/>
        <w:rPr>
          <w:rFonts w:ascii="Arial" w:hAnsi="Arial" w:cs="Arial"/>
          <w:sz w:val="24"/>
          <w:szCs w:val="24"/>
        </w:rPr>
      </w:pPr>
    </w:p>
    <w:p w14:paraId="21B5C615" w14:textId="77777777" w:rsidR="00E145D1" w:rsidRDefault="00E145D1" w:rsidP="00B518C9">
      <w:pPr>
        <w:jc w:val="both"/>
        <w:rPr>
          <w:rFonts w:ascii="Arial" w:hAnsi="Arial" w:cs="Arial"/>
          <w:sz w:val="24"/>
          <w:szCs w:val="24"/>
        </w:rPr>
      </w:pPr>
    </w:p>
    <w:p w14:paraId="4B21087B" w14:textId="77777777" w:rsidR="00E145D1" w:rsidRDefault="00E145D1" w:rsidP="00B518C9">
      <w:pPr>
        <w:jc w:val="both"/>
        <w:rPr>
          <w:rFonts w:ascii="Arial" w:hAnsi="Arial" w:cs="Arial"/>
          <w:sz w:val="24"/>
          <w:szCs w:val="24"/>
        </w:rPr>
      </w:pPr>
    </w:p>
    <w:p w14:paraId="7ACB4355" w14:textId="77777777" w:rsidR="00E145D1" w:rsidRDefault="00E145D1" w:rsidP="00B518C9">
      <w:pPr>
        <w:jc w:val="both"/>
        <w:rPr>
          <w:rFonts w:ascii="Arial" w:hAnsi="Arial" w:cs="Arial"/>
          <w:sz w:val="24"/>
          <w:szCs w:val="24"/>
        </w:rPr>
      </w:pPr>
    </w:p>
    <w:p w14:paraId="7558DEAC" w14:textId="57DEE3E2" w:rsidR="00B518C9" w:rsidRPr="00E145D1" w:rsidRDefault="00B518C9" w:rsidP="00E145D1">
      <w:pPr>
        <w:pStyle w:val="Heading1"/>
        <w:rPr>
          <w:b/>
          <w:bCs/>
          <w:color w:val="auto"/>
        </w:rPr>
      </w:pPr>
      <w:bookmarkStart w:id="6" w:name="_Toc236394911"/>
      <w:r w:rsidRPr="00E145D1">
        <w:rPr>
          <w:b/>
          <w:bCs/>
          <w:color w:val="auto"/>
        </w:rPr>
        <w:lastRenderedPageBreak/>
        <w:t>Strategy Formulation</w:t>
      </w:r>
      <w:bookmarkEnd w:id="6"/>
    </w:p>
    <w:p w14:paraId="6D636A49" w14:textId="77777777" w:rsidR="00B518C9" w:rsidRPr="00ED2D94" w:rsidRDefault="00B518C9" w:rsidP="00B518C9">
      <w:pPr>
        <w:jc w:val="both"/>
        <w:rPr>
          <w:rFonts w:ascii="Arial" w:hAnsi="Arial" w:cs="Arial"/>
          <w:b/>
          <w:bCs/>
          <w:i/>
          <w:iCs/>
          <w:sz w:val="24"/>
          <w:szCs w:val="24"/>
          <w:u w:val="single"/>
        </w:rPr>
      </w:pPr>
      <w:r w:rsidRPr="00ED2D94">
        <w:rPr>
          <w:rFonts w:ascii="Arial" w:hAnsi="Arial" w:cs="Arial"/>
          <w:b/>
          <w:bCs/>
          <w:i/>
          <w:iCs/>
          <w:sz w:val="24"/>
          <w:szCs w:val="24"/>
          <w:u w:val="single"/>
        </w:rPr>
        <w:t>Strategic Alternative 1: Financial Stabilisation and Operational Discipline</w:t>
      </w:r>
    </w:p>
    <w:p w14:paraId="19F171D3"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This short-term strategy prioritises achieving sustainable profitability at current production levels. The strategic rationale is that profitability at lower volumes is preferable to losses at higher volumes.</w:t>
      </w:r>
    </w:p>
    <w:p w14:paraId="5EA87681"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Cost Rationalisation:</w:t>
      </w:r>
      <w:r w:rsidRPr="00B518C9">
        <w:rPr>
          <w:rFonts w:ascii="Arial" w:hAnsi="Arial" w:cs="Arial"/>
          <w:sz w:val="24"/>
          <w:szCs w:val="24"/>
        </w:rPr>
        <w:t> The planned workforce reduction of up to 20% of employees, approximately 600 positions, and £40 million annual savings represent essential cost-base restructuring (Xinhua, 2026; International Finance News, 2026). Related one-off costs are around £15 million. Additional opportunities include supply chain renegotiation and manufacturing process optimisation.</w:t>
      </w:r>
    </w:p>
    <w:p w14:paraId="7FD71E4F"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Average Selling Price Optimisation:</w:t>
      </w:r>
      <w:r w:rsidRPr="00B518C9">
        <w:rPr>
          <w:rFonts w:ascii="Arial" w:hAnsi="Arial" w:cs="Arial"/>
          <w:sz w:val="24"/>
          <w:szCs w:val="24"/>
        </w:rPr>
        <w:t> Aggressively expanding the Q by Aston Martin personalisation programme. Core average selling price of £185,000 in 2025 reflected new core model derivatives (Aston Martin Lagonda, 2025). Developing additional bespoke options requires modest investment.</w:t>
      </w:r>
    </w:p>
    <w:p w14:paraId="7AB2A8AB"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Valhalla Execution:</w:t>
      </w:r>
      <w:r w:rsidRPr="00B518C9">
        <w:rPr>
          <w:rFonts w:ascii="Arial" w:hAnsi="Arial" w:cs="Arial"/>
          <w:sz w:val="24"/>
          <w:szCs w:val="24"/>
        </w:rPr>
        <w:t> The £850,000 plug-in hybrid hypercar represents a pivotal margin driver. The company delivered 152 units in Q4 2025 (Aston Martin Lagonda, 2025). Hallmark expressed confidence the company is on track to deliver material financial improvement (Aston Martin Lagonda, 2025).</w:t>
      </w:r>
    </w:p>
    <w:p w14:paraId="32FD9E95" w14:textId="77777777" w:rsidR="00B518C9" w:rsidRPr="00ED2D94" w:rsidRDefault="00B518C9" w:rsidP="00B518C9">
      <w:pPr>
        <w:jc w:val="both"/>
        <w:rPr>
          <w:rFonts w:ascii="Arial" w:hAnsi="Arial" w:cs="Arial"/>
          <w:b/>
          <w:bCs/>
          <w:i/>
          <w:iCs/>
          <w:sz w:val="24"/>
          <w:szCs w:val="24"/>
          <w:u w:val="single"/>
        </w:rPr>
      </w:pPr>
      <w:r w:rsidRPr="00ED2D94">
        <w:rPr>
          <w:rFonts w:ascii="Arial" w:hAnsi="Arial" w:cs="Arial"/>
          <w:b/>
          <w:bCs/>
          <w:i/>
          <w:iCs/>
          <w:sz w:val="24"/>
          <w:szCs w:val="24"/>
          <w:u w:val="single"/>
        </w:rPr>
        <w:t>Strategic Alternative 2: Controlled Electrification and Platform Reinvention</w:t>
      </w:r>
    </w:p>
    <w:p w14:paraId="46B99AB6"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This long-term strategy positions Aston Martin for the inevitable transition to low-emission mobility while avoiding premature BEV commitments.</w:t>
      </w:r>
    </w:p>
    <w:p w14:paraId="59711720"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Modular Platform Development:</w:t>
      </w:r>
      <w:r w:rsidRPr="00B518C9">
        <w:rPr>
          <w:rFonts w:ascii="Arial" w:hAnsi="Arial" w:cs="Arial"/>
          <w:sz w:val="24"/>
          <w:szCs w:val="24"/>
        </w:rPr>
        <w:t> Next-generation platform designed to accommodate both ICE and electric powertrains provides strategic flexibility as electrification demand evolves.</w:t>
      </w:r>
    </w:p>
    <w:p w14:paraId="62910CC0"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Selective Hybridisation:</w:t>
      </w:r>
      <w:r w:rsidRPr="00B518C9">
        <w:rPr>
          <w:rFonts w:ascii="Arial" w:hAnsi="Arial" w:cs="Arial"/>
          <w:sz w:val="24"/>
          <w:szCs w:val="24"/>
        </w:rPr>
        <w:t> The Valhalla's plug-in hybrid configuration represents the bridge between ICE heritage and electrified performance. This graduated approach reduces technology risk.</w:t>
      </w:r>
    </w:p>
    <w:p w14:paraId="71A311B1"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Strategic Partnerships:</w:t>
      </w:r>
      <w:r w:rsidRPr="00B518C9">
        <w:rPr>
          <w:rFonts w:ascii="Arial" w:hAnsi="Arial" w:cs="Arial"/>
          <w:sz w:val="24"/>
          <w:szCs w:val="24"/>
        </w:rPr>
        <w:t> Deepening Mercedes-AMG and Lucid relationships provides cost-effective technology access. Harper (2015) notes careful selection is essential for premium marques to ensure brand value proposition protection.</w:t>
      </w:r>
    </w:p>
    <w:p w14:paraId="17EA9B61" w14:textId="2C7296E6" w:rsidR="00B518C9" w:rsidRDefault="00B518C9" w:rsidP="00B518C9">
      <w:pPr>
        <w:jc w:val="both"/>
        <w:rPr>
          <w:rFonts w:ascii="Arial" w:hAnsi="Arial" w:cs="Arial"/>
          <w:sz w:val="24"/>
          <w:szCs w:val="24"/>
        </w:rPr>
      </w:pPr>
    </w:p>
    <w:p w14:paraId="25EBF00A" w14:textId="77777777" w:rsidR="00ED2D94" w:rsidRDefault="00ED2D94" w:rsidP="00B518C9">
      <w:pPr>
        <w:jc w:val="both"/>
        <w:rPr>
          <w:rFonts w:ascii="Arial" w:hAnsi="Arial" w:cs="Arial"/>
          <w:sz w:val="24"/>
          <w:szCs w:val="24"/>
        </w:rPr>
      </w:pPr>
    </w:p>
    <w:p w14:paraId="772635D4" w14:textId="77777777" w:rsidR="00E145D1" w:rsidRDefault="00E145D1" w:rsidP="00B518C9">
      <w:pPr>
        <w:jc w:val="both"/>
        <w:rPr>
          <w:rFonts w:ascii="Arial" w:hAnsi="Arial" w:cs="Arial"/>
          <w:sz w:val="24"/>
          <w:szCs w:val="24"/>
        </w:rPr>
      </w:pPr>
    </w:p>
    <w:p w14:paraId="12D6085A" w14:textId="77777777" w:rsidR="00ED2D94" w:rsidRDefault="00ED2D94" w:rsidP="00B518C9">
      <w:pPr>
        <w:jc w:val="both"/>
        <w:rPr>
          <w:rFonts w:ascii="Arial" w:hAnsi="Arial" w:cs="Arial"/>
          <w:sz w:val="24"/>
          <w:szCs w:val="24"/>
        </w:rPr>
      </w:pPr>
    </w:p>
    <w:p w14:paraId="2045D825" w14:textId="77777777" w:rsidR="00ED2D94" w:rsidRPr="00B518C9" w:rsidRDefault="00ED2D94" w:rsidP="00B518C9">
      <w:pPr>
        <w:jc w:val="both"/>
        <w:rPr>
          <w:rFonts w:ascii="Arial" w:hAnsi="Arial" w:cs="Arial"/>
          <w:sz w:val="24"/>
          <w:szCs w:val="24"/>
        </w:rPr>
      </w:pPr>
    </w:p>
    <w:p w14:paraId="1E579741" w14:textId="454969F4" w:rsidR="00B518C9" w:rsidRPr="00E145D1" w:rsidRDefault="00B518C9" w:rsidP="00E145D1">
      <w:pPr>
        <w:pStyle w:val="Heading1"/>
        <w:rPr>
          <w:b/>
          <w:bCs/>
          <w:color w:val="auto"/>
        </w:rPr>
      </w:pPr>
      <w:bookmarkStart w:id="7" w:name="_Toc236394912"/>
      <w:r w:rsidRPr="00E145D1">
        <w:rPr>
          <w:b/>
          <w:bCs/>
          <w:color w:val="auto"/>
        </w:rPr>
        <w:lastRenderedPageBreak/>
        <w:t>Conclusions and Recommendations</w:t>
      </w:r>
      <w:bookmarkEnd w:id="7"/>
    </w:p>
    <w:p w14:paraId="2152693D" w14:textId="47838AB5" w:rsidR="00B518C9" w:rsidRPr="00ED2D94" w:rsidRDefault="00B518C9" w:rsidP="00B518C9">
      <w:pPr>
        <w:jc w:val="both"/>
        <w:rPr>
          <w:rFonts w:ascii="Arial" w:hAnsi="Arial" w:cs="Arial"/>
          <w:b/>
          <w:bCs/>
          <w:i/>
          <w:iCs/>
          <w:sz w:val="24"/>
          <w:szCs w:val="24"/>
          <w:u w:val="single"/>
        </w:rPr>
      </w:pPr>
      <w:r w:rsidRPr="00ED2D94">
        <w:rPr>
          <w:rFonts w:ascii="Arial" w:hAnsi="Arial" w:cs="Arial"/>
          <w:b/>
          <w:bCs/>
          <w:i/>
          <w:iCs/>
          <w:sz w:val="24"/>
          <w:szCs w:val="24"/>
          <w:u w:val="single"/>
        </w:rPr>
        <w:t>Summary of Strategic Findings</w:t>
      </w:r>
    </w:p>
    <w:p w14:paraId="719C0DB8"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 xml:space="preserve">Aston Martin stands at a strategic crossroads. The company possesses exceptional intangible assets—brand, design excellence, Formula One prestige—that provide competitive advantage. </w:t>
      </w:r>
      <w:proofErr w:type="spellStart"/>
      <w:r w:rsidRPr="00B518C9">
        <w:rPr>
          <w:rFonts w:ascii="Arial" w:hAnsi="Arial" w:cs="Arial"/>
          <w:sz w:val="24"/>
          <w:szCs w:val="24"/>
        </w:rPr>
        <w:t>Essamri</w:t>
      </w:r>
      <w:proofErr w:type="spellEnd"/>
      <w:r w:rsidRPr="00B518C9">
        <w:rPr>
          <w:rFonts w:ascii="Arial" w:hAnsi="Arial" w:cs="Arial"/>
          <w:sz w:val="24"/>
          <w:szCs w:val="24"/>
        </w:rPr>
        <w:t xml:space="preserve"> (2019) identifies the brand's duality as unique. However, these strengths are undermined by structural financial weakness: £1.38 billion debt burden, chronic unprofitability, and diseconomies of scale. External threats include post-Brexit tariff exposure, US trade volatility, and Chinese market headwinds. The SMMT warns luxury UK car makers face "multiple geopolitical headwinds" (SMMT, 2025). OICA confirms the global industry navigates a more complex environment (OICA, 2026).</w:t>
      </w:r>
    </w:p>
    <w:p w14:paraId="0AC72D67" w14:textId="0F62A6C5" w:rsidR="00B518C9" w:rsidRPr="00ED2D94" w:rsidRDefault="00B518C9" w:rsidP="00B518C9">
      <w:pPr>
        <w:jc w:val="both"/>
        <w:rPr>
          <w:rFonts w:ascii="Arial" w:hAnsi="Arial" w:cs="Arial"/>
          <w:b/>
          <w:bCs/>
          <w:i/>
          <w:iCs/>
          <w:sz w:val="24"/>
          <w:szCs w:val="24"/>
          <w:u w:val="single"/>
        </w:rPr>
      </w:pPr>
      <w:r w:rsidRPr="00ED2D94">
        <w:rPr>
          <w:rFonts w:ascii="Arial" w:hAnsi="Arial" w:cs="Arial"/>
          <w:b/>
          <w:bCs/>
          <w:i/>
          <w:iCs/>
          <w:sz w:val="24"/>
          <w:szCs w:val="24"/>
          <w:u w:val="single"/>
        </w:rPr>
        <w:t>Actionable Recommendations</w:t>
      </w:r>
    </w:p>
    <w:p w14:paraId="16258F14"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1. Prioritise Valhalla Execution:</w:t>
      </w:r>
      <w:r w:rsidRPr="00B518C9">
        <w:rPr>
          <w:rFonts w:ascii="Arial" w:hAnsi="Arial" w:cs="Arial"/>
          <w:sz w:val="24"/>
          <w:szCs w:val="24"/>
        </w:rPr>
        <w:t> The Valhalla is central to 2026 financial guidance. Management must ensure flawless delivery ramp-up and customer satisfaction. Any delays would undermine cash flow projections.</w:t>
      </w:r>
    </w:p>
    <w:p w14:paraId="39EEB0C2"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2. Accelerate Personalisation Revenue:</w:t>
      </w:r>
      <w:r w:rsidRPr="00B518C9">
        <w:rPr>
          <w:rFonts w:ascii="Arial" w:hAnsi="Arial" w:cs="Arial"/>
          <w:sz w:val="24"/>
          <w:szCs w:val="24"/>
        </w:rPr>
        <w:t> Aggressively expand Q by Aston Martin programme. This offers the most immediate route to margin enhancement without substantial R&amp;D investment.</w:t>
      </w:r>
    </w:p>
    <w:p w14:paraId="14FFC8B0"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3. Maintain Strategic Optionality on Electrification:</w:t>
      </w:r>
      <w:r w:rsidRPr="00B518C9">
        <w:rPr>
          <w:rFonts w:ascii="Arial" w:hAnsi="Arial" w:cs="Arial"/>
          <w:sz w:val="24"/>
          <w:szCs w:val="24"/>
        </w:rPr>
        <w:t> Delay BEV launch until market demand crystallises while maintaining readiness through partnerships. Stroll confirmed: "As long as we're allowed legally to keep making them, we will keep making them" (Daily Express, 2024).</w:t>
      </w:r>
    </w:p>
    <w:p w14:paraId="33C2C2FB"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4. Advocate for Regulatory Pragmatism:</w:t>
      </w:r>
      <w:r w:rsidRPr="00B518C9">
        <w:rPr>
          <w:rFonts w:ascii="Arial" w:hAnsi="Arial" w:cs="Arial"/>
          <w:sz w:val="24"/>
          <w:szCs w:val="24"/>
        </w:rPr>
        <w:t> Engage constructively with SMMT and UK government for phased Rules of Origin and ZEV Mandate reforms. SMMT chief executive calls for supportive frameworks (SMMT, 2025).</w:t>
      </w:r>
    </w:p>
    <w:p w14:paraId="51BEF61E"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5. Address Financial Vulnerability:</w:t>
      </w:r>
      <w:r w:rsidRPr="00B518C9">
        <w:rPr>
          <w:rFonts w:ascii="Arial" w:hAnsi="Arial" w:cs="Arial"/>
          <w:sz w:val="24"/>
          <w:szCs w:val="24"/>
        </w:rPr>
        <w:t> Maintain strong shareholder relationships. Stroll has provided more than £600 million since taking control. Disciplined cash management is essential.</w:t>
      </w:r>
    </w:p>
    <w:p w14:paraId="25F4BC0F" w14:textId="77777777" w:rsidR="00B518C9" w:rsidRPr="00B518C9" w:rsidRDefault="00B518C9" w:rsidP="00B518C9">
      <w:pPr>
        <w:jc w:val="both"/>
        <w:rPr>
          <w:rFonts w:ascii="Arial" w:hAnsi="Arial" w:cs="Arial"/>
          <w:sz w:val="24"/>
          <w:szCs w:val="24"/>
        </w:rPr>
      </w:pPr>
      <w:r w:rsidRPr="00B518C9">
        <w:rPr>
          <w:rFonts w:ascii="Arial" w:hAnsi="Arial" w:cs="Arial"/>
          <w:b/>
          <w:bCs/>
          <w:sz w:val="24"/>
          <w:szCs w:val="24"/>
        </w:rPr>
        <w:t>6. Monitor Global Industry Repositioning:</w:t>
      </w:r>
      <w:r w:rsidRPr="00B518C9">
        <w:rPr>
          <w:rFonts w:ascii="Arial" w:hAnsi="Arial" w:cs="Arial"/>
          <w:sz w:val="24"/>
          <w:szCs w:val="24"/>
        </w:rPr>
        <w:t> OICA confirms Asia has become the clear centre of gravity in global automotive production, accounting for more than 61% of global output (OICA, 2026). Monitor competitive dynamics and consider strategic adjustments in Asian markets.</w:t>
      </w:r>
    </w:p>
    <w:p w14:paraId="38DF5927" w14:textId="0FEC10B6" w:rsidR="00B518C9" w:rsidRDefault="00B518C9" w:rsidP="00B518C9">
      <w:pPr>
        <w:jc w:val="both"/>
        <w:rPr>
          <w:rFonts w:ascii="Arial" w:hAnsi="Arial" w:cs="Arial"/>
          <w:sz w:val="24"/>
          <w:szCs w:val="24"/>
        </w:rPr>
      </w:pPr>
    </w:p>
    <w:p w14:paraId="21098F69" w14:textId="77777777" w:rsidR="00E145D1" w:rsidRDefault="00E145D1" w:rsidP="00B518C9">
      <w:pPr>
        <w:jc w:val="both"/>
        <w:rPr>
          <w:rFonts w:ascii="Arial" w:hAnsi="Arial" w:cs="Arial"/>
          <w:sz w:val="24"/>
          <w:szCs w:val="24"/>
        </w:rPr>
      </w:pPr>
    </w:p>
    <w:p w14:paraId="5CCDC205" w14:textId="77777777" w:rsidR="00E145D1" w:rsidRPr="00B518C9" w:rsidRDefault="00E145D1" w:rsidP="00B518C9">
      <w:pPr>
        <w:jc w:val="both"/>
        <w:rPr>
          <w:rFonts w:ascii="Arial" w:hAnsi="Arial" w:cs="Arial"/>
          <w:sz w:val="24"/>
          <w:szCs w:val="24"/>
        </w:rPr>
      </w:pPr>
    </w:p>
    <w:p w14:paraId="6B6BEE81" w14:textId="77777777" w:rsidR="00B518C9" w:rsidRPr="00E145D1" w:rsidRDefault="00B518C9" w:rsidP="00E145D1">
      <w:pPr>
        <w:pStyle w:val="Heading1"/>
        <w:rPr>
          <w:b/>
          <w:bCs/>
          <w:color w:val="auto"/>
        </w:rPr>
      </w:pPr>
      <w:bookmarkStart w:id="8" w:name="_Toc236394913"/>
      <w:r w:rsidRPr="00E145D1">
        <w:rPr>
          <w:b/>
          <w:bCs/>
          <w:color w:val="auto"/>
        </w:rPr>
        <w:lastRenderedPageBreak/>
        <w:t>References</w:t>
      </w:r>
      <w:bookmarkEnd w:id="8"/>
    </w:p>
    <w:p w14:paraId="26A9B3B1" w14:textId="0BFEFC26" w:rsidR="00B518C9" w:rsidRPr="00B518C9" w:rsidRDefault="00B518C9" w:rsidP="00B518C9">
      <w:pPr>
        <w:jc w:val="both"/>
        <w:rPr>
          <w:rFonts w:ascii="Arial" w:hAnsi="Arial" w:cs="Arial"/>
          <w:sz w:val="24"/>
          <w:szCs w:val="24"/>
        </w:rPr>
      </w:pPr>
      <w:r w:rsidRPr="00B518C9">
        <w:rPr>
          <w:rFonts w:ascii="Arial" w:hAnsi="Arial" w:cs="Arial"/>
          <w:sz w:val="24"/>
          <w:szCs w:val="24"/>
        </w:rPr>
        <w:t>Aston Martin Lagonda (2024) 'About Aston Martin Lagonda', </w:t>
      </w:r>
      <w:r w:rsidRPr="00B518C9">
        <w:rPr>
          <w:rFonts w:ascii="Arial" w:hAnsi="Arial" w:cs="Arial"/>
          <w:i/>
          <w:iCs/>
          <w:sz w:val="24"/>
          <w:szCs w:val="24"/>
        </w:rPr>
        <w:t>Aston Martin Corporate Website</w:t>
      </w:r>
      <w:r w:rsidRPr="00B518C9">
        <w:rPr>
          <w:rFonts w:ascii="Arial" w:hAnsi="Arial" w:cs="Arial"/>
          <w:sz w:val="24"/>
          <w:szCs w:val="24"/>
        </w:rPr>
        <w:t>. Available at: </w:t>
      </w:r>
      <w:hyperlink r:id="rId5" w:tgtFrame="_blank" w:history="1">
        <w:r w:rsidRPr="00B518C9">
          <w:rPr>
            <w:rStyle w:val="Hyperlink"/>
            <w:rFonts w:ascii="Arial" w:hAnsi="Arial" w:cs="Arial"/>
            <w:sz w:val="24"/>
            <w:szCs w:val="24"/>
          </w:rPr>
          <w:t>www.astonmartin.com</w:t>
        </w:r>
      </w:hyperlink>
      <w:r w:rsidRPr="00B518C9">
        <w:rPr>
          <w:rFonts w:ascii="Arial" w:hAnsi="Arial" w:cs="Arial"/>
          <w:sz w:val="24"/>
          <w:szCs w:val="24"/>
        </w:rPr>
        <w:t xml:space="preserve"> (Accessed: </w:t>
      </w:r>
      <w:r w:rsidR="001472F9">
        <w:rPr>
          <w:rFonts w:ascii="Arial" w:hAnsi="Arial" w:cs="Arial"/>
          <w:sz w:val="24"/>
          <w:szCs w:val="24"/>
        </w:rPr>
        <w:t>15</w:t>
      </w:r>
      <w:r w:rsidRPr="00B518C9">
        <w:rPr>
          <w:rFonts w:ascii="Arial" w:hAnsi="Arial" w:cs="Arial"/>
          <w:sz w:val="24"/>
          <w:szCs w:val="24"/>
        </w:rPr>
        <w:t xml:space="preserve"> July 2026).</w:t>
      </w:r>
    </w:p>
    <w:p w14:paraId="575F4545" w14:textId="0029D26B" w:rsidR="00B518C9" w:rsidRPr="00B518C9" w:rsidRDefault="00B518C9" w:rsidP="00B518C9">
      <w:pPr>
        <w:jc w:val="both"/>
        <w:rPr>
          <w:rFonts w:ascii="Arial" w:hAnsi="Arial" w:cs="Arial"/>
          <w:sz w:val="24"/>
          <w:szCs w:val="24"/>
        </w:rPr>
      </w:pPr>
      <w:r w:rsidRPr="00B518C9">
        <w:rPr>
          <w:rFonts w:ascii="Arial" w:hAnsi="Arial" w:cs="Arial"/>
          <w:sz w:val="24"/>
          <w:szCs w:val="24"/>
        </w:rPr>
        <w:t>Aston Martin Lagonda (2025) 'Annual Report and Accounts 2025', </w:t>
      </w:r>
      <w:r w:rsidRPr="00B518C9">
        <w:rPr>
          <w:rFonts w:ascii="Arial" w:hAnsi="Arial" w:cs="Arial"/>
          <w:i/>
          <w:iCs/>
          <w:sz w:val="24"/>
          <w:szCs w:val="24"/>
        </w:rPr>
        <w:t>Aston Martin Lagonda Global Holdings plc</w:t>
      </w:r>
      <w:r w:rsidRPr="00B518C9">
        <w:rPr>
          <w:rFonts w:ascii="Arial" w:hAnsi="Arial" w:cs="Arial"/>
          <w:sz w:val="24"/>
          <w:szCs w:val="24"/>
        </w:rPr>
        <w:t>. Available at: </w:t>
      </w:r>
      <w:hyperlink r:id="rId6" w:tgtFrame="_blank" w:history="1">
        <w:r w:rsidRPr="00B518C9">
          <w:rPr>
            <w:rStyle w:val="Hyperlink"/>
            <w:rFonts w:ascii="Arial" w:hAnsi="Arial" w:cs="Arial"/>
            <w:sz w:val="24"/>
            <w:szCs w:val="24"/>
          </w:rPr>
          <w:t>www.astonmartin.com/corporate/investors/annual-report</w:t>
        </w:r>
      </w:hyperlink>
      <w:r w:rsidRPr="00B518C9">
        <w:rPr>
          <w:rFonts w:ascii="Arial" w:hAnsi="Arial" w:cs="Arial"/>
          <w:sz w:val="24"/>
          <w:szCs w:val="24"/>
        </w:rPr>
        <w:t xml:space="preserve"> (Accessed: </w:t>
      </w:r>
      <w:r w:rsidR="001472F9">
        <w:rPr>
          <w:rFonts w:ascii="Arial" w:hAnsi="Arial" w:cs="Arial"/>
          <w:sz w:val="24"/>
          <w:szCs w:val="24"/>
        </w:rPr>
        <w:t>22</w:t>
      </w:r>
      <w:r w:rsidRPr="00B518C9">
        <w:rPr>
          <w:rFonts w:ascii="Arial" w:hAnsi="Arial" w:cs="Arial"/>
          <w:sz w:val="24"/>
          <w:szCs w:val="24"/>
        </w:rPr>
        <w:t xml:space="preserve"> July 2026).</w:t>
      </w:r>
    </w:p>
    <w:p w14:paraId="7CF15C34"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Daily Express (2024) 'Petrol car ban "premature" and based off "hype" as Aston Martin makes admission', </w:t>
      </w:r>
      <w:r w:rsidRPr="00B518C9">
        <w:rPr>
          <w:rFonts w:ascii="Arial" w:hAnsi="Arial" w:cs="Arial"/>
          <w:i/>
          <w:iCs/>
          <w:sz w:val="24"/>
          <w:szCs w:val="24"/>
        </w:rPr>
        <w:t>Daily Express</w:t>
      </w:r>
      <w:r w:rsidRPr="00B518C9">
        <w:rPr>
          <w:rFonts w:ascii="Arial" w:hAnsi="Arial" w:cs="Arial"/>
          <w:sz w:val="24"/>
          <w:szCs w:val="24"/>
        </w:rPr>
        <w:t>, 12 April.</w:t>
      </w:r>
    </w:p>
    <w:p w14:paraId="526B258F" w14:textId="4FF77154" w:rsidR="00B518C9" w:rsidRPr="00B518C9" w:rsidRDefault="00B518C9" w:rsidP="00B518C9">
      <w:pPr>
        <w:jc w:val="both"/>
        <w:rPr>
          <w:rFonts w:ascii="Arial" w:hAnsi="Arial" w:cs="Arial"/>
          <w:sz w:val="24"/>
          <w:szCs w:val="24"/>
        </w:rPr>
      </w:pPr>
      <w:proofErr w:type="spellStart"/>
      <w:r w:rsidRPr="00B518C9">
        <w:rPr>
          <w:rFonts w:ascii="Arial" w:hAnsi="Arial" w:cs="Arial"/>
          <w:sz w:val="24"/>
          <w:szCs w:val="24"/>
        </w:rPr>
        <w:t>Essamri</w:t>
      </w:r>
      <w:proofErr w:type="spellEnd"/>
      <w:r w:rsidRPr="00B518C9">
        <w:rPr>
          <w:rFonts w:ascii="Arial" w:hAnsi="Arial" w:cs="Arial"/>
          <w:sz w:val="24"/>
          <w:szCs w:val="24"/>
        </w:rPr>
        <w:t>, A. (2019) 'Corporate Brand Identity Co-Creation in the High Luxury Automotive Sector', PhD Thesis, University of Nottingham. Available at: </w:t>
      </w:r>
      <w:hyperlink r:id="rId7" w:tgtFrame="_blank" w:history="1">
        <w:r w:rsidRPr="00B518C9">
          <w:rPr>
            <w:rStyle w:val="Hyperlink"/>
            <w:rFonts w:ascii="Arial" w:hAnsi="Arial" w:cs="Arial"/>
            <w:sz w:val="24"/>
            <w:szCs w:val="24"/>
          </w:rPr>
          <w:t>https://eprints.nottingham.ac.uk/56531/</w:t>
        </w:r>
      </w:hyperlink>
      <w:r w:rsidRPr="00B518C9">
        <w:rPr>
          <w:rFonts w:ascii="Arial" w:hAnsi="Arial" w:cs="Arial"/>
          <w:sz w:val="24"/>
          <w:szCs w:val="24"/>
        </w:rPr>
        <w:t xml:space="preserve"> (Accessed: </w:t>
      </w:r>
      <w:r w:rsidR="001472F9">
        <w:rPr>
          <w:rFonts w:ascii="Arial" w:hAnsi="Arial" w:cs="Arial"/>
          <w:sz w:val="24"/>
          <w:szCs w:val="24"/>
        </w:rPr>
        <w:t>25</w:t>
      </w:r>
      <w:r w:rsidRPr="00B518C9">
        <w:rPr>
          <w:rFonts w:ascii="Arial" w:hAnsi="Arial" w:cs="Arial"/>
          <w:sz w:val="24"/>
          <w:szCs w:val="24"/>
        </w:rPr>
        <w:t xml:space="preserve"> July 2026).</w:t>
      </w:r>
    </w:p>
    <w:p w14:paraId="738CC3BA"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Fitch Ratings (2025) 'Fitch downgrades Aston Martin to CCC+ amid cash flow concerns', </w:t>
      </w:r>
      <w:r w:rsidRPr="00B518C9">
        <w:rPr>
          <w:rFonts w:ascii="Arial" w:hAnsi="Arial" w:cs="Arial"/>
          <w:i/>
          <w:iCs/>
          <w:sz w:val="24"/>
          <w:szCs w:val="24"/>
        </w:rPr>
        <w:t>Fitch Ratings</w:t>
      </w:r>
      <w:r w:rsidRPr="00B518C9">
        <w:rPr>
          <w:rFonts w:ascii="Arial" w:hAnsi="Arial" w:cs="Arial"/>
          <w:sz w:val="24"/>
          <w:szCs w:val="24"/>
        </w:rPr>
        <w:t>, November. Available at: </w:t>
      </w:r>
      <w:hyperlink r:id="rId8" w:tgtFrame="_blank" w:history="1">
        <w:r w:rsidRPr="00B518C9">
          <w:rPr>
            <w:rStyle w:val="Hyperlink"/>
            <w:rFonts w:ascii="Arial" w:hAnsi="Arial" w:cs="Arial"/>
            <w:sz w:val="24"/>
            <w:szCs w:val="24"/>
          </w:rPr>
          <w:t>www.fitchratings.com</w:t>
        </w:r>
      </w:hyperlink>
      <w:r w:rsidRPr="00B518C9">
        <w:rPr>
          <w:rFonts w:ascii="Arial" w:hAnsi="Arial" w:cs="Arial"/>
          <w:sz w:val="24"/>
          <w:szCs w:val="24"/>
        </w:rPr>
        <w:t> (Accessed: 30 July 2026).</w:t>
      </w:r>
    </w:p>
    <w:p w14:paraId="7A3D9C2B"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Grant, R.M. (2019) </w:t>
      </w:r>
      <w:r w:rsidRPr="00B518C9">
        <w:rPr>
          <w:rFonts w:ascii="Arial" w:hAnsi="Arial" w:cs="Arial"/>
          <w:i/>
          <w:iCs/>
          <w:sz w:val="24"/>
          <w:szCs w:val="24"/>
        </w:rPr>
        <w:t>Contemporary Strategy Analysis</w:t>
      </w:r>
      <w:r w:rsidRPr="00B518C9">
        <w:rPr>
          <w:rFonts w:ascii="Arial" w:hAnsi="Arial" w:cs="Arial"/>
          <w:sz w:val="24"/>
          <w:szCs w:val="24"/>
        </w:rPr>
        <w:t xml:space="preserve">. 10th </w:t>
      </w:r>
      <w:proofErr w:type="spellStart"/>
      <w:r w:rsidRPr="00B518C9">
        <w:rPr>
          <w:rFonts w:ascii="Arial" w:hAnsi="Arial" w:cs="Arial"/>
          <w:sz w:val="24"/>
          <w:szCs w:val="24"/>
        </w:rPr>
        <w:t>edn</w:t>
      </w:r>
      <w:proofErr w:type="spellEnd"/>
      <w:r w:rsidRPr="00B518C9">
        <w:rPr>
          <w:rFonts w:ascii="Arial" w:hAnsi="Arial" w:cs="Arial"/>
          <w:sz w:val="24"/>
          <w:szCs w:val="24"/>
        </w:rPr>
        <w:t>. Hoboken: Wiley.</w:t>
      </w:r>
    </w:p>
    <w:p w14:paraId="289D2984"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Harper, G. (2015) 'Business Model Innovation in the Transition to Ultra-Low Emission Vehicles', PhD Thesis, Cardiff University.</w:t>
      </w:r>
    </w:p>
    <w:p w14:paraId="304E653A"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International Finance News (2026) '</w:t>
      </w:r>
      <w:proofErr w:type="spellStart"/>
      <w:r w:rsidRPr="00B518C9">
        <w:rPr>
          <w:rFonts w:ascii="Arial" w:eastAsia="MS Gothic" w:hAnsi="Arial" w:cs="Arial"/>
          <w:sz w:val="24"/>
          <w:szCs w:val="24"/>
        </w:rPr>
        <w:t>英国豪</w:t>
      </w:r>
      <w:r w:rsidRPr="00B518C9">
        <w:rPr>
          <w:rFonts w:ascii="Arial" w:eastAsia="Microsoft JhengHei" w:hAnsi="Arial" w:cs="Arial"/>
          <w:sz w:val="24"/>
          <w:szCs w:val="24"/>
        </w:rPr>
        <w:t>车阿斯顿</w:t>
      </w:r>
      <w:proofErr w:type="spellEnd"/>
      <w:r w:rsidRPr="00B518C9">
        <w:rPr>
          <w:rFonts w:ascii="Arial" w:hAnsi="Arial" w:cs="Arial"/>
          <w:sz w:val="24"/>
          <w:szCs w:val="24"/>
        </w:rPr>
        <w:t>·</w:t>
      </w:r>
      <w:proofErr w:type="spellStart"/>
      <w:r w:rsidRPr="00B518C9">
        <w:rPr>
          <w:rFonts w:ascii="Arial" w:eastAsia="Microsoft JhengHei" w:hAnsi="Arial" w:cs="Arial"/>
          <w:sz w:val="24"/>
          <w:szCs w:val="24"/>
        </w:rPr>
        <w:t>马丁将裁员</w:t>
      </w:r>
      <w:proofErr w:type="spellEnd"/>
      <w:r w:rsidRPr="00B518C9">
        <w:rPr>
          <w:rFonts w:ascii="Arial" w:hAnsi="Arial" w:cs="Arial"/>
          <w:sz w:val="24"/>
          <w:szCs w:val="24"/>
        </w:rPr>
        <w:t>20%', </w:t>
      </w:r>
      <w:r w:rsidRPr="00B518C9">
        <w:rPr>
          <w:rFonts w:ascii="Arial" w:hAnsi="Arial" w:cs="Arial"/>
          <w:i/>
          <w:iCs/>
          <w:sz w:val="24"/>
          <w:szCs w:val="24"/>
        </w:rPr>
        <w:t>International Finance News</w:t>
      </w:r>
      <w:r w:rsidRPr="00B518C9">
        <w:rPr>
          <w:rFonts w:ascii="Arial" w:hAnsi="Arial" w:cs="Arial"/>
          <w:sz w:val="24"/>
          <w:szCs w:val="24"/>
        </w:rPr>
        <w:t>, 26 February.</w:t>
      </w:r>
    </w:p>
    <w:p w14:paraId="4A8E255B" w14:textId="01FC5933" w:rsidR="00B518C9" w:rsidRPr="00B518C9" w:rsidRDefault="00B518C9" w:rsidP="00B518C9">
      <w:pPr>
        <w:jc w:val="both"/>
        <w:rPr>
          <w:rFonts w:ascii="Arial" w:hAnsi="Arial" w:cs="Arial"/>
          <w:sz w:val="24"/>
          <w:szCs w:val="24"/>
        </w:rPr>
      </w:pPr>
      <w:r w:rsidRPr="00B518C9">
        <w:rPr>
          <w:rFonts w:ascii="Arial" w:hAnsi="Arial" w:cs="Arial"/>
          <w:sz w:val="24"/>
          <w:szCs w:val="24"/>
        </w:rPr>
        <w:t>OICA (2026) 'Auto industry growth shifted east in 2025 amid global repositioning', </w:t>
      </w:r>
      <w:r w:rsidRPr="00B518C9">
        <w:rPr>
          <w:rFonts w:ascii="Arial" w:hAnsi="Arial" w:cs="Arial"/>
          <w:i/>
          <w:iCs/>
          <w:sz w:val="24"/>
          <w:szCs w:val="24"/>
        </w:rPr>
        <w:t>International Organization of Motor Vehicle Manufacturers</w:t>
      </w:r>
      <w:r w:rsidRPr="00B518C9">
        <w:rPr>
          <w:rFonts w:ascii="Arial" w:hAnsi="Arial" w:cs="Arial"/>
          <w:sz w:val="24"/>
          <w:szCs w:val="24"/>
        </w:rPr>
        <w:t>, 23 April. Available at: </w:t>
      </w:r>
      <w:hyperlink r:id="rId9" w:tgtFrame="_blank" w:history="1">
        <w:r w:rsidRPr="00B518C9">
          <w:rPr>
            <w:rStyle w:val="Hyperlink"/>
            <w:rFonts w:ascii="Arial" w:hAnsi="Arial" w:cs="Arial"/>
            <w:sz w:val="24"/>
            <w:szCs w:val="24"/>
          </w:rPr>
          <w:t>https://oica.net</w:t>
        </w:r>
      </w:hyperlink>
      <w:r w:rsidRPr="00B518C9">
        <w:rPr>
          <w:rFonts w:ascii="Arial" w:hAnsi="Arial" w:cs="Arial"/>
          <w:sz w:val="24"/>
          <w:szCs w:val="24"/>
        </w:rPr>
        <w:t xml:space="preserve"> (Accessed: </w:t>
      </w:r>
      <w:r w:rsidR="00AC712A">
        <w:rPr>
          <w:rFonts w:ascii="Arial" w:hAnsi="Arial" w:cs="Arial"/>
          <w:sz w:val="24"/>
          <w:szCs w:val="24"/>
        </w:rPr>
        <w:t>28</w:t>
      </w:r>
      <w:r w:rsidRPr="00B518C9">
        <w:rPr>
          <w:rFonts w:ascii="Arial" w:hAnsi="Arial" w:cs="Arial"/>
          <w:sz w:val="24"/>
          <w:szCs w:val="24"/>
        </w:rPr>
        <w:t xml:space="preserve"> July 2026).</w:t>
      </w:r>
    </w:p>
    <w:p w14:paraId="4A3BF23E" w14:textId="77777777" w:rsidR="00B518C9" w:rsidRPr="00B518C9" w:rsidRDefault="00B518C9" w:rsidP="00B518C9">
      <w:pPr>
        <w:jc w:val="both"/>
        <w:rPr>
          <w:rFonts w:ascii="Arial" w:hAnsi="Arial" w:cs="Arial"/>
          <w:sz w:val="24"/>
          <w:szCs w:val="24"/>
        </w:rPr>
      </w:pPr>
      <w:r w:rsidRPr="00B518C9">
        <w:rPr>
          <w:rFonts w:ascii="Arial" w:hAnsi="Arial" w:cs="Arial"/>
          <w:sz w:val="24"/>
          <w:szCs w:val="24"/>
        </w:rPr>
        <w:t>Reuters (2025) 'Fitch downgrades Aston Martin's ratings as US demand uncertain', </w:t>
      </w:r>
      <w:r w:rsidRPr="00B518C9">
        <w:rPr>
          <w:rFonts w:ascii="Arial" w:hAnsi="Arial" w:cs="Arial"/>
          <w:i/>
          <w:iCs/>
          <w:sz w:val="24"/>
          <w:szCs w:val="24"/>
        </w:rPr>
        <w:t>Reuters</w:t>
      </w:r>
      <w:r w:rsidRPr="00B518C9">
        <w:rPr>
          <w:rFonts w:ascii="Arial" w:hAnsi="Arial" w:cs="Arial"/>
          <w:sz w:val="24"/>
          <w:szCs w:val="24"/>
        </w:rPr>
        <w:t>, 13 November.</w:t>
      </w:r>
    </w:p>
    <w:p w14:paraId="78C91AB9" w14:textId="61D5DB6E" w:rsidR="00B518C9" w:rsidRPr="00B518C9" w:rsidRDefault="00B518C9" w:rsidP="00B518C9">
      <w:pPr>
        <w:jc w:val="both"/>
        <w:rPr>
          <w:rFonts w:ascii="Arial" w:hAnsi="Arial" w:cs="Arial"/>
          <w:sz w:val="24"/>
          <w:szCs w:val="24"/>
        </w:rPr>
      </w:pPr>
      <w:r w:rsidRPr="00B518C9">
        <w:rPr>
          <w:rFonts w:ascii="Arial" w:hAnsi="Arial" w:cs="Arial"/>
          <w:sz w:val="24"/>
          <w:szCs w:val="24"/>
        </w:rPr>
        <w:t>SMMT (2025) 'Luxury, performance and niche vehicle makers report', </w:t>
      </w:r>
      <w:r w:rsidRPr="00B518C9">
        <w:rPr>
          <w:rFonts w:ascii="Arial" w:hAnsi="Arial" w:cs="Arial"/>
          <w:i/>
          <w:iCs/>
          <w:sz w:val="24"/>
          <w:szCs w:val="24"/>
        </w:rPr>
        <w:t>Society of Motor Manufacturers and Traders</w:t>
      </w:r>
      <w:r w:rsidRPr="00B518C9">
        <w:rPr>
          <w:rFonts w:ascii="Arial" w:hAnsi="Arial" w:cs="Arial"/>
          <w:sz w:val="24"/>
          <w:szCs w:val="24"/>
        </w:rPr>
        <w:t>, June. Available at: </w:t>
      </w:r>
      <w:hyperlink r:id="rId10" w:tgtFrame="_blank" w:history="1">
        <w:r w:rsidRPr="00B518C9">
          <w:rPr>
            <w:rStyle w:val="Hyperlink"/>
            <w:rFonts w:ascii="Arial" w:hAnsi="Arial" w:cs="Arial"/>
            <w:sz w:val="24"/>
            <w:szCs w:val="24"/>
          </w:rPr>
          <w:t>www.smmt.co.uk</w:t>
        </w:r>
      </w:hyperlink>
      <w:r w:rsidRPr="00B518C9">
        <w:rPr>
          <w:rFonts w:ascii="Arial" w:hAnsi="Arial" w:cs="Arial"/>
          <w:sz w:val="24"/>
          <w:szCs w:val="24"/>
        </w:rPr>
        <w:t xml:space="preserve"> (Accessed: </w:t>
      </w:r>
      <w:r w:rsidR="001472F9">
        <w:rPr>
          <w:rFonts w:ascii="Arial" w:hAnsi="Arial" w:cs="Arial"/>
          <w:sz w:val="24"/>
          <w:szCs w:val="24"/>
        </w:rPr>
        <w:t>28</w:t>
      </w:r>
      <w:r w:rsidRPr="00B518C9">
        <w:rPr>
          <w:rFonts w:ascii="Arial" w:hAnsi="Arial" w:cs="Arial"/>
          <w:sz w:val="24"/>
          <w:szCs w:val="24"/>
        </w:rPr>
        <w:t xml:space="preserve"> July 2026).</w:t>
      </w:r>
    </w:p>
    <w:p w14:paraId="5613221E" w14:textId="2503CCF9" w:rsidR="00B518C9" w:rsidRPr="00B518C9" w:rsidRDefault="00B518C9" w:rsidP="00B518C9">
      <w:pPr>
        <w:jc w:val="both"/>
        <w:rPr>
          <w:rFonts w:ascii="Arial" w:hAnsi="Arial" w:cs="Arial"/>
          <w:sz w:val="24"/>
          <w:szCs w:val="24"/>
        </w:rPr>
      </w:pPr>
      <w:r w:rsidRPr="00B518C9">
        <w:rPr>
          <w:rFonts w:ascii="Arial" w:hAnsi="Arial" w:cs="Arial"/>
          <w:sz w:val="24"/>
          <w:szCs w:val="24"/>
        </w:rPr>
        <w:t>Xinhua (2026) 'Aston Martin to cut up to 20 pct of jobs amid U.S. tariff pressure', </w:t>
      </w:r>
      <w:r w:rsidRPr="00B518C9">
        <w:rPr>
          <w:rFonts w:ascii="Arial" w:hAnsi="Arial" w:cs="Arial"/>
          <w:i/>
          <w:iCs/>
          <w:sz w:val="24"/>
          <w:szCs w:val="24"/>
        </w:rPr>
        <w:t>Xinhua</w:t>
      </w:r>
      <w:r w:rsidRPr="00B518C9">
        <w:rPr>
          <w:rFonts w:ascii="Arial" w:hAnsi="Arial" w:cs="Arial"/>
          <w:sz w:val="24"/>
          <w:szCs w:val="24"/>
        </w:rPr>
        <w:t>, 26 February. Available at: </w:t>
      </w:r>
      <w:hyperlink r:id="rId11" w:tgtFrame="_blank" w:history="1">
        <w:r w:rsidRPr="00B518C9">
          <w:rPr>
            <w:rStyle w:val="Hyperlink"/>
            <w:rFonts w:ascii="Arial" w:hAnsi="Arial" w:cs="Arial"/>
            <w:sz w:val="24"/>
            <w:szCs w:val="24"/>
          </w:rPr>
          <w:t>http://english.news.cn</w:t>
        </w:r>
      </w:hyperlink>
      <w:r w:rsidRPr="00B518C9">
        <w:rPr>
          <w:rFonts w:ascii="Arial" w:hAnsi="Arial" w:cs="Arial"/>
          <w:sz w:val="24"/>
          <w:szCs w:val="24"/>
        </w:rPr>
        <w:t xml:space="preserve"> (Accessed: </w:t>
      </w:r>
      <w:r w:rsidR="001472F9">
        <w:rPr>
          <w:rFonts w:ascii="Arial" w:hAnsi="Arial" w:cs="Arial"/>
          <w:sz w:val="24"/>
          <w:szCs w:val="24"/>
        </w:rPr>
        <w:t>28</w:t>
      </w:r>
      <w:r w:rsidRPr="00B518C9">
        <w:rPr>
          <w:rFonts w:ascii="Arial" w:hAnsi="Arial" w:cs="Arial"/>
          <w:sz w:val="24"/>
          <w:szCs w:val="24"/>
        </w:rPr>
        <w:t xml:space="preserve"> July 2026)</w:t>
      </w:r>
      <w:r w:rsidR="00667148">
        <w:rPr>
          <w:rFonts w:ascii="Arial" w:hAnsi="Arial" w:cs="Arial"/>
          <w:sz w:val="24"/>
          <w:szCs w:val="24"/>
        </w:rPr>
        <w:t>.</w:t>
      </w:r>
    </w:p>
    <w:p w14:paraId="31C846E0" w14:textId="77777777" w:rsidR="00D9409F" w:rsidRPr="00B518C9" w:rsidRDefault="00D9409F" w:rsidP="00B518C9">
      <w:pPr>
        <w:jc w:val="both"/>
        <w:rPr>
          <w:rFonts w:ascii="Arial" w:hAnsi="Arial" w:cs="Arial"/>
          <w:sz w:val="24"/>
          <w:szCs w:val="24"/>
        </w:rPr>
      </w:pPr>
    </w:p>
    <w:sectPr w:rsidR="00D9409F" w:rsidRPr="00B51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107E1"/>
    <w:multiLevelType w:val="hybridMultilevel"/>
    <w:tmpl w:val="F008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EF37A0"/>
    <w:multiLevelType w:val="hybridMultilevel"/>
    <w:tmpl w:val="5B5C7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F87218"/>
    <w:multiLevelType w:val="hybridMultilevel"/>
    <w:tmpl w:val="2C74BC0E"/>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F8A711F"/>
    <w:multiLevelType w:val="hybridMultilevel"/>
    <w:tmpl w:val="C6EA940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FBB62C4"/>
    <w:multiLevelType w:val="hybridMultilevel"/>
    <w:tmpl w:val="4858BB0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5342241"/>
    <w:multiLevelType w:val="hybridMultilevel"/>
    <w:tmpl w:val="3A52EE0E"/>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162484">
    <w:abstractNumId w:val="1"/>
  </w:num>
  <w:num w:numId="2" w16cid:durableId="1450315605">
    <w:abstractNumId w:val="2"/>
  </w:num>
  <w:num w:numId="3" w16cid:durableId="1639916983">
    <w:abstractNumId w:val="0"/>
  </w:num>
  <w:num w:numId="4" w16cid:durableId="1212577109">
    <w:abstractNumId w:val="5"/>
  </w:num>
  <w:num w:numId="5" w16cid:durableId="120654880">
    <w:abstractNumId w:val="3"/>
  </w:num>
  <w:num w:numId="6" w16cid:durableId="1474525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9EC"/>
    <w:rsid w:val="00024622"/>
    <w:rsid w:val="001472F9"/>
    <w:rsid w:val="001931FA"/>
    <w:rsid w:val="005047C5"/>
    <w:rsid w:val="005209EC"/>
    <w:rsid w:val="005A5343"/>
    <w:rsid w:val="00667148"/>
    <w:rsid w:val="00715250"/>
    <w:rsid w:val="0087215A"/>
    <w:rsid w:val="009037BA"/>
    <w:rsid w:val="00AC712A"/>
    <w:rsid w:val="00B518C9"/>
    <w:rsid w:val="00BB72A9"/>
    <w:rsid w:val="00CD5675"/>
    <w:rsid w:val="00D9409F"/>
    <w:rsid w:val="00D95619"/>
    <w:rsid w:val="00E145D1"/>
    <w:rsid w:val="00ED2D94"/>
    <w:rsid w:val="00F222C7"/>
    <w:rsid w:val="00FB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C0385"/>
  <w15:chartTrackingRefBased/>
  <w15:docId w15:val="{A5796E8D-FC78-4350-A6A9-A3D6BB675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8C9"/>
  </w:style>
  <w:style w:type="paragraph" w:styleId="Heading1">
    <w:name w:val="heading 1"/>
    <w:basedOn w:val="Normal"/>
    <w:next w:val="Normal"/>
    <w:link w:val="Heading1Char"/>
    <w:uiPriority w:val="9"/>
    <w:qFormat/>
    <w:rsid w:val="005209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09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09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09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09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09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9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9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9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9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09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09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09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09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09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09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09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09EC"/>
    <w:rPr>
      <w:rFonts w:eastAsiaTheme="majorEastAsia" w:cstheme="majorBidi"/>
      <w:color w:val="272727" w:themeColor="text1" w:themeTint="D8"/>
    </w:rPr>
  </w:style>
  <w:style w:type="paragraph" w:styleId="Title">
    <w:name w:val="Title"/>
    <w:basedOn w:val="Normal"/>
    <w:next w:val="Normal"/>
    <w:link w:val="TitleChar"/>
    <w:uiPriority w:val="10"/>
    <w:qFormat/>
    <w:rsid w:val="005209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9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09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09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09EC"/>
    <w:pPr>
      <w:spacing w:before="160"/>
      <w:jc w:val="center"/>
    </w:pPr>
    <w:rPr>
      <w:i/>
      <w:iCs/>
      <w:color w:val="404040" w:themeColor="text1" w:themeTint="BF"/>
    </w:rPr>
  </w:style>
  <w:style w:type="character" w:customStyle="1" w:styleId="QuoteChar">
    <w:name w:val="Quote Char"/>
    <w:basedOn w:val="DefaultParagraphFont"/>
    <w:link w:val="Quote"/>
    <w:uiPriority w:val="29"/>
    <w:rsid w:val="005209EC"/>
    <w:rPr>
      <w:i/>
      <w:iCs/>
      <w:color w:val="404040" w:themeColor="text1" w:themeTint="BF"/>
    </w:rPr>
  </w:style>
  <w:style w:type="paragraph" w:styleId="ListParagraph">
    <w:name w:val="List Paragraph"/>
    <w:basedOn w:val="Normal"/>
    <w:uiPriority w:val="34"/>
    <w:qFormat/>
    <w:rsid w:val="005209EC"/>
    <w:pPr>
      <w:ind w:left="720"/>
      <w:contextualSpacing/>
    </w:pPr>
  </w:style>
  <w:style w:type="character" w:styleId="IntenseEmphasis">
    <w:name w:val="Intense Emphasis"/>
    <w:basedOn w:val="DefaultParagraphFont"/>
    <w:uiPriority w:val="21"/>
    <w:qFormat/>
    <w:rsid w:val="005209EC"/>
    <w:rPr>
      <w:i/>
      <w:iCs/>
      <w:color w:val="0F4761" w:themeColor="accent1" w:themeShade="BF"/>
    </w:rPr>
  </w:style>
  <w:style w:type="paragraph" w:styleId="IntenseQuote">
    <w:name w:val="Intense Quote"/>
    <w:basedOn w:val="Normal"/>
    <w:next w:val="Normal"/>
    <w:link w:val="IntenseQuoteChar"/>
    <w:uiPriority w:val="30"/>
    <w:qFormat/>
    <w:rsid w:val="00520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09EC"/>
    <w:rPr>
      <w:i/>
      <w:iCs/>
      <w:color w:val="0F4761" w:themeColor="accent1" w:themeShade="BF"/>
    </w:rPr>
  </w:style>
  <w:style w:type="character" w:styleId="IntenseReference">
    <w:name w:val="Intense Reference"/>
    <w:basedOn w:val="DefaultParagraphFont"/>
    <w:uiPriority w:val="32"/>
    <w:qFormat/>
    <w:rsid w:val="005209EC"/>
    <w:rPr>
      <w:b/>
      <w:bCs/>
      <w:smallCaps/>
      <w:color w:val="0F4761" w:themeColor="accent1" w:themeShade="BF"/>
      <w:spacing w:val="5"/>
    </w:rPr>
  </w:style>
  <w:style w:type="paragraph" w:styleId="TOC1">
    <w:name w:val="toc 1"/>
    <w:basedOn w:val="Normal"/>
    <w:next w:val="Normal"/>
    <w:autoRedefine/>
    <w:uiPriority w:val="39"/>
    <w:unhideWhenUsed/>
    <w:rsid w:val="00B518C9"/>
    <w:pPr>
      <w:spacing w:after="100"/>
    </w:pPr>
  </w:style>
  <w:style w:type="paragraph" w:styleId="TOC2">
    <w:name w:val="toc 2"/>
    <w:basedOn w:val="Normal"/>
    <w:next w:val="Normal"/>
    <w:autoRedefine/>
    <w:uiPriority w:val="39"/>
    <w:unhideWhenUsed/>
    <w:rsid w:val="00B518C9"/>
    <w:pPr>
      <w:spacing w:after="100"/>
      <w:ind w:left="220"/>
    </w:pPr>
  </w:style>
  <w:style w:type="character" w:styleId="Hyperlink">
    <w:name w:val="Hyperlink"/>
    <w:basedOn w:val="DefaultParagraphFont"/>
    <w:uiPriority w:val="99"/>
    <w:unhideWhenUsed/>
    <w:rsid w:val="00B518C9"/>
    <w:rPr>
      <w:color w:val="467886" w:themeColor="hyperlink"/>
      <w:u w:val="single"/>
    </w:rPr>
  </w:style>
  <w:style w:type="character" w:styleId="UnresolvedMention">
    <w:name w:val="Unresolved Mention"/>
    <w:basedOn w:val="DefaultParagraphFont"/>
    <w:uiPriority w:val="99"/>
    <w:semiHidden/>
    <w:unhideWhenUsed/>
    <w:rsid w:val="00B51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tchrating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ints.nottingham.ac.uk/5653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tonmartin.com/corporate/investors/annual-report" TargetMode="External"/><Relationship Id="rId11" Type="http://schemas.openxmlformats.org/officeDocument/2006/relationships/hyperlink" Target="http://english.news.cn/" TargetMode="External"/><Relationship Id="rId5" Type="http://schemas.openxmlformats.org/officeDocument/2006/relationships/hyperlink" Target="https://www.astonmartin.com/" TargetMode="External"/><Relationship Id="rId10" Type="http://schemas.openxmlformats.org/officeDocument/2006/relationships/hyperlink" Target="https://www.smmt.co.uk/" TargetMode="External"/><Relationship Id="rId4" Type="http://schemas.openxmlformats.org/officeDocument/2006/relationships/webSettings" Target="webSettings.xml"/><Relationship Id="rId9" Type="http://schemas.openxmlformats.org/officeDocument/2006/relationships/hyperlink" Target="https://oic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928</TotalTime>
  <Pages>11</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Abbas (2010829)</dc:creator>
  <cp:keywords/>
  <dc:description/>
  <cp:lastModifiedBy>Hassan Abbas (2010829)</cp:lastModifiedBy>
  <cp:revision>10</cp:revision>
  <dcterms:created xsi:type="dcterms:W3CDTF">2026-07-30T20:26:00Z</dcterms:created>
  <dcterms:modified xsi:type="dcterms:W3CDTF">2026-07-31T11:55:00Z</dcterms:modified>
</cp:coreProperties>
</file>