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1F09BF53"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6B516E">
              <w:rPr>
                <w:rFonts w:ascii="Times New Roman" w:hAnsi="Times New Roman" w:cs="Times New Roman"/>
                <w:b/>
                <w:color w:val="auto"/>
                <w:sz w:val="48"/>
              </w:rPr>
              <w:t>Kelly Thomas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F202CA8"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6B516E">
              <w:rPr>
                <w:rFonts w:ascii="Times New Roman" w:hAnsi="Times New Roman" w:cs="Times New Roman"/>
                <w:b/>
                <w:color w:val="auto"/>
                <w:sz w:val="48"/>
              </w:rPr>
              <w:t xml:space="preserve"> </w:t>
            </w:r>
            <w:hyperlink r:id="rId11" w:history="1">
              <w:r w:rsidR="0055698A" w:rsidRPr="00681997">
                <w:rPr>
                  <w:rStyle w:val="Hyperlink"/>
                  <w:rFonts w:ascii="Times New Roman" w:hAnsi="Times New Roman" w:cs="Times New Roman"/>
                  <w:b/>
                  <w:sz w:val="48"/>
                </w:rPr>
                <w:t>KMGThomas@carmarthenshire.gov.uk</w:t>
              </w:r>
            </w:hyperlink>
          </w:p>
          <w:p w14:paraId="0A531B29" w14:textId="0CB59C0C" w:rsidR="0055698A" w:rsidRDefault="00000000" w:rsidP="005D3F07">
            <w:pPr>
              <w:overflowPunct/>
              <w:autoSpaceDE/>
              <w:autoSpaceDN/>
              <w:adjustRightInd/>
              <w:ind w:right="-957"/>
              <w:textAlignment w:val="auto"/>
              <w:rPr>
                <w:rFonts w:ascii="Times New Roman" w:hAnsi="Times New Roman" w:cs="Times New Roman"/>
                <w:b/>
                <w:color w:val="auto"/>
                <w:sz w:val="48"/>
              </w:rPr>
            </w:pPr>
            <w:hyperlink r:id="rId12" w:history="1">
              <w:r w:rsidR="0055698A" w:rsidRPr="00681997">
                <w:rPr>
                  <w:rStyle w:val="Hyperlink"/>
                  <w:rFonts w:ascii="Times New Roman" w:hAnsi="Times New Roman" w:cs="Times New Roman"/>
                  <w:b/>
                  <w:sz w:val="48"/>
                </w:rPr>
                <w:t>XxKellyGxx83@aol.com</w:t>
              </w:r>
            </w:hyperlink>
          </w:p>
          <w:p w14:paraId="2C93A7F3" w14:textId="77777777" w:rsidR="0055698A" w:rsidRDefault="0055698A" w:rsidP="005D3F07">
            <w:pPr>
              <w:overflowPunct/>
              <w:autoSpaceDE/>
              <w:autoSpaceDN/>
              <w:adjustRightInd/>
              <w:ind w:right="-957"/>
              <w:textAlignment w:val="auto"/>
              <w:rPr>
                <w:rFonts w:ascii="Times New Roman" w:hAnsi="Times New Roman" w:cs="Times New Roman"/>
                <w:b/>
                <w:color w:val="auto"/>
                <w:sz w:val="48"/>
              </w:rPr>
            </w:pP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2824BF4E" w14:textId="2A12D463" w:rsidR="0055698A" w:rsidRPr="005D3F07" w:rsidRDefault="0055698A"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2238484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lastRenderedPageBreak/>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206514B9" w14:textId="1061B7B7" w:rsidR="00FC0334"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7B098E71" w14:textId="77777777" w:rsidR="00121613" w:rsidRDefault="00121613" w:rsidP="00FF7EBB">
            <w:pPr>
              <w:jc w:val="both"/>
              <w:rPr>
                <w:sz w:val="24"/>
                <w:szCs w:val="24"/>
              </w:rPr>
            </w:pPr>
          </w:p>
          <w:p w14:paraId="1BC695F1" w14:textId="77777777" w:rsidR="00121613" w:rsidRPr="00121613" w:rsidRDefault="00121613" w:rsidP="00121613">
            <w:pPr>
              <w:jc w:val="both"/>
              <w:rPr>
                <w:sz w:val="24"/>
                <w:szCs w:val="24"/>
              </w:rPr>
            </w:pPr>
          </w:p>
          <w:p w14:paraId="2C72F433" w14:textId="0F8C32CD" w:rsidR="00121613" w:rsidRDefault="00121613" w:rsidP="00121613">
            <w:pPr>
              <w:jc w:val="both"/>
              <w:rPr>
                <w:sz w:val="24"/>
                <w:szCs w:val="24"/>
              </w:rPr>
            </w:pPr>
            <w:r w:rsidRPr="00121613">
              <w:rPr>
                <w:sz w:val="24"/>
                <w:szCs w:val="24"/>
              </w:rPr>
              <w:t>The United Nations Convention on the Right of the Child 1989 (</w:t>
            </w:r>
            <w:r w:rsidRPr="00A05C9D">
              <w:rPr>
                <w:i/>
                <w:iCs/>
                <w:sz w:val="24"/>
                <w:szCs w:val="24"/>
              </w:rPr>
              <w:t>UNCRC</w:t>
            </w:r>
            <w:r w:rsidR="00A05C9D" w:rsidRPr="00A05C9D">
              <w:rPr>
                <w:i/>
                <w:iCs/>
                <w:sz w:val="24"/>
                <w:szCs w:val="24"/>
              </w:rPr>
              <w:t xml:space="preserve"> 1989</w:t>
            </w:r>
            <w:r w:rsidRPr="00121613">
              <w:rPr>
                <w:sz w:val="24"/>
                <w:szCs w:val="24"/>
              </w:rPr>
              <w:t>) is the ‘most widely-ratified international human rights treaty in history’</w:t>
            </w:r>
            <w:r w:rsidR="00BB1276">
              <w:rPr>
                <w:sz w:val="24"/>
                <w:szCs w:val="24"/>
              </w:rPr>
              <w:t xml:space="preserve"> (UNICEF 2024)</w:t>
            </w:r>
            <w:r w:rsidRPr="00121613">
              <w:rPr>
                <w:sz w:val="24"/>
                <w:szCs w:val="24"/>
              </w:rPr>
              <w:t xml:space="preserve">. The </w:t>
            </w:r>
            <w:r w:rsidRPr="00A05C9D">
              <w:rPr>
                <w:i/>
                <w:iCs/>
                <w:sz w:val="24"/>
                <w:szCs w:val="24"/>
              </w:rPr>
              <w:t>UNCRC 1989</w:t>
            </w:r>
            <w:r w:rsidRPr="00121613">
              <w:rPr>
                <w:sz w:val="24"/>
                <w:szCs w:val="24"/>
              </w:rPr>
              <w:t xml:space="preserve"> specifies that every child has rights, with Article 4 stipulating that governments must ensure that children’s rights are promoted by creating systems and laws ensuring their protection. Within the UK the Children Act 1989 (</w:t>
            </w:r>
            <w:r w:rsidRPr="00A05C9D">
              <w:rPr>
                <w:i/>
                <w:iCs/>
                <w:sz w:val="24"/>
                <w:szCs w:val="24"/>
              </w:rPr>
              <w:t>CA 1989</w:t>
            </w:r>
            <w:r w:rsidRPr="00121613">
              <w:rPr>
                <w:sz w:val="24"/>
                <w:szCs w:val="24"/>
              </w:rPr>
              <w:t>), amended in 2004, has been the primary legislation governing practice with children, however, in Wales, health and social care have been devolved to Welsh Government. In April 2016 the Social Services and Well-being (Wales) Act 2014 (</w:t>
            </w:r>
            <w:r w:rsidRPr="00A05C9D">
              <w:rPr>
                <w:i/>
                <w:iCs/>
                <w:sz w:val="24"/>
                <w:szCs w:val="24"/>
              </w:rPr>
              <w:t>SSWB(W)A</w:t>
            </w:r>
            <w:r w:rsidR="00A05C9D" w:rsidRPr="00A05C9D">
              <w:rPr>
                <w:i/>
                <w:iCs/>
                <w:sz w:val="24"/>
                <w:szCs w:val="24"/>
              </w:rPr>
              <w:t xml:space="preserve"> 2014</w:t>
            </w:r>
            <w:r w:rsidRPr="00121613">
              <w:rPr>
                <w:sz w:val="24"/>
                <w:szCs w:val="24"/>
              </w:rPr>
              <w:t>) came into force as legislation governing practice specific to Wales, which includes safeguarding children.</w:t>
            </w:r>
          </w:p>
          <w:p w14:paraId="756AF221" w14:textId="77777777" w:rsidR="00121613" w:rsidRPr="00121613" w:rsidRDefault="00121613" w:rsidP="00121613">
            <w:pPr>
              <w:jc w:val="both"/>
              <w:rPr>
                <w:sz w:val="24"/>
                <w:szCs w:val="24"/>
              </w:rPr>
            </w:pPr>
          </w:p>
          <w:p w14:paraId="510F2477" w14:textId="4EF12DE7" w:rsidR="00121613" w:rsidRDefault="00121613" w:rsidP="00121613">
            <w:pPr>
              <w:jc w:val="both"/>
              <w:rPr>
                <w:sz w:val="24"/>
                <w:szCs w:val="24"/>
              </w:rPr>
            </w:pPr>
            <w:r w:rsidRPr="00FE02A6">
              <w:rPr>
                <w:i/>
                <w:iCs/>
                <w:sz w:val="24"/>
                <w:szCs w:val="24"/>
              </w:rPr>
              <w:t>SSWB(W)A 2014</w:t>
            </w:r>
            <w:r w:rsidRPr="00121613">
              <w:rPr>
                <w:sz w:val="24"/>
                <w:szCs w:val="24"/>
              </w:rPr>
              <w:t xml:space="preserve"> embeds the principles of the </w:t>
            </w:r>
            <w:r w:rsidRPr="00FE02A6">
              <w:rPr>
                <w:i/>
                <w:iCs/>
                <w:sz w:val="24"/>
                <w:szCs w:val="24"/>
              </w:rPr>
              <w:t>UNCRC 1989</w:t>
            </w:r>
            <w:r w:rsidRPr="00121613">
              <w:rPr>
                <w:sz w:val="24"/>
                <w:szCs w:val="24"/>
              </w:rPr>
              <w:t xml:space="preserve"> into its legislation, with part 7 detailing the duties and responsibilities around safeguarding, along with relevant guidance; ‘Working Together to Safeguard People Volume 5 Handling individual cases to protect children at risk’</w:t>
            </w:r>
            <w:r w:rsidR="007420D3">
              <w:rPr>
                <w:sz w:val="24"/>
                <w:szCs w:val="24"/>
              </w:rPr>
              <w:t xml:space="preserve"> (Welsh Government 2018)</w:t>
            </w:r>
            <w:r w:rsidRPr="00121613">
              <w:rPr>
                <w:sz w:val="24"/>
                <w:szCs w:val="24"/>
              </w:rPr>
              <w:t xml:space="preserve">. In line with Article 1 of the </w:t>
            </w:r>
            <w:r w:rsidRPr="00A370B6">
              <w:rPr>
                <w:i/>
                <w:iCs/>
                <w:sz w:val="24"/>
                <w:szCs w:val="24"/>
              </w:rPr>
              <w:t>UNCRC 1989, SSWB(W)A 2014</w:t>
            </w:r>
            <w:r w:rsidRPr="00121613">
              <w:rPr>
                <w:sz w:val="24"/>
                <w:szCs w:val="24"/>
              </w:rPr>
              <w:t xml:space="preserve"> defines a child as a person under 18, with section 130 defining a child at risk as ‘1. Is experiencing or is at risk of abuse, neglect or other kinds of harm; 2. Has needs for care and support</w:t>
            </w:r>
            <w:r w:rsidR="00561333">
              <w:rPr>
                <w:sz w:val="24"/>
                <w:szCs w:val="24"/>
              </w:rPr>
              <w:t xml:space="preserve"> </w:t>
            </w:r>
            <w:r w:rsidRPr="00121613">
              <w:rPr>
                <w:sz w:val="24"/>
                <w:szCs w:val="24"/>
              </w:rPr>
              <w:t>whether or not the authority is meeting any of those needs’</w:t>
            </w:r>
            <w:r w:rsidR="00C00891">
              <w:rPr>
                <w:sz w:val="24"/>
                <w:szCs w:val="24"/>
              </w:rPr>
              <w:t>.</w:t>
            </w:r>
            <w:r w:rsidRPr="00121613">
              <w:rPr>
                <w:sz w:val="24"/>
                <w:szCs w:val="24"/>
              </w:rPr>
              <w:t xml:space="preserve"> As detailed by Wales</w:t>
            </w:r>
            <w:r w:rsidR="00AF685A">
              <w:rPr>
                <w:sz w:val="24"/>
                <w:szCs w:val="24"/>
              </w:rPr>
              <w:t xml:space="preserve"> Safeguarding Procedures</w:t>
            </w:r>
            <w:r w:rsidR="00984A57">
              <w:rPr>
                <w:sz w:val="24"/>
                <w:szCs w:val="24"/>
              </w:rPr>
              <w:t xml:space="preserve"> (2019)</w:t>
            </w:r>
            <w:r w:rsidR="009B0329">
              <w:rPr>
                <w:sz w:val="24"/>
                <w:szCs w:val="24"/>
              </w:rPr>
              <w:t xml:space="preserve"> </w:t>
            </w:r>
            <w:r w:rsidRPr="00121613">
              <w:rPr>
                <w:sz w:val="24"/>
                <w:szCs w:val="24"/>
              </w:rPr>
              <w:t>the term ‘at risk’ doesn’t mean that abuse or harm has had to have occurred</w:t>
            </w:r>
            <w:r w:rsidR="009B0329">
              <w:rPr>
                <w:sz w:val="24"/>
                <w:szCs w:val="24"/>
              </w:rPr>
              <w:t xml:space="preserve">, </w:t>
            </w:r>
            <w:r w:rsidR="002708FC">
              <w:rPr>
                <w:sz w:val="24"/>
                <w:szCs w:val="24"/>
              </w:rPr>
              <w:t>furthermore</w:t>
            </w:r>
            <w:r w:rsidRPr="00121613">
              <w:rPr>
                <w:sz w:val="24"/>
                <w:szCs w:val="24"/>
              </w:rPr>
              <w:t>, ‘</w:t>
            </w:r>
            <w:r w:rsidR="00984A57">
              <w:rPr>
                <w:sz w:val="24"/>
                <w:szCs w:val="24"/>
              </w:rPr>
              <w:t>h</w:t>
            </w:r>
            <w:r w:rsidRPr="00121613">
              <w:rPr>
                <w:sz w:val="24"/>
                <w:szCs w:val="24"/>
              </w:rPr>
              <w:t>arm’ is described as ill treatment, inclusive of neglect, emotional and psychological abuse, sexual abuse, witnessing the ill treatment of others, and the impact upon a child’s development</w:t>
            </w:r>
            <w:r w:rsidR="002708FC">
              <w:rPr>
                <w:sz w:val="24"/>
                <w:szCs w:val="24"/>
              </w:rPr>
              <w:t xml:space="preserve"> </w:t>
            </w:r>
            <w:r w:rsidR="002708FC" w:rsidRPr="002708FC">
              <w:rPr>
                <w:sz w:val="24"/>
                <w:szCs w:val="24"/>
              </w:rPr>
              <w:t>(</w:t>
            </w:r>
            <w:r w:rsidR="00984A57">
              <w:rPr>
                <w:sz w:val="24"/>
                <w:szCs w:val="24"/>
              </w:rPr>
              <w:t>Welsh Government</w:t>
            </w:r>
            <w:r w:rsidR="002708FC" w:rsidRPr="002708FC">
              <w:rPr>
                <w:sz w:val="24"/>
                <w:szCs w:val="24"/>
              </w:rPr>
              <w:t>, 2024)</w:t>
            </w:r>
            <w:r w:rsidRPr="00121613">
              <w:rPr>
                <w:sz w:val="24"/>
                <w:szCs w:val="24"/>
              </w:rPr>
              <w:t xml:space="preserve">. Section 130 of </w:t>
            </w:r>
            <w:r w:rsidRPr="00925248">
              <w:rPr>
                <w:i/>
                <w:iCs/>
                <w:sz w:val="24"/>
                <w:szCs w:val="24"/>
              </w:rPr>
              <w:t>SSWB(W)A 2014</w:t>
            </w:r>
            <w:r w:rsidRPr="00121613">
              <w:rPr>
                <w:sz w:val="24"/>
                <w:szCs w:val="24"/>
              </w:rPr>
              <w:t xml:space="preserve"> places a duty on relevant partners and local authorities (LA) to report concerns if they’ve reasonable cause to suspect that a child is ‘at risk’ within their area. Section 162 </w:t>
            </w:r>
            <w:r w:rsidRPr="00925248">
              <w:rPr>
                <w:i/>
                <w:iCs/>
                <w:sz w:val="24"/>
                <w:szCs w:val="24"/>
              </w:rPr>
              <w:t>SSWB(W)A 2014</w:t>
            </w:r>
            <w:r w:rsidRPr="00121613">
              <w:rPr>
                <w:sz w:val="24"/>
                <w:szCs w:val="24"/>
              </w:rPr>
              <w:t xml:space="preserve"> specifies the relevant partners as the police, local health board, NHS trust, LA and probation service. If there are concerns about ‘significant harm’, to which there are no statutory </w:t>
            </w:r>
            <w:r w:rsidRPr="00121613">
              <w:rPr>
                <w:sz w:val="24"/>
                <w:szCs w:val="24"/>
              </w:rPr>
              <w:lastRenderedPageBreak/>
              <w:t xml:space="preserve">definitions, the LA can instigate enquiries under Section 47 of the </w:t>
            </w:r>
            <w:r w:rsidRPr="00925248">
              <w:rPr>
                <w:i/>
                <w:iCs/>
                <w:sz w:val="24"/>
                <w:szCs w:val="24"/>
              </w:rPr>
              <w:t>CA 1989</w:t>
            </w:r>
            <w:r w:rsidRPr="00121613">
              <w:rPr>
                <w:sz w:val="24"/>
                <w:szCs w:val="24"/>
              </w:rPr>
              <w:t xml:space="preserve">, which places a duty on LA’s to undertake enquiries it deems necessary to establish appropriate actions in relation to safeguarding children. On receipt of a concern the LA has 1 working day to determine the next step, be that no further action; an assessment under section 21 of </w:t>
            </w:r>
            <w:r w:rsidRPr="00925248">
              <w:rPr>
                <w:i/>
                <w:iCs/>
                <w:sz w:val="24"/>
                <w:szCs w:val="24"/>
              </w:rPr>
              <w:t>SSWB(W)A 2014</w:t>
            </w:r>
            <w:r w:rsidRPr="00121613">
              <w:rPr>
                <w:sz w:val="24"/>
                <w:szCs w:val="24"/>
              </w:rPr>
              <w:t xml:space="preserve">; immediate action; or enquiries under Section 47 of the </w:t>
            </w:r>
            <w:r w:rsidRPr="00281613">
              <w:rPr>
                <w:i/>
                <w:iCs/>
                <w:sz w:val="24"/>
                <w:szCs w:val="24"/>
              </w:rPr>
              <w:t>CA 1989</w:t>
            </w:r>
            <w:r w:rsidRPr="00121613">
              <w:rPr>
                <w:sz w:val="24"/>
                <w:szCs w:val="24"/>
              </w:rPr>
              <w:t xml:space="preserve">. They’d do this by holding a strategy meeting with the police.  </w:t>
            </w:r>
          </w:p>
          <w:p w14:paraId="29CD7ECC" w14:textId="77777777" w:rsidR="00121613" w:rsidRPr="00121613" w:rsidRDefault="00121613" w:rsidP="00121613">
            <w:pPr>
              <w:jc w:val="both"/>
              <w:rPr>
                <w:sz w:val="24"/>
                <w:szCs w:val="24"/>
              </w:rPr>
            </w:pPr>
          </w:p>
          <w:p w14:paraId="4CF6BE33" w14:textId="498C3717" w:rsidR="00121613" w:rsidRDefault="00121613" w:rsidP="00121613">
            <w:pPr>
              <w:jc w:val="both"/>
              <w:rPr>
                <w:sz w:val="24"/>
                <w:szCs w:val="24"/>
              </w:rPr>
            </w:pPr>
            <w:r w:rsidRPr="00121613">
              <w:rPr>
                <w:sz w:val="24"/>
                <w:szCs w:val="24"/>
              </w:rPr>
              <w:t xml:space="preserve">Section 134 of </w:t>
            </w:r>
            <w:r w:rsidRPr="00281613">
              <w:rPr>
                <w:i/>
                <w:iCs/>
                <w:sz w:val="24"/>
                <w:szCs w:val="24"/>
              </w:rPr>
              <w:t>SSWB(W)A 2014</w:t>
            </w:r>
            <w:r w:rsidRPr="00121613">
              <w:rPr>
                <w:sz w:val="24"/>
                <w:szCs w:val="24"/>
              </w:rPr>
              <w:t xml:space="preserve"> and the Safeguarding Boards (General) </w:t>
            </w:r>
            <w:r w:rsidR="00B45DAC">
              <w:rPr>
                <w:sz w:val="24"/>
                <w:szCs w:val="24"/>
              </w:rPr>
              <w:t xml:space="preserve">(Wales) </w:t>
            </w:r>
            <w:r w:rsidRPr="00121613">
              <w:rPr>
                <w:sz w:val="24"/>
                <w:szCs w:val="24"/>
              </w:rPr>
              <w:t xml:space="preserve">Regulations 2015 </w:t>
            </w:r>
            <w:r w:rsidR="00C25EC9">
              <w:rPr>
                <w:sz w:val="24"/>
                <w:szCs w:val="24"/>
              </w:rPr>
              <w:t xml:space="preserve">(legislation.gov, 2024) </w:t>
            </w:r>
            <w:r w:rsidRPr="00121613">
              <w:rPr>
                <w:sz w:val="24"/>
                <w:szCs w:val="24"/>
              </w:rPr>
              <w:t>detail areas in Wales where Safeguarding Children Boards are to be, along with highlighting the lead partner, and their duty to establish Safeguarding Boards in their respective areas. The role of the safeguarding board is to protect children in its area and includes representation from partner agencies who are involved in activities relating to children in the boards area. The safeguarding board covering the area I work is ‘Cysur’.</w:t>
            </w:r>
          </w:p>
          <w:p w14:paraId="36525358" w14:textId="77777777" w:rsidR="00121613" w:rsidRPr="00121613" w:rsidRDefault="00121613" w:rsidP="00121613">
            <w:pPr>
              <w:jc w:val="both"/>
              <w:rPr>
                <w:sz w:val="24"/>
                <w:szCs w:val="24"/>
              </w:rPr>
            </w:pPr>
          </w:p>
          <w:p w14:paraId="48061895" w14:textId="63CF4FF0" w:rsidR="00121613" w:rsidRDefault="00121613" w:rsidP="00121613">
            <w:pPr>
              <w:jc w:val="both"/>
              <w:rPr>
                <w:sz w:val="24"/>
                <w:szCs w:val="24"/>
              </w:rPr>
            </w:pPr>
            <w:r w:rsidRPr="00121613">
              <w:rPr>
                <w:sz w:val="24"/>
                <w:szCs w:val="24"/>
              </w:rPr>
              <w:t xml:space="preserve">On a localised level, </w:t>
            </w:r>
            <w:r w:rsidR="0056012B">
              <w:rPr>
                <w:sz w:val="24"/>
                <w:szCs w:val="24"/>
              </w:rPr>
              <w:t>my</w:t>
            </w:r>
            <w:r w:rsidRPr="00121613">
              <w:rPr>
                <w:sz w:val="24"/>
                <w:szCs w:val="24"/>
              </w:rPr>
              <w:t xml:space="preserve"> LA I have their own Corporate Safeguarding Policy which</w:t>
            </w:r>
            <w:r w:rsidR="00F20DDB">
              <w:rPr>
                <w:sz w:val="24"/>
                <w:szCs w:val="24"/>
              </w:rPr>
              <w:t xml:space="preserve"> defines</w:t>
            </w:r>
            <w:r w:rsidRPr="00121613">
              <w:rPr>
                <w:sz w:val="24"/>
                <w:szCs w:val="24"/>
              </w:rPr>
              <w:t xml:space="preserve"> the framework for individual service areas and employees in relation to their responsibilities of the protection of children and adults at risk.</w:t>
            </w:r>
            <w:r>
              <w:rPr>
                <w:sz w:val="24"/>
                <w:szCs w:val="24"/>
              </w:rPr>
              <w:t xml:space="preserve"> </w:t>
            </w:r>
          </w:p>
          <w:p w14:paraId="22EEDADD" w14:textId="77777777" w:rsidR="00121613" w:rsidRDefault="00121613" w:rsidP="00121613">
            <w:pPr>
              <w:jc w:val="both"/>
              <w:rPr>
                <w:sz w:val="24"/>
                <w:szCs w:val="24"/>
              </w:rPr>
            </w:pPr>
          </w:p>
          <w:p w14:paraId="0236CFCF" w14:textId="55A70504" w:rsidR="00121613" w:rsidRDefault="00121613" w:rsidP="00121613">
            <w:pPr>
              <w:jc w:val="both"/>
              <w:rPr>
                <w:sz w:val="24"/>
                <w:szCs w:val="24"/>
              </w:rPr>
            </w:pPr>
            <w:r>
              <w:rPr>
                <w:sz w:val="24"/>
                <w:szCs w:val="24"/>
              </w:rPr>
              <w:t>Word count: 54</w:t>
            </w:r>
            <w:r w:rsidR="00BF7F4D">
              <w:rPr>
                <w:sz w:val="24"/>
                <w:szCs w:val="24"/>
              </w:rPr>
              <w:t>7</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1AA3081F" w14:textId="25EF6650"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431647EA" w14:textId="77777777" w:rsidR="000057F4" w:rsidRDefault="000057F4" w:rsidP="00FC0334">
            <w:pPr>
              <w:jc w:val="both"/>
              <w:rPr>
                <w:i/>
                <w:sz w:val="24"/>
                <w:szCs w:val="24"/>
              </w:rPr>
            </w:pPr>
          </w:p>
          <w:p w14:paraId="3E3AE921" w14:textId="34A1396A" w:rsidR="00F03F74" w:rsidRDefault="00F03F74" w:rsidP="00F03F74">
            <w:pPr>
              <w:jc w:val="both"/>
              <w:rPr>
                <w:iCs/>
                <w:sz w:val="24"/>
                <w:szCs w:val="24"/>
              </w:rPr>
            </w:pPr>
            <w:r w:rsidRPr="00F03F74">
              <w:rPr>
                <w:iCs/>
                <w:sz w:val="24"/>
                <w:szCs w:val="24"/>
              </w:rPr>
              <w:t xml:space="preserve">Within Wales legislation governing practice contradicts one another in their definition of the age of an adult. </w:t>
            </w:r>
            <w:r w:rsidR="009E1B3B">
              <w:rPr>
                <w:iCs/>
                <w:sz w:val="24"/>
                <w:szCs w:val="24"/>
              </w:rPr>
              <w:t>T</w:t>
            </w:r>
            <w:r w:rsidRPr="00F03F74">
              <w:rPr>
                <w:iCs/>
                <w:sz w:val="24"/>
                <w:szCs w:val="24"/>
              </w:rPr>
              <w:t>he Social Services and Well-being (Wales) Act 2014 (</w:t>
            </w:r>
            <w:r w:rsidRPr="00C3407E">
              <w:rPr>
                <w:i/>
                <w:sz w:val="24"/>
                <w:szCs w:val="24"/>
              </w:rPr>
              <w:t>SSWB(W)A</w:t>
            </w:r>
            <w:r w:rsidR="00C3407E" w:rsidRPr="00C3407E">
              <w:rPr>
                <w:i/>
                <w:sz w:val="24"/>
                <w:szCs w:val="24"/>
              </w:rPr>
              <w:t xml:space="preserve"> 2014</w:t>
            </w:r>
            <w:r w:rsidRPr="00F03F74">
              <w:rPr>
                <w:iCs/>
                <w:sz w:val="24"/>
                <w:szCs w:val="24"/>
              </w:rPr>
              <w:t>) and the Children Act 1989 (</w:t>
            </w:r>
            <w:r w:rsidRPr="00C3407E">
              <w:rPr>
                <w:i/>
                <w:sz w:val="24"/>
                <w:szCs w:val="24"/>
              </w:rPr>
              <w:t>CA</w:t>
            </w:r>
            <w:r w:rsidR="00C3407E" w:rsidRPr="00C3407E">
              <w:rPr>
                <w:i/>
                <w:sz w:val="24"/>
                <w:szCs w:val="24"/>
              </w:rPr>
              <w:t xml:space="preserve"> 1989</w:t>
            </w:r>
            <w:r w:rsidRPr="00F03F74">
              <w:rPr>
                <w:iCs/>
                <w:sz w:val="24"/>
                <w:szCs w:val="24"/>
              </w:rPr>
              <w:t>) define an adult as over the age of 18. However, the Mental Capacity Act 2005 (</w:t>
            </w:r>
            <w:r w:rsidRPr="00C3407E">
              <w:rPr>
                <w:i/>
                <w:sz w:val="24"/>
                <w:szCs w:val="24"/>
              </w:rPr>
              <w:t>MCA</w:t>
            </w:r>
            <w:r w:rsidR="00C3407E" w:rsidRPr="00C3407E">
              <w:rPr>
                <w:i/>
                <w:sz w:val="24"/>
                <w:szCs w:val="24"/>
              </w:rPr>
              <w:t xml:space="preserve"> 2005</w:t>
            </w:r>
            <w:r w:rsidRPr="00F03F74">
              <w:rPr>
                <w:iCs/>
                <w:sz w:val="24"/>
                <w:szCs w:val="24"/>
              </w:rPr>
              <w:t xml:space="preserve">) applies to a person over the age of 16. Under </w:t>
            </w:r>
            <w:r w:rsidRPr="00C3407E">
              <w:rPr>
                <w:i/>
                <w:sz w:val="24"/>
                <w:szCs w:val="24"/>
              </w:rPr>
              <w:t>SSWB(W)A 2014</w:t>
            </w:r>
            <w:r w:rsidRPr="00F03F74">
              <w:rPr>
                <w:iCs/>
                <w:sz w:val="24"/>
                <w:szCs w:val="24"/>
              </w:rPr>
              <w:t xml:space="preserve"> there</w:t>
            </w:r>
            <w:r w:rsidR="00887C6C">
              <w:rPr>
                <w:iCs/>
                <w:sz w:val="24"/>
                <w:szCs w:val="24"/>
              </w:rPr>
              <w:t>’</w:t>
            </w:r>
            <w:r w:rsidRPr="00F03F74">
              <w:rPr>
                <w:iCs/>
                <w:sz w:val="24"/>
                <w:szCs w:val="24"/>
              </w:rPr>
              <w:t>s a duty placed upon relevant partners to report suspected neglect or abuse, and within both children and adults safeguarding, practice should be person</w:t>
            </w:r>
            <w:r w:rsidR="00791FCD">
              <w:rPr>
                <w:iCs/>
                <w:sz w:val="24"/>
                <w:szCs w:val="24"/>
              </w:rPr>
              <w:t>-</w:t>
            </w:r>
            <w:r w:rsidRPr="00F03F74">
              <w:rPr>
                <w:iCs/>
                <w:sz w:val="24"/>
                <w:szCs w:val="24"/>
              </w:rPr>
              <w:t xml:space="preserve">centred, and their voice placed at the centre. Reflecting upon the differences between children and adults safeguarding, with the </w:t>
            </w:r>
            <w:r w:rsidRPr="002A0238">
              <w:rPr>
                <w:i/>
                <w:sz w:val="24"/>
                <w:szCs w:val="24"/>
              </w:rPr>
              <w:t>MCA 2005</w:t>
            </w:r>
            <w:r w:rsidRPr="00F03F74">
              <w:rPr>
                <w:iCs/>
                <w:sz w:val="24"/>
                <w:szCs w:val="24"/>
              </w:rPr>
              <w:t xml:space="preserve"> in mind, one difference between them is their ability to consent to the safeguarding concerns being reported. </w:t>
            </w:r>
          </w:p>
          <w:p w14:paraId="4ECE6542" w14:textId="77777777" w:rsidR="0048526E" w:rsidRPr="00F03F74" w:rsidRDefault="0048526E" w:rsidP="00F03F74">
            <w:pPr>
              <w:jc w:val="both"/>
              <w:rPr>
                <w:iCs/>
                <w:sz w:val="24"/>
                <w:szCs w:val="24"/>
              </w:rPr>
            </w:pPr>
          </w:p>
          <w:p w14:paraId="750E7BB0" w14:textId="75E3F7D1" w:rsidR="00F03F74" w:rsidRDefault="00F03F74" w:rsidP="00F03F74">
            <w:pPr>
              <w:jc w:val="both"/>
              <w:rPr>
                <w:iCs/>
                <w:sz w:val="24"/>
                <w:szCs w:val="24"/>
              </w:rPr>
            </w:pPr>
            <w:r w:rsidRPr="00F03F74">
              <w:rPr>
                <w:iCs/>
                <w:sz w:val="24"/>
                <w:szCs w:val="24"/>
              </w:rPr>
              <w:t xml:space="preserve">The </w:t>
            </w:r>
            <w:r w:rsidRPr="002A0238">
              <w:rPr>
                <w:i/>
                <w:sz w:val="24"/>
                <w:szCs w:val="24"/>
              </w:rPr>
              <w:t>MCA 2005</w:t>
            </w:r>
            <w:r w:rsidRPr="00F03F74">
              <w:rPr>
                <w:iCs/>
                <w:sz w:val="24"/>
                <w:szCs w:val="24"/>
              </w:rPr>
              <w:t xml:space="preserve"> dictates that mental capacity should be assumed with persons over the age of 16 unless they’ve been assessed as lacking mental capacity. An adult who has mental capacity, has the right to make decisions for themselves, even if those decisions could be seen as unwise and risky by others, for example remaining within a domestic abuse relationship. Therefore, in relation to reporting safeguarding concerns, an adult has the right to withhold their consent to the concerns being reported or engaging with the safeguarding process. However, there are occasions whereby it's justifiable to override their decision, if for </w:t>
            </w:r>
            <w:r w:rsidRPr="00F03F74">
              <w:rPr>
                <w:iCs/>
                <w:sz w:val="24"/>
                <w:szCs w:val="24"/>
              </w:rPr>
              <w:lastRenderedPageBreak/>
              <w:t>example</w:t>
            </w:r>
            <w:r w:rsidR="0099682D">
              <w:rPr>
                <w:iCs/>
                <w:sz w:val="24"/>
                <w:szCs w:val="24"/>
              </w:rPr>
              <w:t xml:space="preserve"> </w:t>
            </w:r>
            <w:r w:rsidRPr="00F03F74">
              <w:rPr>
                <w:iCs/>
                <w:sz w:val="24"/>
                <w:szCs w:val="24"/>
              </w:rPr>
              <w:t>a crime’s been committed, a life-threatening situation, risk to others, or the person is unable to provide consent due to coercion</w:t>
            </w:r>
            <w:r w:rsidR="0099682D">
              <w:rPr>
                <w:iCs/>
                <w:sz w:val="24"/>
                <w:szCs w:val="24"/>
              </w:rPr>
              <w:t xml:space="preserve"> (Wales Safeguarding Procedures 2019</w:t>
            </w:r>
            <w:r w:rsidR="0045385E">
              <w:rPr>
                <w:iCs/>
                <w:sz w:val="24"/>
                <w:szCs w:val="24"/>
              </w:rPr>
              <w:t>. Welsh Government 2024</w:t>
            </w:r>
            <w:r w:rsidR="0099682D">
              <w:rPr>
                <w:iCs/>
                <w:sz w:val="24"/>
                <w:szCs w:val="24"/>
              </w:rPr>
              <w:t>)</w:t>
            </w:r>
            <w:r w:rsidRPr="00F03F74">
              <w:rPr>
                <w:iCs/>
                <w:sz w:val="24"/>
                <w:szCs w:val="24"/>
              </w:rPr>
              <w:t xml:space="preserve">.  </w:t>
            </w:r>
          </w:p>
          <w:p w14:paraId="3DAF94C8" w14:textId="77777777" w:rsidR="0048526E" w:rsidRPr="00F03F74" w:rsidRDefault="0048526E" w:rsidP="00F03F74">
            <w:pPr>
              <w:jc w:val="both"/>
              <w:rPr>
                <w:iCs/>
                <w:sz w:val="24"/>
                <w:szCs w:val="24"/>
              </w:rPr>
            </w:pPr>
          </w:p>
          <w:p w14:paraId="596C4400" w14:textId="3617FF54" w:rsidR="00F03F74" w:rsidRDefault="00F03F74" w:rsidP="00F03F74">
            <w:pPr>
              <w:jc w:val="both"/>
              <w:rPr>
                <w:iCs/>
                <w:sz w:val="24"/>
                <w:szCs w:val="24"/>
              </w:rPr>
            </w:pPr>
            <w:r w:rsidRPr="00F03F74">
              <w:rPr>
                <w:iCs/>
                <w:sz w:val="24"/>
                <w:szCs w:val="24"/>
              </w:rPr>
              <w:t xml:space="preserve">In relation to safeguarding children, although a practitioner should consult with the child regarding their consent in the decision to report the safeguarding concerns within a child centred approach, this isn’t always possible if it would place them at risk of harm. However, a child’s consent isn’t always required, nor is the parental consent, if there are concerns that the child is at risk of abuse or harm with the practitioner being able override their views by placing the referral. In looking into a child’s ability to consent under </w:t>
            </w:r>
            <w:r w:rsidRPr="000B1B93">
              <w:rPr>
                <w:i/>
                <w:sz w:val="24"/>
                <w:szCs w:val="24"/>
              </w:rPr>
              <w:t>SSWB(W)A 2014</w:t>
            </w:r>
            <w:r w:rsidRPr="00F03F74">
              <w:rPr>
                <w:iCs/>
                <w:sz w:val="24"/>
                <w:szCs w:val="24"/>
              </w:rPr>
              <w:t xml:space="preserve"> and the </w:t>
            </w:r>
            <w:r w:rsidRPr="000B1B93">
              <w:rPr>
                <w:i/>
                <w:sz w:val="24"/>
                <w:szCs w:val="24"/>
              </w:rPr>
              <w:t>CA 1989</w:t>
            </w:r>
            <w:r w:rsidRPr="00F03F74">
              <w:rPr>
                <w:iCs/>
                <w:sz w:val="24"/>
                <w:szCs w:val="24"/>
              </w:rPr>
              <w:t xml:space="preserve"> there is a duty to protect, however owing to the difference in the age of an adult under </w:t>
            </w:r>
            <w:r w:rsidRPr="000B1B93">
              <w:rPr>
                <w:i/>
                <w:sz w:val="24"/>
                <w:szCs w:val="24"/>
              </w:rPr>
              <w:t>MCA 2005</w:t>
            </w:r>
            <w:r w:rsidRPr="00F03F74">
              <w:rPr>
                <w:iCs/>
                <w:sz w:val="24"/>
                <w:szCs w:val="24"/>
              </w:rPr>
              <w:t>, the principles would need to be followed regarding their mental capacity regarding decision making. Consideration should be given to Gillick Competence and the relevant Fraser Guidelines, which looks at the child’s level of maturity to retain information, weigh-up the risks, and their understanding in relation to decision making, for such concerns as access to medical treatment and consent to sexual activity with another child under the age of 16</w:t>
            </w:r>
            <w:r w:rsidR="003E4816">
              <w:rPr>
                <w:iCs/>
                <w:sz w:val="24"/>
                <w:szCs w:val="24"/>
              </w:rPr>
              <w:t xml:space="preserve"> (NICE, 2023)</w:t>
            </w:r>
            <w:r w:rsidRPr="00F03F74">
              <w:rPr>
                <w:iCs/>
                <w:sz w:val="24"/>
                <w:szCs w:val="24"/>
              </w:rPr>
              <w:t>.</w:t>
            </w:r>
            <w:r>
              <w:rPr>
                <w:iCs/>
                <w:sz w:val="24"/>
                <w:szCs w:val="24"/>
              </w:rPr>
              <w:t xml:space="preserve"> </w:t>
            </w:r>
          </w:p>
          <w:p w14:paraId="3B11B6F0" w14:textId="77777777" w:rsidR="00F03F74" w:rsidRDefault="00F03F74" w:rsidP="00F03F74">
            <w:pPr>
              <w:jc w:val="both"/>
              <w:rPr>
                <w:iCs/>
                <w:sz w:val="24"/>
                <w:szCs w:val="24"/>
              </w:rPr>
            </w:pPr>
          </w:p>
          <w:p w14:paraId="2F31A367" w14:textId="17D98C9B" w:rsidR="000057F4" w:rsidRPr="00F03F74" w:rsidRDefault="00F03F74" w:rsidP="00F03F74">
            <w:pPr>
              <w:jc w:val="both"/>
              <w:rPr>
                <w:iCs/>
                <w:sz w:val="24"/>
                <w:szCs w:val="24"/>
              </w:rPr>
            </w:pPr>
            <w:r>
              <w:rPr>
                <w:iCs/>
                <w:sz w:val="24"/>
                <w:szCs w:val="24"/>
              </w:rPr>
              <w:t>Word count: 4</w:t>
            </w:r>
            <w:r w:rsidR="00AF584D">
              <w:rPr>
                <w:iCs/>
                <w:sz w:val="24"/>
                <w:szCs w:val="24"/>
              </w:rPr>
              <w:t>3</w:t>
            </w:r>
            <w:r w:rsidR="00FA62D3">
              <w:rPr>
                <w:iCs/>
                <w:sz w:val="24"/>
                <w:szCs w:val="24"/>
              </w:rPr>
              <w:t>9</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1D42A2" w14:textId="77777777" w:rsidR="007F3FD8" w:rsidRDefault="007F3FD8">
      <w:r>
        <w:separator/>
      </w:r>
    </w:p>
  </w:endnote>
  <w:endnote w:type="continuationSeparator" w:id="0">
    <w:p w14:paraId="630F03E9" w14:textId="77777777" w:rsidR="007F3FD8" w:rsidRDefault="007F3F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6D1B8B" w14:textId="77777777" w:rsidR="007F3FD8" w:rsidRDefault="007F3FD8">
      <w:r>
        <w:separator/>
      </w:r>
    </w:p>
  </w:footnote>
  <w:footnote w:type="continuationSeparator" w:id="0">
    <w:p w14:paraId="2CAFD85F" w14:textId="77777777" w:rsidR="007F3FD8" w:rsidRDefault="007F3F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057F4"/>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1B93"/>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21613"/>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08FC"/>
    <w:rsid w:val="0027147E"/>
    <w:rsid w:val="002761F4"/>
    <w:rsid w:val="002775E1"/>
    <w:rsid w:val="00277979"/>
    <w:rsid w:val="00281613"/>
    <w:rsid w:val="00291ADD"/>
    <w:rsid w:val="002920DF"/>
    <w:rsid w:val="00292F3D"/>
    <w:rsid w:val="00295CA1"/>
    <w:rsid w:val="002A0238"/>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816"/>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5E"/>
    <w:rsid w:val="004538C3"/>
    <w:rsid w:val="004608B9"/>
    <w:rsid w:val="00463B55"/>
    <w:rsid w:val="00465947"/>
    <w:rsid w:val="004667B1"/>
    <w:rsid w:val="00467F66"/>
    <w:rsid w:val="00470461"/>
    <w:rsid w:val="00470BB1"/>
    <w:rsid w:val="00473153"/>
    <w:rsid w:val="0047350F"/>
    <w:rsid w:val="004743AF"/>
    <w:rsid w:val="00482C17"/>
    <w:rsid w:val="00484CE3"/>
    <w:rsid w:val="0048526E"/>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698A"/>
    <w:rsid w:val="00557D77"/>
    <w:rsid w:val="0056012B"/>
    <w:rsid w:val="00561333"/>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16E"/>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20D3"/>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1FCD"/>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3FD8"/>
    <w:rsid w:val="007F4BA4"/>
    <w:rsid w:val="00813CEC"/>
    <w:rsid w:val="0081534C"/>
    <w:rsid w:val="00816CE7"/>
    <w:rsid w:val="008171E4"/>
    <w:rsid w:val="008208EA"/>
    <w:rsid w:val="00822B44"/>
    <w:rsid w:val="00824842"/>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4299"/>
    <w:rsid w:val="008844BA"/>
    <w:rsid w:val="008859E8"/>
    <w:rsid w:val="0088737B"/>
    <w:rsid w:val="00887C6C"/>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5248"/>
    <w:rsid w:val="00926436"/>
    <w:rsid w:val="00926C53"/>
    <w:rsid w:val="0093018C"/>
    <w:rsid w:val="0094495F"/>
    <w:rsid w:val="009544C0"/>
    <w:rsid w:val="00954FA4"/>
    <w:rsid w:val="00956AE9"/>
    <w:rsid w:val="00964CC6"/>
    <w:rsid w:val="00967BFA"/>
    <w:rsid w:val="0098262C"/>
    <w:rsid w:val="0098427C"/>
    <w:rsid w:val="00984A57"/>
    <w:rsid w:val="00986B43"/>
    <w:rsid w:val="00986C0B"/>
    <w:rsid w:val="00986D46"/>
    <w:rsid w:val="00991FDA"/>
    <w:rsid w:val="00992ACA"/>
    <w:rsid w:val="0099682D"/>
    <w:rsid w:val="009A5F3B"/>
    <w:rsid w:val="009A5F79"/>
    <w:rsid w:val="009A6F87"/>
    <w:rsid w:val="009B0329"/>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1B3B"/>
    <w:rsid w:val="009E4D2C"/>
    <w:rsid w:val="009F0978"/>
    <w:rsid w:val="009F3AEC"/>
    <w:rsid w:val="009F6801"/>
    <w:rsid w:val="00A00081"/>
    <w:rsid w:val="00A05C9D"/>
    <w:rsid w:val="00A06422"/>
    <w:rsid w:val="00A10D56"/>
    <w:rsid w:val="00A12AAE"/>
    <w:rsid w:val="00A12F22"/>
    <w:rsid w:val="00A16DD1"/>
    <w:rsid w:val="00A22441"/>
    <w:rsid w:val="00A23F3B"/>
    <w:rsid w:val="00A24406"/>
    <w:rsid w:val="00A25F64"/>
    <w:rsid w:val="00A275F6"/>
    <w:rsid w:val="00A303B9"/>
    <w:rsid w:val="00A370B6"/>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584D"/>
    <w:rsid w:val="00AF61C2"/>
    <w:rsid w:val="00AF685A"/>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5DAC"/>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1276"/>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BF7F4D"/>
    <w:rsid w:val="00C00891"/>
    <w:rsid w:val="00C01D14"/>
    <w:rsid w:val="00C01D97"/>
    <w:rsid w:val="00C025B4"/>
    <w:rsid w:val="00C029EC"/>
    <w:rsid w:val="00C161FD"/>
    <w:rsid w:val="00C17C9F"/>
    <w:rsid w:val="00C23F17"/>
    <w:rsid w:val="00C246F2"/>
    <w:rsid w:val="00C25EC9"/>
    <w:rsid w:val="00C26D0D"/>
    <w:rsid w:val="00C27C95"/>
    <w:rsid w:val="00C300D2"/>
    <w:rsid w:val="00C3270F"/>
    <w:rsid w:val="00C3278B"/>
    <w:rsid w:val="00C33375"/>
    <w:rsid w:val="00C3407E"/>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12B3"/>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056"/>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3F74"/>
    <w:rsid w:val="00F04053"/>
    <w:rsid w:val="00F06573"/>
    <w:rsid w:val="00F10A08"/>
    <w:rsid w:val="00F15354"/>
    <w:rsid w:val="00F15E6B"/>
    <w:rsid w:val="00F20DDB"/>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A62D3"/>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2A6"/>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5569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XxKellyGxx83@aol.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MGThomas@carmarthenshire.gov.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5</Pages>
  <Words>1144</Words>
  <Characters>6526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Kelly MG Thomas</cp:lastModifiedBy>
  <cp:revision>42</cp:revision>
  <cp:lastPrinted>2020-02-11T19:20:00Z</cp:lastPrinted>
  <dcterms:created xsi:type="dcterms:W3CDTF">2024-01-29T12:23:00Z</dcterms:created>
  <dcterms:modified xsi:type="dcterms:W3CDTF">2024-02-11T16:46:00Z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