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74622" w14:textId="77777777" w:rsidR="00AE4F4B" w:rsidRDefault="00000000">
      <w:pPr>
        <w:pBdr>
          <w:top w:val="nil"/>
          <w:left w:val="nil"/>
          <w:bottom w:val="nil"/>
          <w:right w:val="nil"/>
          <w:between w:val="nil"/>
        </w:pBdr>
        <w:spacing w:before="1540" w:after="240" w:line="240" w:lineRule="auto"/>
        <w:jc w:val="center"/>
        <w:rPr>
          <w:rFonts w:ascii="Calibri" w:eastAsia="Calibri" w:hAnsi="Calibri" w:cs="Calibri"/>
          <w:color w:val="5B9BD5"/>
          <w:sz w:val="22"/>
          <w:szCs w:val="22"/>
        </w:rPr>
      </w:pPr>
      <w:r>
        <w:rPr>
          <w:rFonts w:ascii="Calibri" w:eastAsia="Calibri" w:hAnsi="Calibri" w:cs="Calibri"/>
          <w:noProof/>
          <w:color w:val="5B9BD5"/>
          <w:sz w:val="22"/>
          <w:szCs w:val="22"/>
        </w:rPr>
        <w:drawing>
          <wp:inline distT="0" distB="0" distL="0" distR="0" wp14:anchorId="70BDC324" wp14:editId="3AF43E14">
            <wp:extent cx="1417320" cy="750898"/>
            <wp:effectExtent l="0" t="0" r="0" b="0"/>
            <wp:docPr id="14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417320" cy="750898"/>
                    </a:xfrm>
                    <a:prstGeom prst="rect">
                      <a:avLst/>
                    </a:prstGeom>
                    <a:ln/>
                  </pic:spPr>
                </pic:pic>
              </a:graphicData>
            </a:graphic>
          </wp:inline>
        </w:drawing>
      </w:r>
    </w:p>
    <w:p w14:paraId="24AA7E3D" w14:textId="77777777" w:rsidR="00AE4F4B" w:rsidRDefault="00000000">
      <w:pPr>
        <w:pBdr>
          <w:top w:val="single" w:sz="6" w:space="6" w:color="5B9BD5"/>
          <w:left w:val="nil"/>
          <w:bottom w:val="single" w:sz="6" w:space="6" w:color="5B9BD5"/>
          <w:right w:val="nil"/>
          <w:between w:val="nil"/>
        </w:pBdr>
        <w:spacing w:after="240" w:line="240" w:lineRule="auto"/>
        <w:jc w:val="center"/>
        <w:rPr>
          <w:smallCaps/>
          <w:color w:val="5B9BD5"/>
          <w:sz w:val="160"/>
          <w:szCs w:val="160"/>
        </w:rPr>
      </w:pPr>
      <w:r>
        <w:rPr>
          <w:color w:val="000000"/>
          <w:sz w:val="32"/>
          <w:szCs w:val="32"/>
        </w:rPr>
        <w:t>Module: Financial Management for the Hotel Industry</w:t>
      </w:r>
    </w:p>
    <w:p w14:paraId="3BB9B59D" w14:textId="77777777" w:rsidR="00AE4F4B" w:rsidRDefault="00000000">
      <w:pPr>
        <w:pBdr>
          <w:top w:val="nil"/>
          <w:left w:val="nil"/>
          <w:bottom w:val="nil"/>
          <w:right w:val="nil"/>
          <w:between w:val="nil"/>
        </w:pBdr>
        <w:spacing w:after="0" w:line="240" w:lineRule="auto"/>
        <w:jc w:val="center"/>
        <w:rPr>
          <w:color w:val="5B9BD5"/>
          <w:sz w:val="36"/>
          <w:szCs w:val="36"/>
        </w:rPr>
      </w:pPr>
      <w:r>
        <w:rPr>
          <w:color w:val="000000"/>
          <w:sz w:val="28"/>
          <w:szCs w:val="28"/>
        </w:rPr>
        <w:t>Module code: BMIH5007</w:t>
      </w:r>
    </w:p>
    <w:p w14:paraId="5E791E80" w14:textId="5904C10A" w:rsidR="00AE4F4B" w:rsidRDefault="00000000">
      <w:pPr>
        <w:pBdr>
          <w:top w:val="nil"/>
          <w:left w:val="nil"/>
          <w:bottom w:val="nil"/>
          <w:right w:val="nil"/>
          <w:between w:val="nil"/>
        </w:pBdr>
        <w:spacing w:before="480" w:after="0" w:line="240" w:lineRule="auto"/>
        <w:jc w:val="center"/>
        <w:rPr>
          <w:color w:val="000000"/>
          <w:sz w:val="28"/>
          <w:szCs w:val="28"/>
        </w:rPr>
      </w:pPr>
      <w:r>
        <w:rPr>
          <w:noProof/>
          <w:color w:val="5B9BD5"/>
          <w:sz w:val="28"/>
          <w:szCs w:val="28"/>
        </w:rPr>
        <mc:AlternateContent>
          <mc:Choice Requires="wpg">
            <w:drawing>
              <wp:anchor distT="0" distB="0" distL="114300" distR="114300" simplePos="0" relativeHeight="251658240" behindDoc="0" locked="0" layoutInCell="1" hidden="0" allowOverlap="1" wp14:anchorId="46FE64CD" wp14:editId="286DD6A7">
                <wp:simplePos x="0" y="0"/>
                <wp:positionH relativeFrom="margin">
                  <wp:align>center</wp:align>
                </wp:positionH>
                <wp:positionV relativeFrom="page">
                  <wp:posOffset>9083358</wp:posOffset>
                </wp:positionV>
                <wp:extent cx="6562725" cy="567309"/>
                <wp:effectExtent l="0" t="0" r="0" b="0"/>
                <wp:wrapNone/>
                <wp:docPr id="144" name="Rectangle 144"/>
                <wp:cNvGraphicFramePr/>
                <a:graphic xmlns:a="http://schemas.openxmlformats.org/drawingml/2006/main">
                  <a:graphicData uri="http://schemas.microsoft.com/office/word/2010/wordprocessingShape">
                    <wps:wsp>
                      <wps:cNvSpPr/>
                      <wps:spPr>
                        <a:xfrm>
                          <a:off x="2069400" y="3501108"/>
                          <a:ext cx="6553200" cy="557784"/>
                        </a:xfrm>
                        <a:prstGeom prst="rect">
                          <a:avLst/>
                        </a:prstGeom>
                        <a:noFill/>
                        <a:ln>
                          <a:noFill/>
                        </a:ln>
                      </wps:spPr>
                      <wps:txbx>
                        <w:txbxContent>
                          <w:p w14:paraId="24849973" w14:textId="77777777" w:rsidR="00AE4F4B" w:rsidRDefault="00000000">
                            <w:pPr>
                              <w:spacing w:after="40" w:line="240" w:lineRule="auto"/>
                              <w:jc w:val="center"/>
                              <w:textDirection w:val="btLr"/>
                            </w:pPr>
                            <w:r>
                              <w:rPr>
                                <w:rFonts w:ascii="Arial" w:eastAsia="Arial" w:hAnsi="Arial" w:cs="Arial"/>
                                <w:smallCaps/>
                                <w:color w:val="5B9BD5"/>
                                <w:sz w:val="28"/>
                              </w:rPr>
                              <w:t>[DATE]</w:t>
                            </w:r>
                          </w:p>
                          <w:p w14:paraId="0DFF908B" w14:textId="77777777" w:rsidR="00AE4F4B" w:rsidRDefault="00000000">
                            <w:pPr>
                              <w:spacing w:after="0" w:line="240" w:lineRule="auto"/>
                              <w:jc w:val="center"/>
                              <w:textDirection w:val="btLr"/>
                            </w:pPr>
                            <w:r>
                              <w:rPr>
                                <w:rFonts w:ascii="Arial" w:eastAsia="Arial" w:hAnsi="Arial" w:cs="Arial"/>
                                <w:smallCaps/>
                                <w:color w:val="5B9BD5"/>
                                <w:sz w:val="28"/>
                              </w:rPr>
                              <w:t>UNIVERSITY OF WALES TRINITY SAINT DAVID</w:t>
                            </w:r>
                          </w:p>
                          <w:p w14:paraId="2058EE14" w14:textId="77777777" w:rsidR="00AE4F4B" w:rsidRDefault="00000000">
                            <w:pPr>
                              <w:spacing w:after="0" w:line="240" w:lineRule="auto"/>
                              <w:jc w:val="center"/>
                              <w:textDirection w:val="btLr"/>
                            </w:pPr>
                            <w:r>
                              <w:rPr>
                                <w:rFonts w:ascii="Arial" w:eastAsia="Arial" w:hAnsi="Arial" w:cs="Arial"/>
                                <w:color w:val="5B9BD5"/>
                                <w:sz w:val="28"/>
                              </w:rPr>
                              <w:t xml:space="preserve">     </w:t>
                            </w:r>
                          </w:p>
                        </w:txbxContent>
                      </wps:txbx>
                      <wps:bodyPr spcFirstLastPara="1" wrap="square" lIns="0" tIns="0" rIns="0" bIns="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margin">
                  <wp:align>center</wp:align>
                </wp:positionH>
                <wp:positionV relativeFrom="page">
                  <wp:posOffset>9083358</wp:posOffset>
                </wp:positionV>
                <wp:extent cx="6562725" cy="567309"/>
                <wp:effectExtent b="0" l="0" r="0" t="0"/>
                <wp:wrapNone/>
                <wp:docPr id="144"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6562725" cy="567309"/>
                        </a:xfrm>
                        <a:prstGeom prst="rect"/>
                        <a:ln/>
                      </pic:spPr>
                    </pic:pic>
                  </a:graphicData>
                </a:graphic>
              </wp:anchor>
            </w:drawing>
          </mc:Fallback>
        </mc:AlternateContent>
      </w:r>
      <w:r>
        <w:rPr>
          <w:color w:val="000000"/>
          <w:sz w:val="28"/>
          <w:szCs w:val="28"/>
        </w:rPr>
        <w:t xml:space="preserve">Lecturer: </w:t>
      </w:r>
      <w:r w:rsidR="00A63AA3">
        <w:rPr>
          <w:color w:val="000000"/>
          <w:sz w:val="28"/>
          <w:szCs w:val="28"/>
        </w:rPr>
        <w:t>Chris Wilkin</w:t>
      </w:r>
    </w:p>
    <w:p w14:paraId="679405DD" w14:textId="77777777" w:rsidR="00AE4F4B" w:rsidRDefault="00000000">
      <w:pPr>
        <w:pBdr>
          <w:top w:val="nil"/>
          <w:left w:val="nil"/>
          <w:bottom w:val="nil"/>
          <w:right w:val="nil"/>
          <w:between w:val="nil"/>
        </w:pBdr>
        <w:spacing w:before="480" w:after="0" w:line="240" w:lineRule="auto"/>
        <w:jc w:val="center"/>
        <w:rPr>
          <w:color w:val="000000"/>
          <w:sz w:val="28"/>
          <w:szCs w:val="28"/>
        </w:rPr>
      </w:pPr>
      <w:r>
        <w:rPr>
          <w:color w:val="000000"/>
          <w:sz w:val="28"/>
          <w:szCs w:val="28"/>
        </w:rPr>
        <w:t>Assignment Title: Assignment 2: Marriott International</w:t>
      </w:r>
    </w:p>
    <w:p w14:paraId="34B1E8AC" w14:textId="77777777" w:rsidR="00AE4F4B" w:rsidRDefault="00000000">
      <w:pPr>
        <w:pBdr>
          <w:top w:val="nil"/>
          <w:left w:val="nil"/>
          <w:bottom w:val="nil"/>
          <w:right w:val="nil"/>
          <w:between w:val="nil"/>
        </w:pBdr>
        <w:spacing w:before="480" w:after="0" w:line="240" w:lineRule="auto"/>
        <w:jc w:val="center"/>
        <w:rPr>
          <w:color w:val="000000"/>
        </w:rPr>
      </w:pPr>
      <w:r>
        <w:rPr>
          <w:color w:val="000000"/>
        </w:rPr>
        <w:t xml:space="preserve">Student Name: </w:t>
      </w:r>
      <w:r>
        <w:t>Pirun Sheikh</w:t>
      </w:r>
    </w:p>
    <w:p w14:paraId="2837CBDA" w14:textId="77777777" w:rsidR="00AE4F4B" w:rsidRDefault="00000000">
      <w:pPr>
        <w:pBdr>
          <w:top w:val="nil"/>
          <w:left w:val="nil"/>
          <w:bottom w:val="nil"/>
          <w:right w:val="nil"/>
          <w:between w:val="nil"/>
        </w:pBdr>
        <w:spacing w:before="480" w:after="0" w:line="240" w:lineRule="auto"/>
        <w:jc w:val="center"/>
        <w:rPr>
          <w:color w:val="5B9BD5"/>
        </w:rPr>
      </w:pPr>
      <w:r>
        <w:rPr>
          <w:color w:val="000000"/>
        </w:rPr>
        <w:t xml:space="preserve">Student ID: </w:t>
      </w:r>
      <w:r>
        <w:t>1709532</w:t>
      </w:r>
    </w:p>
    <w:p w14:paraId="7F943AF7" w14:textId="77777777" w:rsidR="00AE4F4B" w:rsidRDefault="00000000">
      <w:pPr>
        <w:pStyle w:val="Heading1"/>
      </w:pPr>
      <w:bookmarkStart w:id="0" w:name="_heading=h.gjdgxs" w:colFirst="0" w:colLast="0"/>
      <w:bookmarkEnd w:id="0"/>
      <w:r>
        <w:br w:type="page"/>
      </w:r>
      <w:r>
        <w:lastRenderedPageBreak/>
        <w:t>Executive Summary</w:t>
      </w:r>
    </w:p>
    <w:p w14:paraId="74A70E96" w14:textId="77777777" w:rsidR="00AE4F4B" w:rsidRDefault="00000000">
      <w:r>
        <w:t xml:space="preserve">This report conducted financial ratio analysis on the performance and condition of business of Marriott Hotel. This is found out significantly that the profitability of the firm was improved in 2021 </w:t>
      </w:r>
      <w:proofErr w:type="gramStart"/>
      <w:r>
        <w:t>compare</w:t>
      </w:r>
      <w:proofErr w:type="gramEnd"/>
      <w:r>
        <w:t xml:space="preserve"> to 2020 when the liquidity of the also improved in 2021. However, the ability of the firm is not enough to cover its current obligation by its current asset. Even though the gearing ratio of the firm is not also attractive for the investor because the firm depends on debt mostly. </w:t>
      </w:r>
      <w:proofErr w:type="gramStart"/>
      <w:r>
        <w:t>So</w:t>
      </w:r>
      <w:proofErr w:type="gramEnd"/>
      <w:r>
        <w:t xml:space="preserve"> it is to recommend to the firm to reduce debt and also minimise the operational cost of the organisation to increase profitability.  </w:t>
      </w:r>
    </w:p>
    <w:p w14:paraId="47E7903F" w14:textId="77777777" w:rsidR="00AE4F4B" w:rsidRDefault="00AE4F4B"/>
    <w:p w14:paraId="19958F31" w14:textId="77777777" w:rsidR="00AE4F4B" w:rsidRDefault="00AE4F4B"/>
    <w:p w14:paraId="19A2F729" w14:textId="77777777" w:rsidR="00AE4F4B" w:rsidRDefault="00AE4F4B"/>
    <w:p w14:paraId="1BF0A7C1" w14:textId="77777777" w:rsidR="00AE4F4B" w:rsidRDefault="00AE4F4B"/>
    <w:p w14:paraId="7A605201" w14:textId="77777777" w:rsidR="00AE4F4B" w:rsidRDefault="00AE4F4B"/>
    <w:p w14:paraId="5C36E7B9" w14:textId="77777777" w:rsidR="00AE4F4B" w:rsidRDefault="00AE4F4B"/>
    <w:p w14:paraId="41648BAF" w14:textId="77777777" w:rsidR="00AE4F4B" w:rsidRDefault="00AE4F4B"/>
    <w:p w14:paraId="494F8C7E" w14:textId="77777777" w:rsidR="00AE4F4B" w:rsidRDefault="00AE4F4B"/>
    <w:p w14:paraId="0BCDA866" w14:textId="77777777" w:rsidR="00AE4F4B" w:rsidRDefault="00AE4F4B"/>
    <w:p w14:paraId="6BC216BC" w14:textId="77777777" w:rsidR="00AE4F4B" w:rsidRDefault="00AE4F4B"/>
    <w:p w14:paraId="0FEF27A8" w14:textId="77777777" w:rsidR="00AE4F4B" w:rsidRDefault="00AE4F4B"/>
    <w:p w14:paraId="64D10729" w14:textId="77777777" w:rsidR="00AE4F4B" w:rsidRDefault="00AE4F4B"/>
    <w:p w14:paraId="420C9366" w14:textId="77777777" w:rsidR="00AE4F4B" w:rsidRDefault="00AE4F4B"/>
    <w:p w14:paraId="777F9248" w14:textId="77777777" w:rsidR="00AE4F4B" w:rsidRDefault="00AE4F4B"/>
    <w:p w14:paraId="741BD960" w14:textId="77777777" w:rsidR="00AE4F4B" w:rsidRDefault="00AE4F4B"/>
    <w:p w14:paraId="6B6F3694" w14:textId="77777777" w:rsidR="00AE4F4B" w:rsidRDefault="00AE4F4B"/>
    <w:p w14:paraId="248DAB9A" w14:textId="77777777" w:rsidR="00AE4F4B" w:rsidRDefault="00AE4F4B"/>
    <w:p w14:paraId="69FCF2B5" w14:textId="77777777" w:rsidR="00AE4F4B" w:rsidRDefault="00AE4F4B"/>
    <w:p w14:paraId="27F7F9B3" w14:textId="77777777" w:rsidR="00AE4F4B" w:rsidRDefault="00000000">
      <w:pPr>
        <w:keepNext/>
        <w:keepLines/>
        <w:pBdr>
          <w:top w:val="nil"/>
          <w:left w:val="nil"/>
          <w:bottom w:val="nil"/>
          <w:right w:val="nil"/>
          <w:between w:val="nil"/>
        </w:pBdr>
        <w:spacing w:before="240" w:after="0"/>
        <w:jc w:val="center"/>
        <w:rPr>
          <w:color w:val="2E75B5"/>
          <w:sz w:val="32"/>
          <w:szCs w:val="32"/>
        </w:rPr>
      </w:pPr>
      <w:r>
        <w:rPr>
          <w:color w:val="2E75B5"/>
          <w:sz w:val="32"/>
          <w:szCs w:val="32"/>
        </w:rPr>
        <w:lastRenderedPageBreak/>
        <w:t>Table of Contents</w:t>
      </w:r>
    </w:p>
    <w:sdt>
      <w:sdtPr>
        <w:id w:val="-395975051"/>
        <w:docPartObj>
          <w:docPartGallery w:val="Table of Contents"/>
          <w:docPartUnique/>
        </w:docPartObj>
      </w:sdtPr>
      <w:sdtContent>
        <w:p w14:paraId="6F3309BD" w14:textId="77777777" w:rsidR="00AE4F4B"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heading=h.gjdgxs">
            <w:r>
              <w:rPr>
                <w:color w:val="000000"/>
              </w:rPr>
              <w:t>Executive Summary</w:t>
            </w:r>
            <w:r>
              <w:rPr>
                <w:color w:val="000000"/>
              </w:rPr>
              <w:tab/>
              <w:t>1</w:t>
            </w:r>
          </w:hyperlink>
        </w:p>
        <w:p w14:paraId="14097CF7" w14:textId="77777777" w:rsidR="00AE4F4B"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0j0zll">
            <w:r>
              <w:rPr>
                <w:color w:val="000000"/>
              </w:rPr>
              <w:t>Introduction</w:t>
            </w:r>
            <w:r>
              <w:rPr>
                <w:color w:val="000000"/>
              </w:rPr>
              <w:tab/>
              <w:t>3</w:t>
            </w:r>
          </w:hyperlink>
        </w:p>
        <w:p w14:paraId="4B0BD962" w14:textId="77777777" w:rsidR="00AE4F4B"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znysh7">
            <w:r>
              <w:rPr>
                <w:color w:val="000000"/>
              </w:rPr>
              <w:t>Financial Analysis Trends</w:t>
            </w:r>
            <w:r>
              <w:rPr>
                <w:color w:val="000000"/>
              </w:rPr>
              <w:tab/>
              <w:t>4</w:t>
            </w:r>
          </w:hyperlink>
        </w:p>
        <w:p w14:paraId="209F73A6" w14:textId="77777777" w:rsidR="00AE4F4B" w:rsidRDefault="00000000">
          <w:pPr>
            <w:pBdr>
              <w:top w:val="nil"/>
              <w:left w:val="nil"/>
              <w:bottom w:val="nil"/>
              <w:right w:val="nil"/>
              <w:between w:val="nil"/>
            </w:pBdr>
            <w:tabs>
              <w:tab w:val="right" w:pos="9016"/>
            </w:tabs>
            <w:spacing w:after="100"/>
            <w:ind w:left="220"/>
            <w:rPr>
              <w:rFonts w:ascii="Calibri" w:eastAsia="Calibri" w:hAnsi="Calibri" w:cs="Calibri"/>
              <w:color w:val="000000"/>
              <w:sz w:val="22"/>
              <w:szCs w:val="22"/>
            </w:rPr>
          </w:pPr>
          <w:hyperlink w:anchor="_heading=h.2et92p0">
            <w:r>
              <w:rPr>
                <w:color w:val="000000"/>
              </w:rPr>
              <w:t>Profitability</w:t>
            </w:r>
            <w:r>
              <w:rPr>
                <w:color w:val="000000"/>
              </w:rPr>
              <w:tab/>
              <w:t>4</w:t>
            </w:r>
          </w:hyperlink>
        </w:p>
        <w:p w14:paraId="20246220" w14:textId="77777777" w:rsidR="00AE4F4B" w:rsidRDefault="00000000">
          <w:pPr>
            <w:pBdr>
              <w:top w:val="nil"/>
              <w:left w:val="nil"/>
              <w:bottom w:val="nil"/>
              <w:right w:val="nil"/>
              <w:between w:val="nil"/>
            </w:pBdr>
            <w:tabs>
              <w:tab w:val="right" w:pos="9016"/>
            </w:tabs>
            <w:spacing w:after="100"/>
            <w:ind w:left="220"/>
            <w:rPr>
              <w:rFonts w:ascii="Calibri" w:eastAsia="Calibri" w:hAnsi="Calibri" w:cs="Calibri"/>
              <w:color w:val="000000"/>
              <w:sz w:val="22"/>
              <w:szCs w:val="22"/>
            </w:rPr>
          </w:pPr>
          <w:hyperlink w:anchor="_heading=h.3dy6vkm">
            <w:r>
              <w:rPr>
                <w:color w:val="000000"/>
              </w:rPr>
              <w:t>Liquidity</w:t>
            </w:r>
            <w:r>
              <w:rPr>
                <w:color w:val="000000"/>
              </w:rPr>
              <w:tab/>
              <w:t>7</w:t>
            </w:r>
          </w:hyperlink>
        </w:p>
        <w:p w14:paraId="2ED52FA8" w14:textId="77777777" w:rsidR="00AE4F4B" w:rsidRDefault="00000000">
          <w:pPr>
            <w:pBdr>
              <w:top w:val="nil"/>
              <w:left w:val="nil"/>
              <w:bottom w:val="nil"/>
              <w:right w:val="nil"/>
              <w:between w:val="nil"/>
            </w:pBdr>
            <w:tabs>
              <w:tab w:val="right" w:pos="9016"/>
            </w:tabs>
            <w:spacing w:after="100"/>
            <w:ind w:left="220"/>
            <w:rPr>
              <w:rFonts w:ascii="Calibri" w:eastAsia="Calibri" w:hAnsi="Calibri" w:cs="Calibri"/>
              <w:color w:val="000000"/>
              <w:sz w:val="22"/>
              <w:szCs w:val="22"/>
            </w:rPr>
          </w:pPr>
          <w:hyperlink w:anchor="_heading=h.4d34og8">
            <w:r>
              <w:rPr>
                <w:color w:val="000000"/>
              </w:rPr>
              <w:t>Gearing</w:t>
            </w:r>
            <w:r>
              <w:rPr>
                <w:color w:val="000000"/>
              </w:rPr>
              <w:tab/>
              <w:t>7</w:t>
            </w:r>
          </w:hyperlink>
        </w:p>
        <w:p w14:paraId="43920531" w14:textId="77777777" w:rsidR="00AE4F4B"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17dp8vu">
            <w:r>
              <w:rPr>
                <w:color w:val="000000"/>
              </w:rPr>
              <w:t>Knowledge from Ratio Analysis</w:t>
            </w:r>
            <w:r>
              <w:rPr>
                <w:color w:val="000000"/>
              </w:rPr>
              <w:tab/>
              <w:t>9</w:t>
            </w:r>
          </w:hyperlink>
        </w:p>
        <w:p w14:paraId="53DDF560" w14:textId="77777777" w:rsidR="00AE4F4B"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rdcrjn">
            <w:r>
              <w:rPr>
                <w:color w:val="000000"/>
              </w:rPr>
              <w:t>Benefits and Limitations of Ratio Analysis</w:t>
            </w:r>
            <w:r>
              <w:rPr>
                <w:color w:val="000000"/>
              </w:rPr>
              <w:tab/>
              <w:t>10</w:t>
            </w:r>
          </w:hyperlink>
        </w:p>
        <w:p w14:paraId="051B5625" w14:textId="77777777" w:rsidR="00AE4F4B"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26in1rg">
            <w:r>
              <w:rPr>
                <w:color w:val="000000"/>
              </w:rPr>
              <w:t>Conclusion</w:t>
            </w:r>
            <w:r>
              <w:rPr>
                <w:color w:val="000000"/>
              </w:rPr>
              <w:tab/>
              <w:t>11</w:t>
            </w:r>
          </w:hyperlink>
        </w:p>
        <w:p w14:paraId="04C47CFF" w14:textId="77777777" w:rsidR="00AE4F4B"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lnxbz9">
            <w:r>
              <w:rPr>
                <w:color w:val="000000"/>
              </w:rPr>
              <w:t>Reference list</w:t>
            </w:r>
            <w:r>
              <w:rPr>
                <w:color w:val="000000"/>
              </w:rPr>
              <w:tab/>
              <w:t>12</w:t>
            </w:r>
          </w:hyperlink>
        </w:p>
        <w:p w14:paraId="00FBF4EB" w14:textId="77777777" w:rsidR="00AE4F4B" w:rsidRDefault="00000000">
          <w:r>
            <w:fldChar w:fldCharType="end"/>
          </w:r>
        </w:p>
      </w:sdtContent>
    </w:sdt>
    <w:p w14:paraId="5CEF8A46" w14:textId="77777777" w:rsidR="00AE4F4B" w:rsidRDefault="00AE4F4B"/>
    <w:p w14:paraId="6C989464" w14:textId="77777777" w:rsidR="00AE4F4B" w:rsidRDefault="00AE4F4B"/>
    <w:p w14:paraId="3481BA63" w14:textId="77777777" w:rsidR="00AE4F4B" w:rsidRDefault="00AE4F4B"/>
    <w:p w14:paraId="6FD83DC1" w14:textId="77777777" w:rsidR="00AE4F4B" w:rsidRDefault="00AE4F4B"/>
    <w:p w14:paraId="55C6147E" w14:textId="77777777" w:rsidR="00AE4F4B" w:rsidRDefault="00AE4F4B"/>
    <w:p w14:paraId="2B0CF786" w14:textId="77777777" w:rsidR="00AE4F4B" w:rsidRDefault="00AE4F4B"/>
    <w:p w14:paraId="2B8089AD" w14:textId="77777777" w:rsidR="00AE4F4B" w:rsidRDefault="00AE4F4B"/>
    <w:p w14:paraId="7D2E7BF3" w14:textId="77777777" w:rsidR="00AE4F4B" w:rsidRDefault="00AE4F4B"/>
    <w:p w14:paraId="7B560BC4" w14:textId="77777777" w:rsidR="00AE4F4B" w:rsidRDefault="00AE4F4B"/>
    <w:p w14:paraId="2F0E4D06" w14:textId="77777777" w:rsidR="00AE4F4B" w:rsidRDefault="00AE4F4B"/>
    <w:p w14:paraId="52ADAB88" w14:textId="77777777" w:rsidR="00AE4F4B" w:rsidRDefault="00AE4F4B"/>
    <w:p w14:paraId="6B9A5DC4" w14:textId="77777777" w:rsidR="00AE4F4B" w:rsidRDefault="00AE4F4B"/>
    <w:p w14:paraId="1C0C0E7C" w14:textId="77777777" w:rsidR="00AE4F4B" w:rsidRDefault="00000000">
      <w:pPr>
        <w:pStyle w:val="Heading1"/>
      </w:pPr>
      <w:bookmarkStart w:id="1" w:name="_heading=h.30j0zll" w:colFirst="0" w:colLast="0"/>
      <w:bookmarkEnd w:id="1"/>
      <w:r>
        <w:lastRenderedPageBreak/>
        <w:t>Introduction</w:t>
      </w:r>
    </w:p>
    <w:p w14:paraId="15945C47" w14:textId="77777777" w:rsidR="00AE4F4B" w:rsidRDefault="00000000">
      <w:bookmarkStart w:id="2" w:name="_heading=h.1fob9te" w:colFirst="0" w:colLast="0"/>
      <w:bookmarkEnd w:id="2"/>
      <w:r>
        <w:t xml:space="preserve">The aim of this report is to analyse the financial performance and condition of business of Marriott. This study will explore the key trends of business’s performance </w:t>
      </w:r>
      <w:proofErr w:type="gramStart"/>
      <w:r>
        <w:t>and also</w:t>
      </w:r>
      <w:proofErr w:type="gramEnd"/>
      <w:r>
        <w:t xml:space="preserve"> include about three different types of financial ratios. However, the benefits and drawback of financial ratio analysis will be discussed here. After the Marriott Corporation split in two in 1993, Marriott International and Host Marriott Corporation emerged (Harrington, 2017). Overall, Marriott had 120,000 workers in 2021, down 0.83 percent from the previous year. However, it is found out that the firm faces huge loss during COVID-19 when the world faces lockdown. </w:t>
      </w:r>
    </w:p>
    <w:p w14:paraId="77A4D03A" w14:textId="77777777" w:rsidR="00AE4F4B" w:rsidRDefault="00AE4F4B"/>
    <w:p w14:paraId="08D5495E" w14:textId="77777777" w:rsidR="00AE4F4B" w:rsidRDefault="00AE4F4B"/>
    <w:p w14:paraId="796C5E35" w14:textId="77777777" w:rsidR="00AE4F4B" w:rsidRDefault="00AE4F4B"/>
    <w:p w14:paraId="4D6706E6" w14:textId="77777777" w:rsidR="00AE4F4B" w:rsidRDefault="00AE4F4B"/>
    <w:p w14:paraId="048071E9" w14:textId="77777777" w:rsidR="00AE4F4B" w:rsidRDefault="00AE4F4B"/>
    <w:p w14:paraId="4E9EAEA4" w14:textId="77777777" w:rsidR="00AE4F4B" w:rsidRDefault="00AE4F4B"/>
    <w:p w14:paraId="389EAFDB" w14:textId="77777777" w:rsidR="00AE4F4B" w:rsidRDefault="00AE4F4B"/>
    <w:p w14:paraId="3ACD3C13" w14:textId="77777777" w:rsidR="00AE4F4B" w:rsidRDefault="00AE4F4B"/>
    <w:p w14:paraId="6E8684BC" w14:textId="77777777" w:rsidR="00AE4F4B" w:rsidRDefault="00AE4F4B"/>
    <w:p w14:paraId="399F065A" w14:textId="77777777" w:rsidR="00AE4F4B" w:rsidRDefault="00AE4F4B"/>
    <w:p w14:paraId="24C36D75" w14:textId="77777777" w:rsidR="00AE4F4B" w:rsidRDefault="00AE4F4B"/>
    <w:p w14:paraId="784AF545" w14:textId="77777777" w:rsidR="00AE4F4B" w:rsidRDefault="00AE4F4B"/>
    <w:p w14:paraId="6EB05B1D" w14:textId="77777777" w:rsidR="00AE4F4B" w:rsidRDefault="00AE4F4B"/>
    <w:p w14:paraId="7EA45BE5" w14:textId="77777777" w:rsidR="00AE4F4B" w:rsidRDefault="00AE4F4B"/>
    <w:p w14:paraId="026663D8" w14:textId="77777777" w:rsidR="00AE4F4B" w:rsidRDefault="00AE4F4B"/>
    <w:p w14:paraId="2D110E7E" w14:textId="77777777" w:rsidR="00AE4F4B" w:rsidRDefault="00AE4F4B"/>
    <w:p w14:paraId="0265B406" w14:textId="77777777" w:rsidR="00AE4F4B" w:rsidRDefault="00AE4F4B"/>
    <w:p w14:paraId="12B7EFCC" w14:textId="77777777" w:rsidR="00AE4F4B" w:rsidRDefault="00AE4F4B"/>
    <w:p w14:paraId="35771FA2" w14:textId="77777777" w:rsidR="00AE4F4B" w:rsidRDefault="00000000">
      <w:pPr>
        <w:pStyle w:val="Heading1"/>
      </w:pPr>
      <w:bookmarkStart w:id="3" w:name="_heading=h.3znysh7" w:colFirst="0" w:colLast="0"/>
      <w:bookmarkEnd w:id="3"/>
      <w:r>
        <w:lastRenderedPageBreak/>
        <w:t>Financial Analysis Trends</w:t>
      </w:r>
    </w:p>
    <w:p w14:paraId="36054F03" w14:textId="77777777" w:rsidR="00AE4F4B" w:rsidRDefault="00000000">
      <w:r>
        <w:t>The analysis of financial trend refers the changes of percentage over the specific time period (</w:t>
      </w:r>
      <w:proofErr w:type="spellStart"/>
      <w:r>
        <w:t>Bhimani</w:t>
      </w:r>
      <w:proofErr w:type="spellEnd"/>
      <w:r>
        <w:t xml:space="preserve"> and Roberts, 2014). </w:t>
      </w:r>
      <w:proofErr w:type="gramStart"/>
      <w:r>
        <w:t>So</w:t>
      </w:r>
      <w:proofErr w:type="gramEnd"/>
      <w:r>
        <w:t xml:space="preserve"> this report will analyse the profitability, liquidity and gearing trends of Marriott hotel as followings.</w:t>
      </w:r>
      <w:r>
        <w:rPr>
          <w:rFonts w:ascii="Calibri" w:eastAsia="Calibri" w:hAnsi="Calibri" w:cs="Calibri"/>
          <w:sz w:val="22"/>
          <w:szCs w:val="22"/>
        </w:rPr>
        <w:t xml:space="preserve">  </w:t>
      </w:r>
    </w:p>
    <w:p w14:paraId="04B4F2AC" w14:textId="77777777" w:rsidR="00AE4F4B" w:rsidRDefault="00000000">
      <w:pPr>
        <w:pStyle w:val="Heading2"/>
      </w:pPr>
      <w:bookmarkStart w:id="4" w:name="_heading=h.2et92p0" w:colFirst="0" w:colLast="0"/>
      <w:bookmarkEnd w:id="4"/>
      <w:r>
        <w:t>Profitability</w:t>
      </w:r>
    </w:p>
    <w:p w14:paraId="2CCE5606" w14:textId="77777777" w:rsidR="00AE4F4B" w:rsidRDefault="00000000">
      <w:bookmarkStart w:id="5" w:name="_heading=h.tyjcwt" w:colFirst="0" w:colLast="0"/>
      <w:bookmarkEnd w:id="5"/>
      <w:r>
        <w:t>The term profitability can be divided into two separate part such as profit and ability (</w:t>
      </w:r>
      <w:proofErr w:type="spellStart"/>
      <w:r>
        <w:t>Bettner</w:t>
      </w:r>
      <w:proofErr w:type="spellEnd"/>
      <w:r>
        <w:t xml:space="preserve"> et al., 2003). It means that the ability of an organisation to generate profit for the organisation (Chen and Riordan, 2013). </w:t>
      </w:r>
      <w:proofErr w:type="gramStart"/>
      <w:r>
        <w:t>So</w:t>
      </w:r>
      <w:proofErr w:type="gramEnd"/>
      <w:r>
        <w:t xml:space="preserve"> the following report will discuss about net profit margin, ROI, Gross profit margin and operating margin to understand the trends of business. </w:t>
      </w:r>
    </w:p>
    <w:p w14:paraId="02C6FE19" w14:textId="77777777" w:rsidR="00AE4F4B" w:rsidRDefault="00000000">
      <w:pPr>
        <w:jc w:val="center"/>
      </w:pPr>
      <w:r>
        <w:rPr>
          <w:noProof/>
        </w:rPr>
        <w:drawing>
          <wp:inline distT="0" distB="0" distL="0" distR="0" wp14:anchorId="18D097C4" wp14:editId="155AFE8A">
            <wp:extent cx="4584700" cy="2755900"/>
            <wp:effectExtent l="0" t="0" r="0" b="0"/>
            <wp:docPr id="15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4584700" cy="2755900"/>
                    </a:xfrm>
                    <a:prstGeom prst="rect">
                      <a:avLst/>
                    </a:prstGeom>
                    <a:ln/>
                  </pic:spPr>
                </pic:pic>
              </a:graphicData>
            </a:graphic>
          </wp:inline>
        </w:drawing>
      </w:r>
    </w:p>
    <w:p w14:paraId="270EB75C" w14:textId="77777777" w:rsidR="00AE4F4B" w:rsidRDefault="00000000">
      <w:r>
        <w:t xml:space="preserve">This is found from the book of Subramanyam (2014) that gross profit margin of an organisation refers the ability of firm to generate gross profit from its revenue. This margin is found very much significant for the business organisation due to it presents an idea about ability to spend on operational expenses. However, it is seen in the above graph that the performance of Marriott is increased in 2021 </w:t>
      </w:r>
      <w:proofErr w:type="gramStart"/>
      <w:r>
        <w:t>compare</w:t>
      </w:r>
      <w:proofErr w:type="gramEnd"/>
      <w:r>
        <w:t xml:space="preserve"> to 2020. Due to lockdown for COVID-19 in 2020, the firm fails to earn expected revenue. As a result, the business opportunity to increase its ability to generate more gross profit. </w:t>
      </w:r>
    </w:p>
    <w:p w14:paraId="7A9D19B0" w14:textId="77777777" w:rsidR="00AE4F4B" w:rsidRDefault="00000000">
      <w:pPr>
        <w:jc w:val="center"/>
      </w:pPr>
      <w:r>
        <w:rPr>
          <w:noProof/>
        </w:rPr>
        <w:lastRenderedPageBreak/>
        <w:drawing>
          <wp:inline distT="0" distB="0" distL="0" distR="0" wp14:anchorId="5EE3C0C8" wp14:editId="6267B1E3">
            <wp:extent cx="4584700" cy="2755900"/>
            <wp:effectExtent l="0" t="0" r="0" b="0"/>
            <wp:docPr id="14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584700" cy="2755900"/>
                    </a:xfrm>
                    <a:prstGeom prst="rect">
                      <a:avLst/>
                    </a:prstGeom>
                    <a:ln/>
                  </pic:spPr>
                </pic:pic>
              </a:graphicData>
            </a:graphic>
          </wp:inline>
        </w:drawing>
      </w:r>
    </w:p>
    <w:p w14:paraId="77EF80E7" w14:textId="77777777" w:rsidR="00AE4F4B" w:rsidRDefault="00000000">
      <w:r>
        <w:t xml:space="preserve">According to </w:t>
      </w:r>
      <w:proofErr w:type="spellStart"/>
      <w:r>
        <w:t>Amirullah</w:t>
      </w:r>
      <w:proofErr w:type="spellEnd"/>
      <w:r>
        <w:t xml:space="preserve"> and </w:t>
      </w:r>
      <w:proofErr w:type="spellStart"/>
      <w:r>
        <w:t>Rahmawati</w:t>
      </w:r>
      <w:proofErr w:type="spellEnd"/>
      <w:r>
        <w:t xml:space="preserve"> (2019) net profit margin of an organisation refers the ability of a firm to generate net profit for the organisation. Marriott hotel operates its business in international market. Due to COVID-19 pandemic and lockdown situation, the firm fails to generate net profit in 2020. However, it is </w:t>
      </w:r>
      <w:proofErr w:type="gramStart"/>
      <w:r>
        <w:t>has</w:t>
      </w:r>
      <w:proofErr w:type="gramEnd"/>
      <w:r>
        <w:t xml:space="preserve"> improved its performance in 2021. Though the trends line shows downward slopping based on last six years’ data. The firm needs to </w:t>
      </w:r>
      <w:proofErr w:type="gramStart"/>
      <w:r>
        <w:t>concentrates</w:t>
      </w:r>
      <w:proofErr w:type="gramEnd"/>
      <w:r>
        <w:t xml:space="preserve"> on operating cost to improve the performance. Though the performance was declined in 2020 but it is found that </w:t>
      </w:r>
      <w:proofErr w:type="gramStart"/>
      <w:r>
        <w:t>the it</w:t>
      </w:r>
      <w:proofErr w:type="gramEnd"/>
      <w:r>
        <w:t xml:space="preserve"> maintains the average performance in 2021, comparison of last six years’ data. </w:t>
      </w:r>
    </w:p>
    <w:p w14:paraId="3A310372" w14:textId="77777777" w:rsidR="00AE4F4B" w:rsidRDefault="00000000">
      <w:pPr>
        <w:jc w:val="center"/>
      </w:pPr>
      <w:r>
        <w:rPr>
          <w:noProof/>
        </w:rPr>
        <w:drawing>
          <wp:inline distT="0" distB="0" distL="0" distR="0" wp14:anchorId="3F204D9F" wp14:editId="554EA5C7">
            <wp:extent cx="4584700" cy="2755900"/>
            <wp:effectExtent l="0" t="0" r="0" b="0"/>
            <wp:docPr id="15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584700" cy="2755900"/>
                    </a:xfrm>
                    <a:prstGeom prst="rect">
                      <a:avLst/>
                    </a:prstGeom>
                    <a:ln/>
                  </pic:spPr>
                </pic:pic>
              </a:graphicData>
            </a:graphic>
          </wp:inline>
        </w:drawing>
      </w:r>
    </w:p>
    <w:p w14:paraId="055E0B0D" w14:textId="77777777" w:rsidR="00AE4F4B" w:rsidRDefault="00000000">
      <w:r>
        <w:t xml:space="preserve">According to </w:t>
      </w:r>
      <w:proofErr w:type="spellStart"/>
      <w:r>
        <w:t>Jefriyanto</w:t>
      </w:r>
      <w:proofErr w:type="spellEnd"/>
      <w:r>
        <w:t xml:space="preserve"> (2021), operating profit margin helps the organisation and investor to understand about the how much capable a firm to earn profit after spending all operational expenses. It is found significantly that the Marriott hotel earns highest operating profit in 2021 </w:t>
      </w:r>
      <w:proofErr w:type="gramStart"/>
      <w:r>
        <w:lastRenderedPageBreak/>
        <w:t>compare</w:t>
      </w:r>
      <w:proofErr w:type="gramEnd"/>
      <w:r>
        <w:t xml:space="preserve"> to its last six years. </w:t>
      </w:r>
      <w:proofErr w:type="gramStart"/>
      <w:r>
        <w:t>So</w:t>
      </w:r>
      <w:proofErr w:type="gramEnd"/>
      <w:r>
        <w:t xml:space="preserve"> it could be said that the performance is improved in 2021 from 2020. On the other hand, trends line shows the downward slopping. </w:t>
      </w:r>
      <w:proofErr w:type="gramStart"/>
      <w:r>
        <w:t>So</w:t>
      </w:r>
      <w:proofErr w:type="gramEnd"/>
      <w:r>
        <w:t xml:space="preserve"> the firm needs to focus on more business strategy to reduce operational cost. </w:t>
      </w:r>
    </w:p>
    <w:p w14:paraId="03DAB503" w14:textId="77777777" w:rsidR="00AE4F4B" w:rsidRDefault="00000000">
      <w:pPr>
        <w:jc w:val="center"/>
      </w:pPr>
      <w:r>
        <w:rPr>
          <w:noProof/>
        </w:rPr>
        <w:drawing>
          <wp:inline distT="0" distB="0" distL="0" distR="0" wp14:anchorId="453A950A" wp14:editId="737480FD">
            <wp:extent cx="4584700" cy="2755900"/>
            <wp:effectExtent l="0" t="0" r="0" b="0"/>
            <wp:docPr id="15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584700" cy="2755900"/>
                    </a:xfrm>
                    <a:prstGeom prst="rect">
                      <a:avLst/>
                    </a:prstGeom>
                    <a:ln/>
                  </pic:spPr>
                </pic:pic>
              </a:graphicData>
            </a:graphic>
          </wp:inline>
        </w:drawing>
      </w:r>
    </w:p>
    <w:p w14:paraId="785EEBE9" w14:textId="77777777" w:rsidR="00AE4F4B" w:rsidRDefault="00000000">
      <w:r>
        <w:t xml:space="preserve">The ROI is found very much significant for the investor because this ratio helps to understand about the performance of organisation to employee the investment of investor (Chadwick, 2001). The higher ratio is always expected (de </w:t>
      </w:r>
      <w:proofErr w:type="spellStart"/>
      <w:r>
        <w:t>Mesnard</w:t>
      </w:r>
      <w:proofErr w:type="spellEnd"/>
      <w:r>
        <w:t xml:space="preserve">, 2015). As a result, this is found here that the performance of Marriott hotel is increased in 2021. Though the poor performance is found in 2020. Even it made loss in 2020. </w:t>
      </w:r>
      <w:proofErr w:type="gramStart"/>
      <w:r>
        <w:t>So</w:t>
      </w:r>
      <w:proofErr w:type="gramEnd"/>
      <w:r>
        <w:t xml:space="preserve"> the business organisation needs to focus on improving ROI of Marriott Hotel. </w:t>
      </w:r>
    </w:p>
    <w:p w14:paraId="6C8D2FD8" w14:textId="77777777" w:rsidR="00AE4F4B" w:rsidRDefault="00000000">
      <w:r>
        <w:t xml:space="preserve">Based on above discussion, it could be said that the performance of Marriott hotel is improved in 2021 </w:t>
      </w:r>
      <w:proofErr w:type="gramStart"/>
      <w:r>
        <w:t>compare</w:t>
      </w:r>
      <w:proofErr w:type="gramEnd"/>
      <w:r>
        <w:t xml:space="preserve"> to 2020. </w:t>
      </w:r>
    </w:p>
    <w:p w14:paraId="7F716860" w14:textId="77777777" w:rsidR="00AE4F4B" w:rsidRDefault="00000000">
      <w:pPr>
        <w:jc w:val="left"/>
        <w:rPr>
          <w:color w:val="2E75B5"/>
        </w:rPr>
      </w:pPr>
      <w:r>
        <w:br w:type="page"/>
      </w:r>
    </w:p>
    <w:p w14:paraId="3CBE3545" w14:textId="77777777" w:rsidR="00AE4F4B" w:rsidRDefault="00000000">
      <w:pPr>
        <w:pStyle w:val="Heading2"/>
      </w:pPr>
      <w:bookmarkStart w:id="6" w:name="_heading=h.3dy6vkm" w:colFirst="0" w:colLast="0"/>
      <w:bookmarkEnd w:id="6"/>
      <w:r>
        <w:lastRenderedPageBreak/>
        <w:t>Liquidity</w:t>
      </w:r>
    </w:p>
    <w:p w14:paraId="680E5E6C" w14:textId="77777777" w:rsidR="00AE4F4B" w:rsidRDefault="00000000">
      <w:bookmarkStart w:id="7" w:name="_heading=h.1t3h5sf" w:colFirst="0" w:colLast="0"/>
      <w:bookmarkEnd w:id="7"/>
      <w:r>
        <w:t>The liquidity ratio refers the ability of the firm to cover the current liabilities by its current and quick asset (Li, Sun and Wang, 2011). This ratio illustrates the current condition of business (</w:t>
      </w:r>
      <w:proofErr w:type="spellStart"/>
      <w:r>
        <w:t>Dyckman</w:t>
      </w:r>
      <w:proofErr w:type="spellEnd"/>
      <w:r>
        <w:t xml:space="preserve"> et al., 2017). </w:t>
      </w:r>
    </w:p>
    <w:p w14:paraId="0A494495" w14:textId="77777777" w:rsidR="00AE4F4B" w:rsidRDefault="00000000">
      <w:pPr>
        <w:jc w:val="center"/>
      </w:pPr>
      <w:r>
        <w:rPr>
          <w:noProof/>
        </w:rPr>
        <w:drawing>
          <wp:inline distT="0" distB="0" distL="0" distR="0" wp14:anchorId="57855A60" wp14:editId="31E90771">
            <wp:extent cx="4584700" cy="2755900"/>
            <wp:effectExtent l="0" t="0" r="0" b="0"/>
            <wp:docPr id="14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584700" cy="2755900"/>
                    </a:xfrm>
                    <a:prstGeom prst="rect">
                      <a:avLst/>
                    </a:prstGeom>
                    <a:ln/>
                  </pic:spPr>
                </pic:pic>
              </a:graphicData>
            </a:graphic>
          </wp:inline>
        </w:drawing>
      </w:r>
    </w:p>
    <w:p w14:paraId="37D8B875" w14:textId="77777777" w:rsidR="00AE4F4B" w:rsidRDefault="00000000">
      <w:r>
        <w:t>This is found that the current ratio of an organisation refers the capability of a firm to cover its current liabilities through current assets (</w:t>
      </w:r>
      <w:proofErr w:type="spellStart"/>
      <w:r>
        <w:t>Pilbeam</w:t>
      </w:r>
      <w:proofErr w:type="spellEnd"/>
      <w:r>
        <w:t>, 2013). This is found very much significant for an organisation to have higher current assets compare to current liabilities (</w:t>
      </w:r>
      <w:proofErr w:type="spellStart"/>
      <w:r>
        <w:t>Wulantika</w:t>
      </w:r>
      <w:proofErr w:type="spellEnd"/>
      <w:r>
        <w:t xml:space="preserve">, </w:t>
      </w:r>
      <w:proofErr w:type="spellStart"/>
      <w:r>
        <w:t>Hariyanto</w:t>
      </w:r>
      <w:proofErr w:type="spellEnd"/>
      <w:r>
        <w:t xml:space="preserve"> and </w:t>
      </w:r>
      <w:proofErr w:type="spellStart"/>
      <w:r>
        <w:t>Safitri</w:t>
      </w:r>
      <w:proofErr w:type="spellEnd"/>
      <w:r>
        <w:t xml:space="preserve">, 2018). However, the Marriott Hotel fails to ensure at least 1:1 ratio. Though it has improved its performance in 2021 from 2020. But the overall performance shows lack of capability to cover its obligation. However, it is found out that the liquidity ratio varies industry to industry. </w:t>
      </w:r>
    </w:p>
    <w:p w14:paraId="1029406A" w14:textId="77777777" w:rsidR="00AE4F4B" w:rsidRDefault="00000000">
      <w:r>
        <w:t xml:space="preserve">According to the above discussion it is clear here that the Marriott is not capable to cover its obligation by its current asset. </w:t>
      </w:r>
    </w:p>
    <w:p w14:paraId="1998E92B" w14:textId="77777777" w:rsidR="00AE4F4B" w:rsidRDefault="00000000">
      <w:pPr>
        <w:pStyle w:val="Heading2"/>
      </w:pPr>
      <w:bookmarkStart w:id="8" w:name="_heading=h.4d34og8" w:colFirst="0" w:colLast="0"/>
      <w:bookmarkEnd w:id="8"/>
      <w:r>
        <w:t>Gearing</w:t>
      </w:r>
    </w:p>
    <w:p w14:paraId="1A35D51D" w14:textId="77777777" w:rsidR="00AE4F4B" w:rsidRDefault="00000000">
      <w:bookmarkStart w:id="9" w:name="_heading=h.2s8eyo1" w:colFirst="0" w:colLast="0"/>
      <w:bookmarkEnd w:id="9"/>
      <w:r>
        <w:t xml:space="preserve">Gearing ratio presents the financial condition of a firm based on its debt and equity (Thomas and Harrison, 2019). </w:t>
      </w:r>
      <w:proofErr w:type="gramStart"/>
      <w:r>
        <w:t>So</w:t>
      </w:r>
      <w:proofErr w:type="gramEnd"/>
      <w:r>
        <w:t xml:space="preserve"> this report will present the gearing ratio of firm through debt to equity and long term debt to capital ratio. </w:t>
      </w:r>
    </w:p>
    <w:p w14:paraId="1E3D7FBF" w14:textId="77777777" w:rsidR="00AE4F4B" w:rsidRDefault="00000000">
      <w:pPr>
        <w:jc w:val="center"/>
      </w:pPr>
      <w:r>
        <w:rPr>
          <w:noProof/>
        </w:rPr>
        <w:lastRenderedPageBreak/>
        <w:drawing>
          <wp:inline distT="0" distB="0" distL="0" distR="0" wp14:anchorId="53CF4979" wp14:editId="5242957A">
            <wp:extent cx="4584700" cy="2755900"/>
            <wp:effectExtent l="0" t="0" r="0" b="0"/>
            <wp:docPr id="14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584700" cy="2755900"/>
                    </a:xfrm>
                    <a:prstGeom prst="rect">
                      <a:avLst/>
                    </a:prstGeom>
                    <a:ln/>
                  </pic:spPr>
                </pic:pic>
              </a:graphicData>
            </a:graphic>
          </wp:inline>
        </w:drawing>
      </w:r>
    </w:p>
    <w:p w14:paraId="385A7D6E" w14:textId="77777777" w:rsidR="00AE4F4B" w:rsidRDefault="00000000">
      <w:r>
        <w:t xml:space="preserve">This ratio refers the condition of debt </w:t>
      </w:r>
      <w:proofErr w:type="gramStart"/>
      <w:r>
        <w:t>compare</w:t>
      </w:r>
      <w:proofErr w:type="gramEnd"/>
      <w:r>
        <w:t xml:space="preserve"> to equity. This is found out here that Marriott Hotel prefers to raise fund from debt </w:t>
      </w:r>
      <w:proofErr w:type="gramStart"/>
      <w:r>
        <w:t>compare</w:t>
      </w:r>
      <w:proofErr w:type="gramEnd"/>
      <w:r>
        <w:t xml:space="preserve"> to equity (Subramanyam, 2014). The trend line shows the upward slop. It means compare takes more loan </w:t>
      </w:r>
      <w:proofErr w:type="gramStart"/>
      <w:r>
        <w:t>compare</w:t>
      </w:r>
      <w:proofErr w:type="gramEnd"/>
      <w:r>
        <w:t xml:space="preserve"> to allocate equity. However, it is difficult to measure the performance because each firm has own business strategy. In this regard, the Marriott Hotel has reduced to finance from debt in 2021 </w:t>
      </w:r>
      <w:proofErr w:type="gramStart"/>
      <w:r>
        <w:t>compare</w:t>
      </w:r>
      <w:proofErr w:type="gramEnd"/>
      <w:r>
        <w:t xml:space="preserve"> to 2020. It is a good sign because it will reduce the cost of interest. </w:t>
      </w:r>
    </w:p>
    <w:p w14:paraId="028AC3E6" w14:textId="77777777" w:rsidR="00AE4F4B" w:rsidRDefault="00000000">
      <w:pPr>
        <w:jc w:val="center"/>
      </w:pPr>
      <w:r>
        <w:rPr>
          <w:noProof/>
        </w:rPr>
        <w:drawing>
          <wp:inline distT="0" distB="0" distL="0" distR="0" wp14:anchorId="5F6D4016" wp14:editId="7D4072DE">
            <wp:extent cx="4584700" cy="2755900"/>
            <wp:effectExtent l="0" t="0" r="0" b="0"/>
            <wp:docPr id="14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584700" cy="2755900"/>
                    </a:xfrm>
                    <a:prstGeom prst="rect">
                      <a:avLst/>
                    </a:prstGeom>
                    <a:ln/>
                  </pic:spPr>
                </pic:pic>
              </a:graphicData>
            </a:graphic>
          </wp:inline>
        </w:drawing>
      </w:r>
    </w:p>
    <w:p w14:paraId="208A075A" w14:textId="77777777" w:rsidR="00AE4F4B" w:rsidRDefault="00000000">
      <w:r>
        <w:t xml:space="preserve">The ratio refers the condition of business through its long-term debt and capital. This is found here that the firm focuses on debt capital mostly (Needles and Powers, 2012). It mostly manages capital from debt sources. The debt ratio is always higher than equity ratio (de </w:t>
      </w:r>
      <w:proofErr w:type="spellStart"/>
      <w:r>
        <w:t>Mesnard</w:t>
      </w:r>
      <w:proofErr w:type="spellEnd"/>
      <w:r>
        <w:t xml:space="preserve">, 2015). As a result, Marriott Hotel needs to pay more interest and lower taxes. This </w:t>
      </w:r>
      <w:proofErr w:type="gramStart"/>
      <w:r>
        <w:lastRenderedPageBreak/>
        <w:t>cause</w:t>
      </w:r>
      <w:proofErr w:type="gramEnd"/>
      <w:r>
        <w:t xml:space="preserve"> the firm to imbalance in debt and equity. However, the firm decided to reduce the ratio in 2021. It takes lower debt </w:t>
      </w:r>
      <w:proofErr w:type="gramStart"/>
      <w:r>
        <w:t>compare</w:t>
      </w:r>
      <w:proofErr w:type="gramEnd"/>
      <w:r>
        <w:t xml:space="preserve"> to 2020.   </w:t>
      </w:r>
    </w:p>
    <w:p w14:paraId="6A48D565" w14:textId="77777777" w:rsidR="00AE4F4B" w:rsidRDefault="00000000">
      <w:pPr>
        <w:pStyle w:val="Heading1"/>
      </w:pPr>
      <w:bookmarkStart w:id="10" w:name="_heading=h.17dp8vu" w:colFirst="0" w:colLast="0"/>
      <w:bookmarkEnd w:id="10"/>
      <w:r>
        <w:t>Knowledge from Ratio Analysis</w:t>
      </w:r>
    </w:p>
    <w:p w14:paraId="072F8266" w14:textId="77777777" w:rsidR="00AE4F4B" w:rsidRDefault="00000000">
      <w:r>
        <w:t>It is necessary to analyse the financial performance of the company so that the information served by the company through its financial statements can be analysed properly. The context is also significant for analysing financial information of Marriott International. However, due to certain constraints and limitations of ratio analysis, the purpose may not be obtained. Those limitations can be demonstrated here:</w:t>
      </w:r>
    </w:p>
    <w:p w14:paraId="44AA3C73" w14:textId="77777777" w:rsidR="00AE4F4B" w:rsidRDefault="00000000">
      <w:r>
        <w:rPr>
          <w:b/>
        </w:rPr>
        <w:t xml:space="preserve">Using historical information: </w:t>
      </w:r>
      <w:r>
        <w:t xml:space="preserve">For conducting ratio analysis from the financial statements, Marriott International </w:t>
      </w:r>
      <w:proofErr w:type="gramStart"/>
      <w:r>
        <w:t>has to</w:t>
      </w:r>
      <w:proofErr w:type="gramEnd"/>
      <w:r>
        <w:t xml:space="preserve"> use historical information which is based on past results. As a result, the context cannot necessarily provide future company performance which disrupts the analysis information of the company (Subramanyam, 2014). Financial metrics can get changed over the time and it is necessary to adjust the scenario. There is no option to adjust the financial information used in ratio analysis, actual financial performance may not be obtained.</w:t>
      </w:r>
    </w:p>
    <w:p w14:paraId="51DDE6DC" w14:textId="77777777" w:rsidR="00AE4F4B" w:rsidRDefault="00000000">
      <w:r>
        <w:rPr>
          <w:b/>
        </w:rPr>
        <w:t xml:space="preserve">Having inflationary effects: </w:t>
      </w:r>
      <w:r>
        <w:t>One of the most common issues of ratio analysis is that it is affected from inflationary effects. Marriot International can release financial information periodically for which there may prevail time difference. Inflation can get occurred anytime for which the information does not carry the actual scenery and price value of the financial information. As a result, the prospect of analysing financial information from financial statements cannot be performed as per the expectation (Gibson, 2013).</w:t>
      </w:r>
    </w:p>
    <w:p w14:paraId="48EE7304" w14:textId="77777777" w:rsidR="00AE4F4B" w:rsidRDefault="00000000">
      <w:r>
        <w:rPr>
          <w:b/>
        </w:rPr>
        <w:t xml:space="preserve">Changing accounting policy: </w:t>
      </w:r>
      <w:r>
        <w:t xml:space="preserve">Marriott International may require </w:t>
      </w:r>
      <w:proofErr w:type="gramStart"/>
      <w:r>
        <w:t>to change</w:t>
      </w:r>
      <w:proofErr w:type="gramEnd"/>
      <w:r>
        <w:t xml:space="preserve"> its accounting policies for preparing financial reports to share information to the accounting users (Subramanyam, 2014). The context affects the actual information financial reports because of different metrics in that case get affected for which the changing orientation cannot be compared with the recorded data. The purpose of evaluating financial information in that case cannot be maintained in differently (</w:t>
      </w:r>
      <w:proofErr w:type="spellStart"/>
      <w:r>
        <w:t>Wahlen</w:t>
      </w:r>
      <w:proofErr w:type="spellEnd"/>
      <w:r>
        <w:t xml:space="preserve">, Bradshaw and </w:t>
      </w:r>
      <w:proofErr w:type="spellStart"/>
      <w:r>
        <w:t>Baginski</w:t>
      </w:r>
      <w:proofErr w:type="spellEnd"/>
      <w:r>
        <w:t>, 2018).</w:t>
      </w:r>
    </w:p>
    <w:p w14:paraId="7EBF4C45" w14:textId="77777777" w:rsidR="00AE4F4B" w:rsidRDefault="00000000">
      <w:r>
        <w:rPr>
          <w:b/>
        </w:rPr>
        <w:t xml:space="preserve">Having operational changes: </w:t>
      </w:r>
      <w:r>
        <w:t xml:space="preserve">It can be necessary for Marriot International change its operational activities and structure for the purpose of conducting its business. The changes can be significant and financial metrics can be affected in that case. The prospect of comparing financial metrics before and after the operational changes can mislead information to the accounting users for which financial performance cannot be understood </w:t>
      </w:r>
      <w:proofErr w:type="gramStart"/>
      <w:r>
        <w:t>to</w:t>
      </w:r>
      <w:proofErr w:type="gramEnd"/>
      <w:r>
        <w:t xml:space="preserve"> properly. As a result, </w:t>
      </w:r>
      <w:r>
        <w:lastRenderedPageBreak/>
        <w:t>decision making process of different stakeholders and accounting inserts cannot be performed effectively (Gibson, 2013).</w:t>
      </w:r>
    </w:p>
    <w:p w14:paraId="0BDE01E2" w14:textId="77777777" w:rsidR="00AE4F4B" w:rsidRDefault="00000000">
      <w:r>
        <w:rPr>
          <w:b/>
        </w:rPr>
        <w:t xml:space="preserve">Having seasonal effects: </w:t>
      </w:r>
      <w:r>
        <w:t xml:space="preserve">There seasonal factors also affect the orientation of financial information through a conducting ratio analysis. It </w:t>
      </w:r>
      <w:proofErr w:type="gramStart"/>
      <w:r>
        <w:t>has to</w:t>
      </w:r>
      <w:proofErr w:type="gramEnd"/>
      <w:r>
        <w:t xml:space="preserve"> be acknowledged that there is no opportunity to adjust ratio analysis for which the evaluation of financial information can be misleading.</w:t>
      </w:r>
    </w:p>
    <w:p w14:paraId="5EFAF6AB" w14:textId="77777777" w:rsidR="00AE4F4B" w:rsidRDefault="00000000">
      <w:pPr>
        <w:pStyle w:val="Heading1"/>
      </w:pPr>
      <w:bookmarkStart w:id="11" w:name="_heading=h.3rdcrjn" w:colFirst="0" w:colLast="0"/>
      <w:bookmarkEnd w:id="11"/>
      <w:r>
        <w:t>Benefits and Limitations of Ratio Analysis</w:t>
      </w:r>
    </w:p>
    <w:p w14:paraId="5CD5E778" w14:textId="77777777" w:rsidR="00AE4F4B" w:rsidRDefault="00000000">
      <w:r>
        <w:t xml:space="preserve">Ratio analysis is very significant to determine the </w:t>
      </w:r>
      <w:proofErr w:type="gramStart"/>
      <w:r>
        <w:t>decision making</w:t>
      </w:r>
      <w:proofErr w:type="gramEnd"/>
      <w:r>
        <w:t xml:space="preserve"> process of the accounting users for which the importance of analysis can be understood. Importance of analysis for decision making process can be demonstrated as follows:</w:t>
      </w:r>
    </w:p>
    <w:p w14:paraId="151DCF46" w14:textId="77777777" w:rsidR="00AE4F4B" w:rsidRDefault="00000000">
      <w:r>
        <w:rPr>
          <w:b/>
        </w:rPr>
        <w:t xml:space="preserve">Analysing financial statements: </w:t>
      </w:r>
      <w:r>
        <w:t>Both internal and external users of accounting information need to analyse finances statements for undertaking their related decisions. The significance of ratio analysis can be acknowledged in this case because of ratio analysis interprets the financial information for which the elements of profit and loss account and balance sheet can be analysed and understood properly (Subramanyam, 2014).</w:t>
      </w:r>
    </w:p>
    <w:p w14:paraId="33A55A64" w14:textId="77777777" w:rsidR="00AE4F4B" w:rsidRDefault="00000000">
      <w:r>
        <w:rPr>
          <w:b/>
        </w:rPr>
        <w:t xml:space="preserve">Understanding profitability: </w:t>
      </w:r>
      <w:r>
        <w:t xml:space="preserve">It is necessary to understand the profitability of the firm by the state holders because of they </w:t>
      </w:r>
      <w:proofErr w:type="gramStart"/>
      <w:r>
        <w:t>have to</w:t>
      </w:r>
      <w:proofErr w:type="gramEnd"/>
      <w:r>
        <w:t xml:space="preserve"> determine the decisions to continue their activities with the firm (</w:t>
      </w:r>
      <w:proofErr w:type="spellStart"/>
      <w:r>
        <w:t>Wahlen</w:t>
      </w:r>
      <w:proofErr w:type="spellEnd"/>
      <w:r>
        <w:t xml:space="preserve">, Bradshaw and </w:t>
      </w:r>
      <w:proofErr w:type="spellStart"/>
      <w:r>
        <w:t>Baginski</w:t>
      </w:r>
      <w:proofErr w:type="spellEnd"/>
      <w:r>
        <w:t xml:space="preserve">, 2018). Profitability ratios such as gross profit margin, net profit margin, return on assets and so on can be useful in </w:t>
      </w:r>
      <w:proofErr w:type="gramStart"/>
      <w:r>
        <w:t>this guys</w:t>
      </w:r>
      <w:proofErr w:type="gramEnd"/>
      <w:r>
        <w:t xml:space="preserve"> to understand the profitability of the firm. The accounting users can acknowledge if the firm is making profits or not which is essential to make their decisions in a significant way.</w:t>
      </w:r>
    </w:p>
    <w:p w14:paraId="69897D60" w14:textId="77777777" w:rsidR="00AE4F4B" w:rsidRDefault="00000000">
      <w:r>
        <w:rPr>
          <w:b/>
        </w:rPr>
        <w:t xml:space="preserve">Determining operational efficiency: </w:t>
      </w:r>
      <w:r>
        <w:t xml:space="preserve">It is necessary to understand the financial efficiency of the firm to determine the </w:t>
      </w:r>
      <w:proofErr w:type="gramStart"/>
      <w:r>
        <w:t>decision making</w:t>
      </w:r>
      <w:proofErr w:type="gramEnd"/>
      <w:r>
        <w:t xml:space="preserve"> process. There are specific ratios in this case which can be used to understand the three are specific ratios in this case which can be used to understand the efficiency of the firm. Account receivables turnover ratio, inventory turnover ratio and so on are the efficiency ratios which help to understand the efficiency of the company. Financial outcomes can be compared with the competitors in the market or even the same company can compare the outputs with the previous results. The prospect leads to an understanding of the financial performance and efficiency of the company properly.</w:t>
      </w:r>
    </w:p>
    <w:p w14:paraId="5A9BBDEA" w14:textId="77777777" w:rsidR="00AE4F4B" w:rsidRDefault="00000000">
      <w:r>
        <w:rPr>
          <w:b/>
        </w:rPr>
        <w:t xml:space="preserve">Understanding liquidity: </w:t>
      </w:r>
      <w:r>
        <w:t xml:space="preserve">It is necessary to understand the liquidity of the company so that proper decisions can be made to determine the ability to make payment of short-term debts. </w:t>
      </w:r>
      <w:r>
        <w:lastRenderedPageBreak/>
        <w:t xml:space="preserve">The purpose can be achieved through analysing liquidity ratios such as current ratio, quick ratio, cash ratio and so on. Through analysing the outputs, the accounting users can determine the </w:t>
      </w:r>
      <w:proofErr w:type="gramStart"/>
      <w:r>
        <w:t>decision making</w:t>
      </w:r>
      <w:proofErr w:type="gramEnd"/>
      <w:r>
        <w:t xml:space="preserve"> process properly for which the significance of ratio analysis in this case can be understood positively (Subramanyam, 2014).</w:t>
      </w:r>
    </w:p>
    <w:p w14:paraId="23D1A562" w14:textId="77777777" w:rsidR="00AE4F4B" w:rsidRDefault="00000000">
      <w:r>
        <w:rPr>
          <w:b/>
        </w:rPr>
        <w:t xml:space="preserve">Making plans and forecasting: </w:t>
      </w:r>
      <w:r>
        <w:t xml:space="preserve">Ratio analysis helps to make plans and forecast future financial performance by the firm through which proper guidelines can be determined to execute effective business strategy in the market. </w:t>
      </w:r>
    </w:p>
    <w:p w14:paraId="3CC25F3E" w14:textId="77777777" w:rsidR="00AE4F4B" w:rsidRDefault="00000000">
      <w:pPr>
        <w:pStyle w:val="Heading1"/>
      </w:pPr>
      <w:bookmarkStart w:id="12" w:name="_heading=h.26in1rg" w:colFirst="0" w:colLast="0"/>
      <w:bookmarkEnd w:id="12"/>
      <w:r>
        <w:t xml:space="preserve">Conclusion </w:t>
      </w:r>
    </w:p>
    <w:p w14:paraId="07CCA1AC" w14:textId="77777777" w:rsidR="00AE4F4B" w:rsidRDefault="00000000">
      <w:r>
        <w:t xml:space="preserve">This report analysed the financial ratio of Marriott hotel. This is found out that the profitability of Marriott hotel is increased in 2021 in all four ratios are discussed above. The average performance of the were increased in 2021 </w:t>
      </w:r>
      <w:proofErr w:type="gramStart"/>
      <w:r>
        <w:t>compare</w:t>
      </w:r>
      <w:proofErr w:type="gramEnd"/>
      <w:r>
        <w:t xml:space="preserve"> to 2020. However, the liquidity ratio is analysed and found out that the firm has very poor ratio. Though the condition is improved in 2021. On the other hand, the gearing ratio of the firm is analysed here also. It is found out that the firm has preferred to raise fund from the debt capital. Even the </w:t>
      </w:r>
      <w:proofErr w:type="gramStart"/>
      <w:r>
        <w:t>long term</w:t>
      </w:r>
      <w:proofErr w:type="gramEnd"/>
      <w:r>
        <w:t xml:space="preserve"> debt of the firm is more than 50% of total capital at each year from 2016 to 2021. </w:t>
      </w:r>
      <w:proofErr w:type="gramStart"/>
      <w:r>
        <w:t>So</w:t>
      </w:r>
      <w:proofErr w:type="gramEnd"/>
      <w:r>
        <w:t xml:space="preserve"> the firm needs to consider this issue due to reducing the cost of interest.   </w:t>
      </w:r>
    </w:p>
    <w:p w14:paraId="5062F649" w14:textId="77777777" w:rsidR="00AE4F4B" w:rsidRDefault="00AE4F4B"/>
    <w:p w14:paraId="7F8F2E33" w14:textId="77777777" w:rsidR="00AE4F4B" w:rsidRDefault="00AE4F4B"/>
    <w:p w14:paraId="32EC5902" w14:textId="77777777" w:rsidR="00AE4F4B" w:rsidRDefault="00AE4F4B"/>
    <w:p w14:paraId="301F6C95" w14:textId="77777777" w:rsidR="00AE4F4B" w:rsidRDefault="00AE4F4B"/>
    <w:p w14:paraId="40955537" w14:textId="77777777" w:rsidR="00AE4F4B" w:rsidRDefault="00AE4F4B"/>
    <w:p w14:paraId="3BF2E497" w14:textId="77777777" w:rsidR="00AE4F4B" w:rsidRDefault="00AE4F4B"/>
    <w:p w14:paraId="703844E0" w14:textId="77777777" w:rsidR="00AE4F4B" w:rsidRDefault="00AE4F4B"/>
    <w:p w14:paraId="39B74547" w14:textId="77777777" w:rsidR="00AE4F4B" w:rsidRDefault="00AE4F4B"/>
    <w:p w14:paraId="46E99108" w14:textId="77777777" w:rsidR="00AE4F4B" w:rsidRDefault="00AE4F4B"/>
    <w:p w14:paraId="096DAA63" w14:textId="77777777" w:rsidR="00AE4F4B" w:rsidRDefault="00AE4F4B"/>
    <w:p w14:paraId="4F2E6092" w14:textId="77777777" w:rsidR="00AE4F4B" w:rsidRDefault="00AE4F4B"/>
    <w:p w14:paraId="413B9B41" w14:textId="77777777" w:rsidR="00AE4F4B" w:rsidRDefault="00AE4F4B"/>
    <w:p w14:paraId="26BFDAC4" w14:textId="77777777" w:rsidR="00AE4F4B" w:rsidRDefault="00AE4F4B"/>
    <w:p w14:paraId="293855FD" w14:textId="77777777" w:rsidR="00AE4F4B" w:rsidRDefault="00000000">
      <w:pPr>
        <w:pStyle w:val="Heading1"/>
      </w:pPr>
      <w:bookmarkStart w:id="13" w:name="_heading=h.lnxbz9" w:colFirst="0" w:colLast="0"/>
      <w:bookmarkEnd w:id="13"/>
      <w:r>
        <w:t>Reference list</w:t>
      </w:r>
    </w:p>
    <w:p w14:paraId="71479B01" w14:textId="77777777" w:rsidR="00AE4F4B" w:rsidRDefault="00000000">
      <w:pPr>
        <w:pBdr>
          <w:top w:val="nil"/>
          <w:left w:val="nil"/>
          <w:bottom w:val="nil"/>
          <w:right w:val="nil"/>
          <w:between w:val="nil"/>
        </w:pBdr>
        <w:spacing w:after="240"/>
        <w:rPr>
          <w:color w:val="000000"/>
        </w:rPr>
      </w:pPr>
      <w:proofErr w:type="spellStart"/>
      <w:r>
        <w:rPr>
          <w:color w:val="000000"/>
        </w:rPr>
        <w:t>Amirullah</w:t>
      </w:r>
      <w:proofErr w:type="spellEnd"/>
      <w:r>
        <w:rPr>
          <w:color w:val="000000"/>
        </w:rPr>
        <w:t xml:space="preserve">, A. and </w:t>
      </w:r>
      <w:proofErr w:type="spellStart"/>
      <w:r>
        <w:rPr>
          <w:color w:val="000000"/>
        </w:rPr>
        <w:t>Rahmawati</w:t>
      </w:r>
      <w:proofErr w:type="spellEnd"/>
      <w:r>
        <w:rPr>
          <w:color w:val="000000"/>
        </w:rPr>
        <w:t xml:space="preserve">, R. (2019). PENGARUH NET PROFIT MARGIN, DEBT TO EQUITY RATIO DAN PRICE TO BOOK VALUE TERHADAP HARGA SAHAM. </w:t>
      </w:r>
      <w:r>
        <w:rPr>
          <w:i/>
          <w:color w:val="000000"/>
        </w:rPr>
        <w:t>JURNAL EKBIS</w:t>
      </w:r>
      <w:r>
        <w:rPr>
          <w:color w:val="000000"/>
        </w:rPr>
        <w:t>, 20(2), p.1309. doi:10.30736/</w:t>
      </w:r>
      <w:proofErr w:type="gramStart"/>
      <w:r>
        <w:rPr>
          <w:color w:val="000000"/>
        </w:rPr>
        <w:t>ekbis.v</w:t>
      </w:r>
      <w:proofErr w:type="gramEnd"/>
      <w:r>
        <w:rPr>
          <w:color w:val="000000"/>
        </w:rPr>
        <w:t>20i2.240.</w:t>
      </w:r>
    </w:p>
    <w:p w14:paraId="63127C3B" w14:textId="77777777" w:rsidR="00AE4F4B" w:rsidRDefault="00000000">
      <w:pPr>
        <w:spacing w:after="240"/>
      </w:pPr>
      <w:proofErr w:type="spellStart"/>
      <w:r>
        <w:t>Bettner</w:t>
      </w:r>
      <w:proofErr w:type="spellEnd"/>
      <w:r>
        <w:t xml:space="preserve">, M.S., Haka, S.F., Meigs, R.F. and Williams, J.R. (2003). </w:t>
      </w:r>
      <w:r>
        <w:rPr>
          <w:i/>
        </w:rPr>
        <w:t>Financial accounting</w:t>
      </w:r>
      <w:r>
        <w:t xml:space="preserve">. Boston, Mass. </w:t>
      </w:r>
      <w:proofErr w:type="spellStart"/>
      <w:r>
        <w:t>Mcgraw-Hill</w:t>
      </w:r>
      <w:proofErr w:type="spellEnd"/>
      <w:r>
        <w:t>/Irwin.</w:t>
      </w:r>
    </w:p>
    <w:p w14:paraId="5734E1D6" w14:textId="77777777" w:rsidR="00AE4F4B" w:rsidRDefault="00000000">
      <w:pPr>
        <w:spacing w:after="240"/>
      </w:pPr>
      <w:proofErr w:type="spellStart"/>
      <w:r>
        <w:t>Bhimani</w:t>
      </w:r>
      <w:proofErr w:type="spellEnd"/>
      <w:r>
        <w:t xml:space="preserve">, A. and Roberts, H. (2014). Management accounting and knowledge management: in search of intelligibility. </w:t>
      </w:r>
      <w:r>
        <w:rPr>
          <w:i/>
        </w:rPr>
        <w:t>Management Accounting Research</w:t>
      </w:r>
      <w:r>
        <w:t xml:space="preserve">, 15(1), pp.1–4. </w:t>
      </w:r>
      <w:proofErr w:type="gramStart"/>
      <w:r>
        <w:t>doi:10.1016/j.mar</w:t>
      </w:r>
      <w:proofErr w:type="gramEnd"/>
      <w:r>
        <w:t>.2003.12.001.</w:t>
      </w:r>
    </w:p>
    <w:p w14:paraId="22C8B8FE" w14:textId="77777777" w:rsidR="00AE4F4B" w:rsidRDefault="00000000">
      <w:pPr>
        <w:spacing w:after="240"/>
      </w:pPr>
      <w:r>
        <w:t xml:space="preserve">Chadwick, L. (2001). </w:t>
      </w:r>
      <w:r>
        <w:rPr>
          <w:i/>
        </w:rPr>
        <w:t>Financial management</w:t>
      </w:r>
      <w:r>
        <w:t>. Oxford: Heinemann.</w:t>
      </w:r>
    </w:p>
    <w:p w14:paraId="096DB17B" w14:textId="77777777" w:rsidR="00AE4F4B" w:rsidRDefault="00000000">
      <w:pPr>
        <w:pBdr>
          <w:top w:val="nil"/>
          <w:left w:val="nil"/>
          <w:bottom w:val="nil"/>
          <w:right w:val="nil"/>
          <w:between w:val="nil"/>
        </w:pBdr>
        <w:spacing w:after="240"/>
        <w:rPr>
          <w:color w:val="000000"/>
        </w:rPr>
      </w:pPr>
      <w:r>
        <w:rPr>
          <w:color w:val="000000"/>
        </w:rPr>
        <w:t xml:space="preserve">Chen, Y. and Riordan, M.H. (2013). PROFITABILITY OF PRODUCT BUNDLING*. </w:t>
      </w:r>
      <w:r>
        <w:rPr>
          <w:i/>
          <w:color w:val="000000"/>
        </w:rPr>
        <w:t>International Economic Review</w:t>
      </w:r>
      <w:r>
        <w:rPr>
          <w:color w:val="000000"/>
        </w:rPr>
        <w:t>, 54(1), pp.35–57. doi:10.1111/j.1468-2354.2012.</w:t>
      </w:r>
      <w:proofErr w:type="gramStart"/>
      <w:r>
        <w:rPr>
          <w:color w:val="000000"/>
        </w:rPr>
        <w:t>00725.x.</w:t>
      </w:r>
      <w:proofErr w:type="gramEnd"/>
    </w:p>
    <w:p w14:paraId="503E80EB" w14:textId="77777777" w:rsidR="00AE4F4B" w:rsidRDefault="00000000">
      <w:pPr>
        <w:pBdr>
          <w:top w:val="nil"/>
          <w:left w:val="nil"/>
          <w:bottom w:val="nil"/>
          <w:right w:val="nil"/>
          <w:between w:val="nil"/>
        </w:pBdr>
        <w:spacing w:after="240"/>
        <w:rPr>
          <w:color w:val="000000"/>
        </w:rPr>
      </w:pPr>
      <w:r>
        <w:rPr>
          <w:color w:val="000000"/>
        </w:rPr>
        <w:t xml:space="preserve">de </w:t>
      </w:r>
      <w:proofErr w:type="spellStart"/>
      <w:r>
        <w:rPr>
          <w:color w:val="000000"/>
        </w:rPr>
        <w:t>Mesnard</w:t>
      </w:r>
      <w:proofErr w:type="spellEnd"/>
      <w:r>
        <w:rPr>
          <w:color w:val="000000"/>
        </w:rPr>
        <w:t xml:space="preserve">, L. (2015). Profit Margin Ratio, Markup, Profit Margin Per Unit, Economic Profit, and Profitability as Objectives for the Firm: An Economic Point-of-View. </w:t>
      </w:r>
      <w:r>
        <w:rPr>
          <w:i/>
          <w:color w:val="000000"/>
        </w:rPr>
        <w:t>SSRN Electronic Journal</w:t>
      </w:r>
      <w:r>
        <w:rPr>
          <w:color w:val="000000"/>
        </w:rPr>
        <w:t>. doi:10.2139/ssrn.2579727.</w:t>
      </w:r>
    </w:p>
    <w:p w14:paraId="08E48AEB" w14:textId="77777777" w:rsidR="00AE4F4B" w:rsidRDefault="00000000">
      <w:pPr>
        <w:spacing w:after="240"/>
      </w:pPr>
      <w:proofErr w:type="spellStart"/>
      <w:r>
        <w:t>Dyckman</w:t>
      </w:r>
      <w:proofErr w:type="spellEnd"/>
      <w:r>
        <w:t xml:space="preserve">, T.R., Hanlon, M.L., Magee, R.P., Pfeiffer, G.M. and Texas (2017). </w:t>
      </w:r>
      <w:r>
        <w:rPr>
          <w:i/>
        </w:rPr>
        <w:t>Financial accounting</w:t>
      </w:r>
      <w:r>
        <w:t>. Illinois? Cambridge Business Publishers.</w:t>
      </w:r>
    </w:p>
    <w:p w14:paraId="42B22127" w14:textId="77777777" w:rsidR="00AE4F4B" w:rsidRDefault="00000000">
      <w:pPr>
        <w:pBdr>
          <w:top w:val="nil"/>
          <w:left w:val="nil"/>
          <w:bottom w:val="nil"/>
          <w:right w:val="nil"/>
          <w:between w:val="nil"/>
        </w:pBdr>
        <w:spacing w:after="240"/>
        <w:rPr>
          <w:color w:val="000000"/>
        </w:rPr>
      </w:pPr>
      <w:r>
        <w:rPr>
          <w:color w:val="000000"/>
        </w:rPr>
        <w:t xml:space="preserve">Gibson, C.H. (2013). </w:t>
      </w:r>
      <w:r>
        <w:rPr>
          <w:i/>
          <w:color w:val="000000"/>
        </w:rPr>
        <w:t>Financial statement analysis</w:t>
      </w:r>
      <w:r>
        <w:rPr>
          <w:color w:val="000000"/>
        </w:rPr>
        <w:t>. Mason, Ohio: South-</w:t>
      </w:r>
      <w:proofErr w:type="gramStart"/>
      <w:r>
        <w:rPr>
          <w:color w:val="000000"/>
        </w:rPr>
        <w:t>Western ;</w:t>
      </w:r>
      <w:proofErr w:type="gramEnd"/>
      <w:r>
        <w:rPr>
          <w:color w:val="000000"/>
        </w:rPr>
        <w:t xml:space="preserve"> Andover.</w:t>
      </w:r>
    </w:p>
    <w:p w14:paraId="46AEAF75" w14:textId="77777777" w:rsidR="00AE4F4B" w:rsidRDefault="00000000">
      <w:pPr>
        <w:pBdr>
          <w:top w:val="nil"/>
          <w:left w:val="nil"/>
          <w:bottom w:val="nil"/>
          <w:right w:val="nil"/>
          <w:between w:val="nil"/>
        </w:pBdr>
        <w:spacing w:after="240"/>
        <w:rPr>
          <w:color w:val="000000"/>
        </w:rPr>
      </w:pPr>
      <w:r>
        <w:rPr>
          <w:color w:val="000000"/>
        </w:rPr>
        <w:t xml:space="preserve">Harrington, D. (2017). Marriott Corporation. </w:t>
      </w:r>
      <w:r>
        <w:rPr>
          <w:i/>
          <w:color w:val="000000"/>
        </w:rPr>
        <w:t>Darden Business Publishing Cases</w:t>
      </w:r>
      <w:r>
        <w:rPr>
          <w:color w:val="000000"/>
        </w:rPr>
        <w:t xml:space="preserve">, 1(1), pp.1–29. </w:t>
      </w:r>
      <w:proofErr w:type="gramStart"/>
      <w:r>
        <w:rPr>
          <w:color w:val="000000"/>
        </w:rPr>
        <w:t>doi:10.1108/case.darden</w:t>
      </w:r>
      <w:proofErr w:type="gramEnd"/>
      <w:r>
        <w:rPr>
          <w:color w:val="000000"/>
        </w:rPr>
        <w:t>.2016.000188.</w:t>
      </w:r>
    </w:p>
    <w:p w14:paraId="368DF0A0" w14:textId="77777777" w:rsidR="00AE4F4B" w:rsidRDefault="00000000">
      <w:pPr>
        <w:pBdr>
          <w:top w:val="nil"/>
          <w:left w:val="nil"/>
          <w:bottom w:val="nil"/>
          <w:right w:val="nil"/>
          <w:between w:val="nil"/>
        </w:pBdr>
        <w:spacing w:after="240"/>
        <w:rPr>
          <w:color w:val="000000"/>
        </w:rPr>
      </w:pPr>
      <w:proofErr w:type="spellStart"/>
      <w:r>
        <w:rPr>
          <w:color w:val="000000"/>
        </w:rPr>
        <w:t>Jefriyanto</w:t>
      </w:r>
      <w:proofErr w:type="spellEnd"/>
      <w:r>
        <w:rPr>
          <w:color w:val="000000"/>
        </w:rPr>
        <w:t xml:space="preserve">, J. (2021). </w:t>
      </w:r>
      <w:proofErr w:type="spellStart"/>
      <w:r>
        <w:rPr>
          <w:color w:val="000000"/>
        </w:rPr>
        <w:t>Perbandingan</w:t>
      </w:r>
      <w:proofErr w:type="spellEnd"/>
      <w:r>
        <w:rPr>
          <w:color w:val="000000"/>
        </w:rPr>
        <w:t xml:space="preserve"> Return on Asset, Return on Equity, Gross Profit Margin, Operating Profit Margin, dan Net Profit Margin </w:t>
      </w:r>
      <w:proofErr w:type="spellStart"/>
      <w:r>
        <w:rPr>
          <w:color w:val="000000"/>
        </w:rPr>
        <w:t>Sebelum</w:t>
      </w:r>
      <w:proofErr w:type="spellEnd"/>
      <w:r>
        <w:rPr>
          <w:color w:val="000000"/>
        </w:rPr>
        <w:t xml:space="preserve"> dan </w:t>
      </w:r>
      <w:proofErr w:type="spellStart"/>
      <w:r>
        <w:rPr>
          <w:color w:val="000000"/>
        </w:rPr>
        <w:t>Semasa</w:t>
      </w:r>
      <w:proofErr w:type="spellEnd"/>
      <w:r>
        <w:rPr>
          <w:color w:val="000000"/>
        </w:rPr>
        <w:t xml:space="preserve"> COVID-19 Pada PT </w:t>
      </w:r>
      <w:proofErr w:type="spellStart"/>
      <w:r>
        <w:rPr>
          <w:color w:val="000000"/>
        </w:rPr>
        <w:t>Matahari</w:t>
      </w:r>
      <w:proofErr w:type="spellEnd"/>
      <w:r>
        <w:rPr>
          <w:color w:val="000000"/>
        </w:rPr>
        <w:t xml:space="preserve"> Department Store, </w:t>
      </w:r>
      <w:proofErr w:type="spellStart"/>
      <w:r>
        <w:rPr>
          <w:color w:val="000000"/>
        </w:rPr>
        <w:t>Tbk</w:t>
      </w:r>
      <w:proofErr w:type="spellEnd"/>
      <w:r>
        <w:rPr>
          <w:color w:val="000000"/>
        </w:rPr>
        <w:t xml:space="preserve">. </w:t>
      </w:r>
      <w:proofErr w:type="spellStart"/>
      <w:r>
        <w:rPr>
          <w:i/>
          <w:color w:val="000000"/>
        </w:rPr>
        <w:t>Jurnal</w:t>
      </w:r>
      <w:proofErr w:type="spellEnd"/>
      <w:r>
        <w:rPr>
          <w:i/>
          <w:color w:val="000000"/>
        </w:rPr>
        <w:t xml:space="preserve"> </w:t>
      </w:r>
      <w:proofErr w:type="spellStart"/>
      <w:r>
        <w:rPr>
          <w:i/>
          <w:color w:val="000000"/>
        </w:rPr>
        <w:t>Ilmiah</w:t>
      </w:r>
      <w:proofErr w:type="spellEnd"/>
      <w:r>
        <w:rPr>
          <w:i/>
          <w:color w:val="000000"/>
        </w:rPr>
        <w:t xml:space="preserve"> </w:t>
      </w:r>
      <w:proofErr w:type="spellStart"/>
      <w:r>
        <w:rPr>
          <w:i/>
          <w:color w:val="000000"/>
        </w:rPr>
        <w:t>Akuntansi</w:t>
      </w:r>
      <w:proofErr w:type="spellEnd"/>
      <w:r>
        <w:rPr>
          <w:i/>
          <w:color w:val="000000"/>
        </w:rPr>
        <w:t xml:space="preserve"> </w:t>
      </w:r>
      <w:proofErr w:type="spellStart"/>
      <w:r>
        <w:rPr>
          <w:i/>
          <w:color w:val="000000"/>
        </w:rPr>
        <w:t>Kesatuan</w:t>
      </w:r>
      <w:proofErr w:type="spellEnd"/>
      <w:r>
        <w:rPr>
          <w:color w:val="000000"/>
        </w:rPr>
        <w:t>, 9(1), pp.61–70. doi:10.37641/</w:t>
      </w:r>
      <w:proofErr w:type="gramStart"/>
      <w:r>
        <w:rPr>
          <w:color w:val="000000"/>
        </w:rPr>
        <w:t>jiakes.v</w:t>
      </w:r>
      <w:proofErr w:type="gramEnd"/>
      <w:r>
        <w:rPr>
          <w:color w:val="000000"/>
        </w:rPr>
        <w:t>9i1.464.</w:t>
      </w:r>
    </w:p>
    <w:p w14:paraId="7E54EAC9" w14:textId="77777777" w:rsidR="00AE4F4B" w:rsidRDefault="00000000">
      <w:pPr>
        <w:spacing w:after="240"/>
      </w:pPr>
      <w:r>
        <w:t xml:space="preserve">Johnson, R.W. and </w:t>
      </w:r>
      <w:proofErr w:type="spellStart"/>
      <w:r>
        <w:t>Melicher</w:t>
      </w:r>
      <w:proofErr w:type="spellEnd"/>
      <w:r>
        <w:t xml:space="preserve">, R.W. (2017). </w:t>
      </w:r>
      <w:r>
        <w:rPr>
          <w:i/>
        </w:rPr>
        <w:t>Financial management</w:t>
      </w:r>
      <w:r>
        <w:t xml:space="preserve">. Boston: </w:t>
      </w:r>
      <w:proofErr w:type="spellStart"/>
      <w:r>
        <w:t>Allyn</w:t>
      </w:r>
      <w:proofErr w:type="spellEnd"/>
      <w:r>
        <w:t xml:space="preserve"> </w:t>
      </w:r>
      <w:proofErr w:type="gramStart"/>
      <w:r>
        <w:t>And</w:t>
      </w:r>
      <w:proofErr w:type="gramEnd"/>
      <w:r>
        <w:t xml:space="preserve"> Bacon.</w:t>
      </w:r>
    </w:p>
    <w:p w14:paraId="1AC017DC" w14:textId="77777777" w:rsidR="00AE4F4B" w:rsidRDefault="00000000">
      <w:pPr>
        <w:spacing w:after="240"/>
      </w:pPr>
      <w:r>
        <w:lastRenderedPageBreak/>
        <w:t xml:space="preserve">Khan, M.Y. and Jain, P.K. (2007). </w:t>
      </w:r>
      <w:r>
        <w:rPr>
          <w:i/>
        </w:rPr>
        <w:t>Financial management</w:t>
      </w:r>
      <w:r>
        <w:t xml:space="preserve">. New Delhi: Tata </w:t>
      </w:r>
      <w:proofErr w:type="spellStart"/>
      <w:r>
        <w:t>Mcgraw-Hill</w:t>
      </w:r>
      <w:proofErr w:type="spellEnd"/>
      <w:r>
        <w:t>.</w:t>
      </w:r>
    </w:p>
    <w:p w14:paraId="566009B2" w14:textId="77777777" w:rsidR="00AE4F4B" w:rsidRDefault="00000000">
      <w:pPr>
        <w:pBdr>
          <w:top w:val="nil"/>
          <w:left w:val="nil"/>
          <w:bottom w:val="nil"/>
          <w:right w:val="nil"/>
          <w:between w:val="nil"/>
        </w:pBdr>
        <w:spacing w:after="240"/>
        <w:rPr>
          <w:color w:val="000000"/>
        </w:rPr>
      </w:pPr>
      <w:r>
        <w:rPr>
          <w:color w:val="000000"/>
        </w:rPr>
        <w:t xml:space="preserve">Li, B., Sun, Q. and Wang, C. (2011). Liquidity, Liquidity Risk and Stock Returns: Evidence from Japan. </w:t>
      </w:r>
      <w:r>
        <w:rPr>
          <w:i/>
          <w:color w:val="000000"/>
        </w:rPr>
        <w:t>European Financial Management</w:t>
      </w:r>
      <w:r>
        <w:rPr>
          <w:color w:val="000000"/>
        </w:rPr>
        <w:t>, 20(1), pp.126–151. doi:10.1111/j.1468-036x.2011.</w:t>
      </w:r>
      <w:proofErr w:type="gramStart"/>
      <w:r>
        <w:rPr>
          <w:color w:val="000000"/>
        </w:rPr>
        <w:t>00629.x.</w:t>
      </w:r>
      <w:proofErr w:type="gramEnd"/>
    </w:p>
    <w:p w14:paraId="3D60C309" w14:textId="77777777" w:rsidR="00AE4F4B" w:rsidRDefault="00000000">
      <w:pPr>
        <w:spacing w:after="240"/>
      </w:pPr>
      <w:r>
        <w:t xml:space="preserve">Madura, J. and Hoque, A. (2018). </w:t>
      </w:r>
      <w:r>
        <w:rPr>
          <w:i/>
        </w:rPr>
        <w:t>International financial management</w:t>
      </w:r>
      <w:r>
        <w:t>. South Melbourne, Australia: Cengage Learning Australia.</w:t>
      </w:r>
    </w:p>
    <w:p w14:paraId="44271426" w14:textId="77777777" w:rsidR="00AE4F4B" w:rsidRDefault="00000000">
      <w:pPr>
        <w:spacing w:after="240"/>
      </w:pPr>
      <w:r>
        <w:t xml:space="preserve">Needles, E. and Powers, M. (2012). </w:t>
      </w:r>
      <w:r>
        <w:rPr>
          <w:i/>
        </w:rPr>
        <w:t>Financial accounting</w:t>
      </w:r>
      <w:r>
        <w:t>. Mason, Oh: South-Western Cengage Learning.</w:t>
      </w:r>
    </w:p>
    <w:p w14:paraId="2A3CD484" w14:textId="77777777" w:rsidR="00AE4F4B" w:rsidRDefault="00000000">
      <w:pPr>
        <w:spacing w:after="240"/>
      </w:pPr>
      <w:proofErr w:type="spellStart"/>
      <w:r>
        <w:t>Pilbeam</w:t>
      </w:r>
      <w:proofErr w:type="spellEnd"/>
      <w:r>
        <w:t xml:space="preserve">, K. (2013). </w:t>
      </w:r>
      <w:r>
        <w:rPr>
          <w:i/>
        </w:rPr>
        <w:t>International finance</w:t>
      </w:r>
      <w:r>
        <w:t>. Basingstoke: Palgrave Macmillan.</w:t>
      </w:r>
    </w:p>
    <w:p w14:paraId="7AB19634" w14:textId="77777777" w:rsidR="00AE4F4B" w:rsidRDefault="00000000">
      <w:pPr>
        <w:pBdr>
          <w:top w:val="nil"/>
          <w:left w:val="nil"/>
          <w:bottom w:val="nil"/>
          <w:right w:val="nil"/>
          <w:between w:val="nil"/>
        </w:pBdr>
        <w:spacing w:after="240"/>
        <w:rPr>
          <w:color w:val="000000"/>
        </w:rPr>
      </w:pPr>
      <w:r>
        <w:rPr>
          <w:color w:val="000000"/>
        </w:rPr>
        <w:t xml:space="preserve">Subramanyam, K.R. (2014). </w:t>
      </w:r>
      <w:r>
        <w:rPr>
          <w:i/>
          <w:color w:val="000000"/>
        </w:rPr>
        <w:t>Financial statement analysis</w:t>
      </w:r>
      <w:r>
        <w:rPr>
          <w:color w:val="000000"/>
        </w:rPr>
        <w:t xml:space="preserve">. New York, Ny: </w:t>
      </w:r>
      <w:proofErr w:type="spellStart"/>
      <w:r>
        <w:rPr>
          <w:color w:val="000000"/>
        </w:rPr>
        <w:t>Mcgraw-Hill</w:t>
      </w:r>
      <w:proofErr w:type="spellEnd"/>
      <w:r>
        <w:rPr>
          <w:color w:val="000000"/>
        </w:rPr>
        <w:t>.</w:t>
      </w:r>
    </w:p>
    <w:p w14:paraId="09DC4952" w14:textId="77777777" w:rsidR="00AE4F4B" w:rsidRDefault="00000000">
      <w:pPr>
        <w:spacing w:after="240"/>
      </w:pPr>
      <w:r>
        <w:t xml:space="preserve">Thomas, C.W. and Harrison, W.T. (2019). </w:t>
      </w:r>
      <w:r>
        <w:rPr>
          <w:i/>
        </w:rPr>
        <w:t>Financial Accounting</w:t>
      </w:r>
      <w:r>
        <w:t>. New York: Pearson.</w:t>
      </w:r>
    </w:p>
    <w:p w14:paraId="62F58F27" w14:textId="77777777" w:rsidR="00AE4F4B" w:rsidRDefault="00000000">
      <w:pPr>
        <w:pBdr>
          <w:top w:val="nil"/>
          <w:left w:val="nil"/>
          <w:bottom w:val="nil"/>
          <w:right w:val="nil"/>
          <w:between w:val="nil"/>
        </w:pBdr>
        <w:spacing w:after="240"/>
        <w:rPr>
          <w:color w:val="000000"/>
        </w:rPr>
      </w:pPr>
      <w:proofErr w:type="spellStart"/>
      <w:r>
        <w:rPr>
          <w:color w:val="000000"/>
        </w:rPr>
        <w:t>Wahlen</w:t>
      </w:r>
      <w:proofErr w:type="spellEnd"/>
      <w:r>
        <w:rPr>
          <w:color w:val="000000"/>
        </w:rPr>
        <w:t xml:space="preserve">, J.M., Bradshaw, M. and </w:t>
      </w:r>
      <w:proofErr w:type="spellStart"/>
      <w:r>
        <w:rPr>
          <w:color w:val="000000"/>
        </w:rPr>
        <w:t>Baginski</w:t>
      </w:r>
      <w:proofErr w:type="spellEnd"/>
      <w:r>
        <w:rPr>
          <w:color w:val="000000"/>
        </w:rPr>
        <w:t xml:space="preserve">, S.P. (2018). </w:t>
      </w:r>
      <w:r>
        <w:rPr>
          <w:i/>
          <w:color w:val="000000"/>
        </w:rPr>
        <w:t xml:space="preserve">Financial reporting, financial statement analysis and </w:t>
      </w:r>
      <w:proofErr w:type="gramStart"/>
      <w:r>
        <w:rPr>
          <w:i/>
          <w:color w:val="000000"/>
        </w:rPr>
        <w:t>valuation :</w:t>
      </w:r>
      <w:proofErr w:type="gramEnd"/>
      <w:r>
        <w:rPr>
          <w:i/>
          <w:color w:val="000000"/>
        </w:rPr>
        <w:t xml:space="preserve"> a strategic perspective</w:t>
      </w:r>
      <w:r>
        <w:rPr>
          <w:color w:val="000000"/>
        </w:rPr>
        <w:t>. Boston: Cengage Learning.</w:t>
      </w:r>
    </w:p>
    <w:p w14:paraId="0181A623" w14:textId="77777777" w:rsidR="00AE4F4B" w:rsidRDefault="00000000">
      <w:pPr>
        <w:pBdr>
          <w:top w:val="nil"/>
          <w:left w:val="nil"/>
          <w:bottom w:val="nil"/>
          <w:right w:val="nil"/>
          <w:between w:val="nil"/>
        </w:pBdr>
        <w:spacing w:after="240"/>
        <w:rPr>
          <w:color w:val="000000"/>
        </w:rPr>
      </w:pPr>
      <w:proofErr w:type="spellStart"/>
      <w:r>
        <w:rPr>
          <w:color w:val="000000"/>
        </w:rPr>
        <w:t>Wulantika</w:t>
      </w:r>
      <w:proofErr w:type="spellEnd"/>
      <w:r>
        <w:rPr>
          <w:color w:val="000000"/>
        </w:rPr>
        <w:t xml:space="preserve">, N., </w:t>
      </w:r>
      <w:proofErr w:type="spellStart"/>
      <w:r>
        <w:rPr>
          <w:color w:val="000000"/>
        </w:rPr>
        <w:t>Hariyanto</w:t>
      </w:r>
      <w:proofErr w:type="spellEnd"/>
      <w:r>
        <w:rPr>
          <w:color w:val="000000"/>
        </w:rPr>
        <w:t xml:space="preserve">, D. and </w:t>
      </w:r>
      <w:proofErr w:type="spellStart"/>
      <w:r>
        <w:rPr>
          <w:color w:val="000000"/>
        </w:rPr>
        <w:t>Safitri</w:t>
      </w:r>
      <w:proofErr w:type="spellEnd"/>
      <w:r>
        <w:rPr>
          <w:color w:val="000000"/>
        </w:rPr>
        <w:t xml:space="preserve">, H. (2018). </w:t>
      </w:r>
      <w:proofErr w:type="spellStart"/>
      <w:r>
        <w:rPr>
          <w:color w:val="000000"/>
        </w:rPr>
        <w:t>Pengaruh</w:t>
      </w:r>
      <w:proofErr w:type="spellEnd"/>
      <w:r>
        <w:rPr>
          <w:color w:val="000000"/>
        </w:rPr>
        <w:t xml:space="preserve"> Current Ratio, Return on Equity dan Market to Book Ratio </w:t>
      </w:r>
      <w:proofErr w:type="spellStart"/>
      <w:r>
        <w:rPr>
          <w:color w:val="000000"/>
        </w:rPr>
        <w:t>Terhadap</w:t>
      </w:r>
      <w:proofErr w:type="spellEnd"/>
      <w:r>
        <w:rPr>
          <w:color w:val="000000"/>
        </w:rPr>
        <w:t xml:space="preserve"> Harga Saham. </w:t>
      </w:r>
      <w:r>
        <w:rPr>
          <w:i/>
          <w:color w:val="000000"/>
        </w:rPr>
        <w:t>JURNAL PRODUKTIVITAS</w:t>
      </w:r>
      <w:r>
        <w:rPr>
          <w:color w:val="000000"/>
        </w:rPr>
        <w:t>, 5(1). doi:10.29406/</w:t>
      </w:r>
      <w:proofErr w:type="gramStart"/>
      <w:r>
        <w:rPr>
          <w:color w:val="000000"/>
        </w:rPr>
        <w:t>jpr.v</w:t>
      </w:r>
      <w:proofErr w:type="gramEnd"/>
      <w:r>
        <w:rPr>
          <w:color w:val="000000"/>
        </w:rPr>
        <w:t>5i1.1246.</w:t>
      </w:r>
    </w:p>
    <w:p w14:paraId="65CF2D75" w14:textId="77777777" w:rsidR="00AE4F4B" w:rsidRDefault="00AE4F4B">
      <w:pPr>
        <w:pBdr>
          <w:top w:val="nil"/>
          <w:left w:val="nil"/>
          <w:bottom w:val="nil"/>
          <w:right w:val="nil"/>
          <w:between w:val="nil"/>
        </w:pBdr>
        <w:spacing w:after="240"/>
        <w:rPr>
          <w:color w:val="000000"/>
        </w:rPr>
      </w:pPr>
    </w:p>
    <w:p w14:paraId="580FC9CE" w14:textId="77777777" w:rsidR="00AE4F4B" w:rsidRDefault="00AE4F4B"/>
    <w:sectPr w:rsidR="00AE4F4B">
      <w:footerReference w:type="default" r:id="rId16"/>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EA28A" w14:textId="77777777" w:rsidR="00E5535B" w:rsidRDefault="00E5535B">
      <w:pPr>
        <w:spacing w:after="0" w:line="240" w:lineRule="auto"/>
      </w:pPr>
      <w:r>
        <w:separator/>
      </w:r>
    </w:p>
  </w:endnote>
  <w:endnote w:type="continuationSeparator" w:id="0">
    <w:p w14:paraId="64058EC7" w14:textId="77777777" w:rsidR="00E5535B" w:rsidRDefault="00E55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28067" w14:textId="77777777" w:rsidR="00AE4F4B"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A63AA3">
      <w:rPr>
        <w:noProof/>
        <w:color w:val="000000"/>
      </w:rPr>
      <w:t>1</w:t>
    </w:r>
    <w:r>
      <w:rPr>
        <w:color w:val="000000"/>
      </w:rPr>
      <w:fldChar w:fldCharType="end"/>
    </w:r>
  </w:p>
  <w:p w14:paraId="3B14BD45" w14:textId="77777777" w:rsidR="00AE4F4B" w:rsidRDefault="00AE4F4B">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67D4D" w14:textId="77777777" w:rsidR="00E5535B" w:rsidRDefault="00E5535B">
      <w:pPr>
        <w:spacing w:after="0" w:line="240" w:lineRule="auto"/>
      </w:pPr>
      <w:r>
        <w:separator/>
      </w:r>
    </w:p>
  </w:footnote>
  <w:footnote w:type="continuationSeparator" w:id="0">
    <w:p w14:paraId="4FC9BF0E" w14:textId="77777777" w:rsidR="00E5535B" w:rsidRDefault="00E553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4F4B"/>
    <w:rsid w:val="00A63AA3"/>
    <w:rsid w:val="00AE4F4B"/>
    <w:rsid w:val="00E553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9FDD6"/>
  <w15:docId w15:val="{6D0F15D7-C2B2-410F-A85C-A87633E71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B68"/>
  </w:style>
  <w:style w:type="paragraph" w:styleId="Heading1">
    <w:name w:val="heading 1"/>
    <w:basedOn w:val="Normal"/>
    <w:next w:val="Normal"/>
    <w:link w:val="Heading1Char"/>
    <w:uiPriority w:val="9"/>
    <w:qFormat/>
    <w:rsid w:val="00D97593"/>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52B68"/>
    <w:pPr>
      <w:keepNext/>
      <w:keepLines/>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D97593"/>
    <w:rPr>
      <w:rFonts w:ascii="Times New Roman" w:eastAsiaTheme="majorEastAsia" w:hAnsi="Times New Roman"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A52B68"/>
    <w:rPr>
      <w:rFonts w:ascii="Times New Roman" w:eastAsiaTheme="majorEastAsia" w:hAnsi="Times New Roman" w:cstheme="majorBidi"/>
      <w:color w:val="2E74B5" w:themeColor="accent1" w:themeShade="BF"/>
      <w:sz w:val="24"/>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DF66D5"/>
    <w:pPr>
      <w:spacing w:before="100" w:beforeAutospacing="1" w:after="100" w:afterAutospacing="1" w:line="240" w:lineRule="auto"/>
      <w:jc w:val="left"/>
    </w:pPr>
    <w:rPr>
      <w:lang w:val="en-US"/>
    </w:rPr>
  </w:style>
  <w:style w:type="paragraph" w:styleId="Header">
    <w:name w:val="header"/>
    <w:basedOn w:val="Normal"/>
    <w:link w:val="HeaderChar"/>
    <w:uiPriority w:val="99"/>
    <w:unhideWhenUsed/>
    <w:rsid w:val="00E90D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0DC4"/>
    <w:rPr>
      <w:rFonts w:ascii="Times New Roman" w:hAnsi="Times New Roman"/>
      <w:sz w:val="24"/>
    </w:rPr>
  </w:style>
  <w:style w:type="paragraph" w:styleId="Footer">
    <w:name w:val="footer"/>
    <w:basedOn w:val="Normal"/>
    <w:link w:val="FooterChar"/>
    <w:uiPriority w:val="99"/>
    <w:unhideWhenUsed/>
    <w:rsid w:val="00E90D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0DC4"/>
    <w:rPr>
      <w:rFonts w:ascii="Times New Roman" w:hAnsi="Times New Roman"/>
      <w:sz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BjlKWosFcWcpfbytJDUxIgQBlRg==">AMUW2mW8uPq0Wm8MsvsFtwQeTwgMCumdmXJN66E0tCtUXqTn07YLs1oF7Kj37oYCiFNFsJpNSy8++TLeiIJIS5Puj4iR3YrZnEch/28VpZpZtM9Kr7Z8mfBwEL/JXO3e4N+mRRGfJdWqYiKIanTSGjQsaSQqtHaOJ0sSdsDpdTCPfEakPUisWE2bd6u1kTNLeW0q9j8DnNNvMxM/zZ87o+A1DAJxJDFiFLyb68NBL375Ta0M46SK+AfoFw635fC0VC2LfZ8ShlNaKYTqCFiQT9utUohFjFku6ayF/V2txEp2VGY3FG6WIPEOFBgGimARBUvIXpxjpEL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2493</Words>
  <Characters>14211</Characters>
  <Application>Microsoft Office Word</Application>
  <DocSecurity>0</DocSecurity>
  <Lines>118</Lines>
  <Paragraphs>33</Paragraphs>
  <ScaleCrop>false</ScaleCrop>
  <Company/>
  <LinksUpToDate>false</LinksUpToDate>
  <CharactersWithSpaces>16671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Marie Pitson</dc:creator>
  <cp:lastModifiedBy>Pirun</cp:lastModifiedBy>
  <cp:revision>2</cp:revision>
  <dcterms:created xsi:type="dcterms:W3CDTF">2022-12-04T07:25:00Z</dcterms:created>
  <dcterms:modified xsi:type="dcterms:W3CDTF">2022-12-07T14:38:00Z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