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37289465"/>
        <w:docPartObj>
          <w:docPartGallery w:val="Cover Pages"/>
          <w:docPartUnique/>
        </w:docPartObj>
      </w:sdtPr>
      <w:sdtEndPr>
        <w:rPr>
          <w:rFonts w:eastAsiaTheme="minorHAnsi"/>
          <w:color w:val="auto"/>
          <w:kern w:val="2"/>
          <w:lang w:val="en-GB"/>
          <w14:ligatures w14:val="standardContextual"/>
        </w:rPr>
      </w:sdtEndPr>
      <w:sdtContent>
        <w:p w14:paraId="12719934" w14:textId="77777777" w:rsidR="00D03EB9" w:rsidRDefault="00D03EB9" w:rsidP="00D03EB9">
          <w:pPr>
            <w:pStyle w:val="NoSpacing"/>
            <w:jc w:val="center"/>
            <w:rPr>
              <w:rFonts w:ascii="Arial" w:hAnsi="Arial" w:cs="Arial"/>
              <w:b/>
              <w:sz w:val="40"/>
              <w:szCs w:val="40"/>
            </w:rPr>
          </w:pPr>
          <w:r>
            <w:rPr>
              <w:noProof/>
              <w:color w:val="4472C4" w:themeColor="accent1"/>
            </w:rPr>
            <w:drawing>
              <wp:inline distT="0" distB="0" distL="0" distR="0" wp14:anchorId="631FFFB1" wp14:editId="5DA1224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Pr="00D03EB9">
            <w:rPr>
              <w:rFonts w:ascii="Arial" w:hAnsi="Arial" w:cs="Arial"/>
              <w:b/>
              <w:sz w:val="40"/>
              <w:szCs w:val="40"/>
            </w:rPr>
            <w:t xml:space="preserve"> </w:t>
          </w:r>
        </w:p>
        <w:p w14:paraId="7D4CC479" w14:textId="3DF95546" w:rsidR="00D03EB9" w:rsidRDefault="00D03EB9" w:rsidP="00D03EB9">
          <w:pPr>
            <w:pStyle w:val="NoSpacing"/>
            <w:jc w:val="center"/>
            <w:rPr>
              <w:rFonts w:ascii="Arial" w:hAnsi="Arial" w:cs="Arial"/>
              <w:b/>
              <w:bCs/>
              <w:sz w:val="40"/>
              <w:szCs w:val="40"/>
            </w:rPr>
          </w:pPr>
          <w:r w:rsidRPr="00D03EB9">
            <w:rPr>
              <w:rFonts w:ascii="Arial" w:hAnsi="Arial" w:cs="Arial"/>
              <w:b/>
              <w:bCs/>
              <w:sz w:val="40"/>
              <w:szCs w:val="40"/>
            </w:rPr>
            <w:t>Human Resource Management in Global Context</w:t>
          </w:r>
        </w:p>
        <w:p w14:paraId="7DBD2DC0" w14:textId="77777777" w:rsidR="00D03EB9" w:rsidRPr="00D03EB9" w:rsidRDefault="00D03EB9" w:rsidP="00D03EB9">
          <w:pPr>
            <w:pStyle w:val="NoSpacing"/>
            <w:jc w:val="center"/>
            <w:rPr>
              <w:rFonts w:ascii="Arial" w:hAnsi="Arial" w:cs="Arial"/>
              <w:b/>
              <w:sz w:val="40"/>
              <w:szCs w:val="40"/>
            </w:rPr>
          </w:pPr>
        </w:p>
        <w:p w14:paraId="0C79FABB" w14:textId="2B0F195D" w:rsidR="00D03EB9" w:rsidRPr="00D03EB9" w:rsidRDefault="00D03EB9" w:rsidP="00D03EB9">
          <w:pPr>
            <w:pStyle w:val="NoSpacing"/>
            <w:jc w:val="center"/>
            <w:rPr>
              <w:rFonts w:ascii="Arial" w:hAnsi="Arial" w:cs="Arial"/>
              <w:b/>
              <w:sz w:val="40"/>
              <w:szCs w:val="40"/>
            </w:rPr>
          </w:pPr>
          <w:proofErr w:type="spellStart"/>
          <w:r w:rsidRPr="00D03EB9">
            <w:rPr>
              <w:rFonts w:ascii="Arial" w:hAnsi="Arial" w:cs="Arial"/>
              <w:b/>
              <w:sz w:val="40"/>
              <w:szCs w:val="40"/>
            </w:rPr>
            <w:t>Programme</w:t>
          </w:r>
          <w:proofErr w:type="spellEnd"/>
          <w:r w:rsidRPr="00D03EB9">
            <w:rPr>
              <w:rFonts w:ascii="Arial" w:hAnsi="Arial" w:cs="Arial"/>
              <w:b/>
              <w:sz w:val="40"/>
              <w:szCs w:val="40"/>
            </w:rPr>
            <w:t xml:space="preserve">: </w:t>
          </w:r>
          <w:r w:rsidRPr="00D03EB9">
            <w:rPr>
              <w:rFonts w:ascii="Arial" w:hAnsi="Arial" w:cs="Arial"/>
              <w:bCs/>
              <w:sz w:val="40"/>
              <w:szCs w:val="40"/>
            </w:rPr>
            <w:t>Master of Business Administration</w:t>
          </w:r>
        </w:p>
        <w:p w14:paraId="3E949620" w14:textId="77777777" w:rsidR="00D03EB9" w:rsidRPr="00D03EB9" w:rsidRDefault="00D03EB9" w:rsidP="00D03EB9">
          <w:pPr>
            <w:pStyle w:val="NoSpacing"/>
            <w:jc w:val="center"/>
            <w:rPr>
              <w:rFonts w:ascii="Arial" w:hAnsi="Arial" w:cs="Arial"/>
              <w:bCs/>
              <w:sz w:val="40"/>
              <w:szCs w:val="40"/>
            </w:rPr>
          </w:pPr>
          <w:r w:rsidRPr="00D03EB9">
            <w:rPr>
              <w:rFonts w:ascii="Arial" w:hAnsi="Arial" w:cs="Arial"/>
              <w:b/>
              <w:sz w:val="40"/>
              <w:szCs w:val="40"/>
            </w:rPr>
            <w:t xml:space="preserve">Module: </w:t>
          </w:r>
          <w:r w:rsidRPr="00D03EB9">
            <w:rPr>
              <w:rFonts w:ascii="Arial" w:hAnsi="Arial" w:cs="Arial"/>
              <w:bCs/>
              <w:sz w:val="40"/>
              <w:szCs w:val="40"/>
            </w:rPr>
            <w:t>Managing Performance</w:t>
          </w:r>
        </w:p>
        <w:p w14:paraId="65501A52" w14:textId="77777777" w:rsidR="00D03EB9" w:rsidRPr="00D03EB9" w:rsidRDefault="00D03EB9" w:rsidP="00D03EB9">
          <w:pPr>
            <w:pStyle w:val="NoSpacing"/>
            <w:jc w:val="center"/>
            <w:rPr>
              <w:rFonts w:ascii="Arial" w:hAnsi="Arial" w:cs="Arial"/>
              <w:b/>
              <w:sz w:val="40"/>
              <w:szCs w:val="40"/>
            </w:rPr>
          </w:pPr>
          <w:r w:rsidRPr="00D03EB9">
            <w:rPr>
              <w:rFonts w:ascii="Arial" w:hAnsi="Arial" w:cs="Arial"/>
              <w:b/>
              <w:sz w:val="40"/>
              <w:szCs w:val="40"/>
            </w:rPr>
            <w:t xml:space="preserve">Module code: </w:t>
          </w:r>
          <w:r w:rsidRPr="00D03EB9">
            <w:rPr>
              <w:rFonts w:ascii="Arial" w:hAnsi="Arial" w:cs="Arial"/>
              <w:bCs/>
              <w:sz w:val="40"/>
              <w:szCs w:val="40"/>
            </w:rPr>
            <w:t>LCMB7013</w:t>
          </w:r>
        </w:p>
        <w:p w14:paraId="577C8FAC" w14:textId="051A3EEF" w:rsidR="00D03EB9" w:rsidRPr="00D03EB9" w:rsidRDefault="00D03EB9" w:rsidP="00D03EB9">
          <w:pPr>
            <w:pStyle w:val="NoSpacing"/>
            <w:jc w:val="center"/>
            <w:rPr>
              <w:rFonts w:ascii="Arial" w:hAnsi="Arial" w:cs="Arial"/>
              <w:b/>
              <w:sz w:val="40"/>
              <w:szCs w:val="40"/>
            </w:rPr>
          </w:pPr>
          <w:r w:rsidRPr="00D03EB9">
            <w:rPr>
              <w:rFonts w:ascii="Arial" w:hAnsi="Arial" w:cs="Arial"/>
              <w:b/>
              <w:sz w:val="40"/>
              <w:szCs w:val="40"/>
            </w:rPr>
            <w:t xml:space="preserve">Lecturer: </w:t>
          </w:r>
          <w:r w:rsidRPr="00D03EB9">
            <w:rPr>
              <w:rFonts w:ascii="Arial" w:hAnsi="Arial" w:cs="Arial"/>
              <w:bCs/>
              <w:sz w:val="40"/>
              <w:szCs w:val="40"/>
            </w:rPr>
            <w:t>Prof D G Pepple</w:t>
          </w:r>
        </w:p>
        <w:p w14:paraId="6E7394CA" w14:textId="0A63D57B" w:rsidR="00D03EB9" w:rsidRDefault="00D03EB9">
          <w:pPr>
            <w:pStyle w:val="NoSpacing"/>
            <w:spacing w:before="480"/>
            <w:jc w:val="center"/>
            <w:rPr>
              <w:color w:val="4472C4" w:themeColor="accent1"/>
            </w:rPr>
          </w:pPr>
          <w:r>
            <w:rPr>
              <w:noProof/>
              <w:color w:val="4472C4" w:themeColor="accent1"/>
            </w:rPr>
            <w:drawing>
              <wp:inline distT="0" distB="0" distL="0" distR="0" wp14:anchorId="1774BFA8" wp14:editId="3301848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C7F8F7" w14:textId="667A3CC0" w:rsidR="00D03EB9" w:rsidRDefault="00DD1DF6">
          <w:r>
            <w:rPr>
              <w:noProof/>
            </w:rPr>
            <mc:AlternateContent>
              <mc:Choice Requires="wps">
                <w:drawing>
                  <wp:anchor distT="45720" distB="45720" distL="114300" distR="114300" simplePos="0" relativeHeight="251659264" behindDoc="0" locked="0" layoutInCell="1" allowOverlap="1" wp14:anchorId="7A798B0E" wp14:editId="28B7B89C">
                    <wp:simplePos x="0" y="0"/>
                    <wp:positionH relativeFrom="margin">
                      <wp:posOffset>950400</wp:posOffset>
                    </wp:positionH>
                    <wp:positionV relativeFrom="paragraph">
                      <wp:posOffset>3167070</wp:posOffset>
                    </wp:positionV>
                    <wp:extent cx="3989705" cy="1404620"/>
                    <wp:effectExtent l="0" t="0" r="1079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705" cy="1404620"/>
                            </a:xfrm>
                            <a:prstGeom prst="rect">
                              <a:avLst/>
                            </a:prstGeom>
                            <a:solidFill>
                              <a:srgbClr val="FFFFFF"/>
                            </a:solidFill>
                            <a:ln w="9525">
                              <a:solidFill>
                                <a:srgbClr val="000000"/>
                              </a:solidFill>
                              <a:miter lim="800000"/>
                              <a:headEnd/>
                              <a:tailEnd/>
                            </a:ln>
                          </wps:spPr>
                          <wps:txbx>
                            <w:txbxContent>
                              <w:p w14:paraId="7B32C9F2" w14:textId="31003389" w:rsidR="00DD1DF6" w:rsidRPr="00DD1DF6" w:rsidRDefault="00DD1DF6">
                                <w:pPr>
                                  <w:rPr>
                                    <w:rFonts w:ascii="Arial" w:hAnsi="Arial" w:cs="Arial"/>
                                    <w:b/>
                                    <w:bCs/>
                                    <w:sz w:val="44"/>
                                    <w:szCs w:val="44"/>
                                  </w:rPr>
                                </w:pPr>
                                <w:r w:rsidRPr="00DD1DF6">
                                  <w:rPr>
                                    <w:rFonts w:ascii="Arial" w:hAnsi="Arial" w:cs="Arial"/>
                                    <w:b/>
                                    <w:bCs/>
                                    <w:sz w:val="44"/>
                                    <w:szCs w:val="44"/>
                                  </w:rPr>
                                  <w:t>Kerris Adina Smith 1915100</w:t>
                                </w:r>
                              </w:p>
                              <w:p w14:paraId="47C73BA9" w14:textId="77777777" w:rsidR="00DD1DF6" w:rsidRDefault="00DD1DF6">
                                <w:pPr>
                                  <w:pStyle w:val="NoSpacing"/>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798B0E" id="_x0000_t202" coordsize="21600,21600" o:spt="202" path="m,l,21600r21600,l21600,xe">
                    <v:stroke joinstyle="miter"/>
                    <v:path gradientshapeok="t" o:connecttype="rect"/>
                  </v:shapetype>
                  <v:shape id="Text Box 2" o:spid="_x0000_s1026" type="#_x0000_t202" style="position:absolute;margin-left:74.85pt;margin-top:249.4pt;width:314.1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">
                    <v:textbox style="mso-fit-shape-to-text:t">
                      <w:txbxContent>
                        <w:p w14:paraId="7B32C9F2" w14:textId="31003389" w:rsidR="00DD1DF6" w:rsidRPr="00DD1DF6" w:rsidRDefault="00DD1DF6">
                          <w:pPr>
                            <w:rPr>
                              <w:rFonts w:ascii="Arial" w:hAnsi="Arial" w:cs="Arial"/>
                              <w:b/>
                              <w:bCs/>
                              <w:sz w:val="44"/>
                              <w:szCs w:val="44"/>
                            </w:rPr>
                          </w:pPr>
                          <w:r w:rsidRPr="00DD1DF6">
                            <w:rPr>
                              <w:rFonts w:ascii="Arial" w:hAnsi="Arial" w:cs="Arial"/>
                              <w:b/>
                              <w:bCs/>
                              <w:sz w:val="44"/>
                              <w:szCs w:val="44"/>
                            </w:rPr>
                            <w:t>Kerris Adina Smith 1915100</w:t>
                          </w:r>
                        </w:p>
                        <w:p w14:paraId="47C73BA9" w14:textId="77777777" w:rsidR="00DD1DF6" w:rsidRDefault="00DD1DF6">
                          <w:pPr>
                            <w:pStyle w:val="NoSpacing"/>
                            <w:jc w:val="center"/>
                          </w:pPr>
                        </w:p>
                      </w:txbxContent>
                    </v:textbox>
                    <w10:wrap type="square" anchorx="margin"/>
                  </v:shape>
                </w:pict>
              </mc:Fallback>
            </mc:AlternateContent>
          </w:r>
          <w:r w:rsidR="00D03EB9">
            <w:br w:type="page"/>
          </w:r>
        </w:p>
      </w:sdtContent>
    </w:sdt>
    <w:sdt>
      <w:sdtPr>
        <w:id w:val="13191008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56FA852" w14:textId="6EB3D48E" w:rsidR="00DD1DF6" w:rsidRDefault="00DD1DF6">
          <w:pPr>
            <w:pStyle w:val="TOCHeading"/>
          </w:pPr>
          <w:r>
            <w:t>Table of Contents</w:t>
          </w:r>
        </w:p>
        <w:p w14:paraId="7EF13216" w14:textId="29A43B00" w:rsidR="00DD1DF6" w:rsidRDefault="00DD1DF6">
          <w:pPr>
            <w:pStyle w:val="TOC1"/>
            <w:tabs>
              <w:tab w:val="right" w:leader="dot" w:pos="9016"/>
            </w:tabs>
            <w:rPr>
              <w:noProof/>
            </w:rPr>
          </w:pPr>
          <w:r>
            <w:fldChar w:fldCharType="begin"/>
          </w:r>
          <w:r>
            <w:instrText xml:space="preserve"> TOC \o "1-3" \h \z \u </w:instrText>
          </w:r>
          <w:r>
            <w:fldChar w:fldCharType="separate"/>
          </w:r>
          <w:hyperlink w:anchor="_Toc151028895" w:history="1">
            <w:r w:rsidRPr="00D85C36">
              <w:rPr>
                <w:rStyle w:val="Hyperlink"/>
                <w:noProof/>
              </w:rPr>
              <w:t>Abstract</w:t>
            </w:r>
            <w:r>
              <w:rPr>
                <w:noProof/>
                <w:webHidden/>
              </w:rPr>
              <w:tab/>
            </w:r>
            <w:r>
              <w:rPr>
                <w:noProof/>
                <w:webHidden/>
              </w:rPr>
              <w:fldChar w:fldCharType="begin"/>
            </w:r>
            <w:r>
              <w:rPr>
                <w:noProof/>
                <w:webHidden/>
              </w:rPr>
              <w:instrText xml:space="preserve"> PAGEREF _Toc151028895 \h </w:instrText>
            </w:r>
            <w:r>
              <w:rPr>
                <w:noProof/>
                <w:webHidden/>
              </w:rPr>
            </w:r>
            <w:r>
              <w:rPr>
                <w:noProof/>
                <w:webHidden/>
              </w:rPr>
              <w:fldChar w:fldCharType="separate"/>
            </w:r>
            <w:r>
              <w:rPr>
                <w:noProof/>
                <w:webHidden/>
              </w:rPr>
              <w:t>2</w:t>
            </w:r>
            <w:r>
              <w:rPr>
                <w:noProof/>
                <w:webHidden/>
              </w:rPr>
              <w:fldChar w:fldCharType="end"/>
            </w:r>
          </w:hyperlink>
        </w:p>
        <w:p w14:paraId="061B62A4" w14:textId="75F41B9D" w:rsidR="00DD1DF6" w:rsidRDefault="00DD1DF6">
          <w:pPr>
            <w:pStyle w:val="TOC1"/>
            <w:tabs>
              <w:tab w:val="right" w:leader="dot" w:pos="9016"/>
            </w:tabs>
            <w:rPr>
              <w:noProof/>
            </w:rPr>
          </w:pPr>
          <w:hyperlink w:anchor="_Toc151028896" w:history="1">
            <w:r w:rsidRPr="00D85C36">
              <w:rPr>
                <w:rStyle w:val="Hyperlink"/>
                <w:noProof/>
              </w:rPr>
              <w:t>Introduction</w:t>
            </w:r>
            <w:r>
              <w:rPr>
                <w:noProof/>
                <w:webHidden/>
              </w:rPr>
              <w:tab/>
            </w:r>
            <w:r>
              <w:rPr>
                <w:noProof/>
                <w:webHidden/>
              </w:rPr>
              <w:fldChar w:fldCharType="begin"/>
            </w:r>
            <w:r>
              <w:rPr>
                <w:noProof/>
                <w:webHidden/>
              </w:rPr>
              <w:instrText xml:space="preserve"> PAGEREF _Toc151028896 \h </w:instrText>
            </w:r>
            <w:r>
              <w:rPr>
                <w:noProof/>
                <w:webHidden/>
              </w:rPr>
            </w:r>
            <w:r>
              <w:rPr>
                <w:noProof/>
                <w:webHidden/>
              </w:rPr>
              <w:fldChar w:fldCharType="separate"/>
            </w:r>
            <w:r>
              <w:rPr>
                <w:noProof/>
                <w:webHidden/>
              </w:rPr>
              <w:t>2</w:t>
            </w:r>
            <w:r>
              <w:rPr>
                <w:noProof/>
                <w:webHidden/>
              </w:rPr>
              <w:fldChar w:fldCharType="end"/>
            </w:r>
          </w:hyperlink>
        </w:p>
        <w:p w14:paraId="63A3EFBD" w14:textId="5F652567" w:rsidR="00DD1DF6" w:rsidRDefault="00DD1DF6">
          <w:pPr>
            <w:pStyle w:val="TOC1"/>
            <w:tabs>
              <w:tab w:val="right" w:leader="dot" w:pos="9016"/>
            </w:tabs>
            <w:rPr>
              <w:noProof/>
            </w:rPr>
          </w:pPr>
          <w:hyperlink w:anchor="_Toc151028897" w:history="1">
            <w:r w:rsidRPr="00D85C36">
              <w:rPr>
                <w:rStyle w:val="Hyperlink"/>
                <w:noProof/>
              </w:rPr>
              <w:t>Ethnocentric Approach</w:t>
            </w:r>
            <w:r>
              <w:rPr>
                <w:noProof/>
                <w:webHidden/>
              </w:rPr>
              <w:tab/>
            </w:r>
            <w:r>
              <w:rPr>
                <w:noProof/>
                <w:webHidden/>
              </w:rPr>
              <w:fldChar w:fldCharType="begin"/>
            </w:r>
            <w:r>
              <w:rPr>
                <w:noProof/>
                <w:webHidden/>
              </w:rPr>
              <w:instrText xml:space="preserve"> PAGEREF _Toc151028897 \h </w:instrText>
            </w:r>
            <w:r>
              <w:rPr>
                <w:noProof/>
                <w:webHidden/>
              </w:rPr>
            </w:r>
            <w:r>
              <w:rPr>
                <w:noProof/>
                <w:webHidden/>
              </w:rPr>
              <w:fldChar w:fldCharType="separate"/>
            </w:r>
            <w:r>
              <w:rPr>
                <w:noProof/>
                <w:webHidden/>
              </w:rPr>
              <w:t>3</w:t>
            </w:r>
            <w:r>
              <w:rPr>
                <w:noProof/>
                <w:webHidden/>
              </w:rPr>
              <w:fldChar w:fldCharType="end"/>
            </w:r>
          </w:hyperlink>
        </w:p>
        <w:p w14:paraId="23310E69" w14:textId="2A9B37DC" w:rsidR="00DD1DF6" w:rsidRDefault="00DD1DF6">
          <w:pPr>
            <w:pStyle w:val="TOC1"/>
            <w:tabs>
              <w:tab w:val="right" w:leader="dot" w:pos="9016"/>
            </w:tabs>
            <w:rPr>
              <w:noProof/>
            </w:rPr>
          </w:pPr>
          <w:hyperlink w:anchor="_Toc151028898" w:history="1">
            <w:r w:rsidRPr="00D85C36">
              <w:rPr>
                <w:rStyle w:val="Hyperlink"/>
                <w:noProof/>
              </w:rPr>
              <w:t>Polycentric Strategy</w:t>
            </w:r>
            <w:r>
              <w:rPr>
                <w:noProof/>
                <w:webHidden/>
              </w:rPr>
              <w:tab/>
            </w:r>
            <w:r>
              <w:rPr>
                <w:noProof/>
                <w:webHidden/>
              </w:rPr>
              <w:fldChar w:fldCharType="begin"/>
            </w:r>
            <w:r>
              <w:rPr>
                <w:noProof/>
                <w:webHidden/>
              </w:rPr>
              <w:instrText xml:space="preserve"> PAGEREF _Toc151028898 \h </w:instrText>
            </w:r>
            <w:r>
              <w:rPr>
                <w:noProof/>
                <w:webHidden/>
              </w:rPr>
            </w:r>
            <w:r>
              <w:rPr>
                <w:noProof/>
                <w:webHidden/>
              </w:rPr>
              <w:fldChar w:fldCharType="separate"/>
            </w:r>
            <w:r>
              <w:rPr>
                <w:noProof/>
                <w:webHidden/>
              </w:rPr>
              <w:t>4</w:t>
            </w:r>
            <w:r>
              <w:rPr>
                <w:noProof/>
                <w:webHidden/>
              </w:rPr>
              <w:fldChar w:fldCharType="end"/>
            </w:r>
          </w:hyperlink>
        </w:p>
        <w:p w14:paraId="2C02A970" w14:textId="0EA91BB4" w:rsidR="00DD1DF6" w:rsidRDefault="00DD1DF6">
          <w:pPr>
            <w:pStyle w:val="TOC1"/>
            <w:tabs>
              <w:tab w:val="right" w:leader="dot" w:pos="9016"/>
            </w:tabs>
            <w:rPr>
              <w:noProof/>
            </w:rPr>
          </w:pPr>
          <w:hyperlink w:anchor="_Toc151028899" w:history="1">
            <w:r w:rsidRPr="00D85C36">
              <w:rPr>
                <w:rStyle w:val="Hyperlink"/>
                <w:noProof/>
              </w:rPr>
              <w:t>Geocentric Strategy</w:t>
            </w:r>
            <w:r>
              <w:rPr>
                <w:noProof/>
                <w:webHidden/>
              </w:rPr>
              <w:tab/>
            </w:r>
            <w:r>
              <w:rPr>
                <w:noProof/>
                <w:webHidden/>
              </w:rPr>
              <w:fldChar w:fldCharType="begin"/>
            </w:r>
            <w:r>
              <w:rPr>
                <w:noProof/>
                <w:webHidden/>
              </w:rPr>
              <w:instrText xml:space="preserve"> PAGEREF _Toc151028899 \h </w:instrText>
            </w:r>
            <w:r>
              <w:rPr>
                <w:noProof/>
                <w:webHidden/>
              </w:rPr>
            </w:r>
            <w:r>
              <w:rPr>
                <w:noProof/>
                <w:webHidden/>
              </w:rPr>
              <w:fldChar w:fldCharType="separate"/>
            </w:r>
            <w:r>
              <w:rPr>
                <w:noProof/>
                <w:webHidden/>
              </w:rPr>
              <w:t>4</w:t>
            </w:r>
            <w:r>
              <w:rPr>
                <w:noProof/>
                <w:webHidden/>
              </w:rPr>
              <w:fldChar w:fldCharType="end"/>
            </w:r>
          </w:hyperlink>
        </w:p>
        <w:p w14:paraId="7D2AF89D" w14:textId="6FD3D4CC" w:rsidR="00DD1DF6" w:rsidRDefault="00DD1DF6">
          <w:pPr>
            <w:pStyle w:val="TOC1"/>
            <w:tabs>
              <w:tab w:val="right" w:leader="dot" w:pos="9016"/>
            </w:tabs>
            <w:rPr>
              <w:noProof/>
            </w:rPr>
          </w:pPr>
          <w:hyperlink w:anchor="_Toc151028900" w:history="1">
            <w:r w:rsidRPr="00D85C36">
              <w:rPr>
                <w:rStyle w:val="Hyperlink"/>
                <w:noProof/>
              </w:rPr>
              <w:t>Regiocentric Strategy</w:t>
            </w:r>
            <w:r>
              <w:rPr>
                <w:noProof/>
                <w:webHidden/>
              </w:rPr>
              <w:tab/>
            </w:r>
            <w:r>
              <w:rPr>
                <w:noProof/>
                <w:webHidden/>
              </w:rPr>
              <w:fldChar w:fldCharType="begin"/>
            </w:r>
            <w:r>
              <w:rPr>
                <w:noProof/>
                <w:webHidden/>
              </w:rPr>
              <w:instrText xml:space="preserve"> PAGEREF _Toc151028900 \h </w:instrText>
            </w:r>
            <w:r>
              <w:rPr>
                <w:noProof/>
                <w:webHidden/>
              </w:rPr>
            </w:r>
            <w:r>
              <w:rPr>
                <w:noProof/>
                <w:webHidden/>
              </w:rPr>
              <w:fldChar w:fldCharType="separate"/>
            </w:r>
            <w:r>
              <w:rPr>
                <w:noProof/>
                <w:webHidden/>
              </w:rPr>
              <w:t>4</w:t>
            </w:r>
            <w:r>
              <w:rPr>
                <w:noProof/>
                <w:webHidden/>
              </w:rPr>
              <w:fldChar w:fldCharType="end"/>
            </w:r>
          </w:hyperlink>
        </w:p>
        <w:p w14:paraId="74909173" w14:textId="5FA9EFBF" w:rsidR="00DD1DF6" w:rsidRDefault="00DD1DF6">
          <w:pPr>
            <w:pStyle w:val="TOC1"/>
            <w:tabs>
              <w:tab w:val="right" w:leader="dot" w:pos="9016"/>
            </w:tabs>
            <w:rPr>
              <w:noProof/>
            </w:rPr>
          </w:pPr>
          <w:hyperlink w:anchor="_Toc151028901" w:history="1">
            <w:r w:rsidRPr="00D85C36">
              <w:rPr>
                <w:rStyle w:val="Hyperlink"/>
                <w:noProof/>
              </w:rPr>
              <w:t>Advantages and Limitations of International Recruitment Approaches</w:t>
            </w:r>
            <w:r>
              <w:rPr>
                <w:noProof/>
                <w:webHidden/>
              </w:rPr>
              <w:tab/>
            </w:r>
            <w:r>
              <w:rPr>
                <w:noProof/>
                <w:webHidden/>
              </w:rPr>
              <w:fldChar w:fldCharType="begin"/>
            </w:r>
            <w:r>
              <w:rPr>
                <w:noProof/>
                <w:webHidden/>
              </w:rPr>
              <w:instrText xml:space="preserve"> PAGEREF _Toc151028901 \h </w:instrText>
            </w:r>
            <w:r>
              <w:rPr>
                <w:noProof/>
                <w:webHidden/>
              </w:rPr>
            </w:r>
            <w:r>
              <w:rPr>
                <w:noProof/>
                <w:webHidden/>
              </w:rPr>
              <w:fldChar w:fldCharType="separate"/>
            </w:r>
            <w:r>
              <w:rPr>
                <w:noProof/>
                <w:webHidden/>
              </w:rPr>
              <w:t>5</w:t>
            </w:r>
            <w:r>
              <w:rPr>
                <w:noProof/>
                <w:webHidden/>
              </w:rPr>
              <w:fldChar w:fldCharType="end"/>
            </w:r>
          </w:hyperlink>
        </w:p>
        <w:p w14:paraId="6928D0B3" w14:textId="797989C5" w:rsidR="00DD1DF6" w:rsidRDefault="00DD1DF6">
          <w:pPr>
            <w:pStyle w:val="TOC1"/>
            <w:tabs>
              <w:tab w:val="right" w:leader="dot" w:pos="9016"/>
            </w:tabs>
            <w:rPr>
              <w:noProof/>
            </w:rPr>
          </w:pPr>
          <w:hyperlink w:anchor="_Toc151028902" w:history="1">
            <w:r w:rsidRPr="00D85C36">
              <w:rPr>
                <w:rStyle w:val="Hyperlink"/>
                <w:noProof/>
              </w:rPr>
              <w:t>Factors Affecting the Recruitment of Staff Across Regions</w:t>
            </w:r>
            <w:r>
              <w:rPr>
                <w:noProof/>
                <w:webHidden/>
              </w:rPr>
              <w:tab/>
            </w:r>
            <w:r>
              <w:rPr>
                <w:noProof/>
                <w:webHidden/>
              </w:rPr>
              <w:fldChar w:fldCharType="begin"/>
            </w:r>
            <w:r>
              <w:rPr>
                <w:noProof/>
                <w:webHidden/>
              </w:rPr>
              <w:instrText xml:space="preserve"> PAGEREF _Toc151028902 \h </w:instrText>
            </w:r>
            <w:r>
              <w:rPr>
                <w:noProof/>
                <w:webHidden/>
              </w:rPr>
            </w:r>
            <w:r>
              <w:rPr>
                <w:noProof/>
                <w:webHidden/>
              </w:rPr>
              <w:fldChar w:fldCharType="separate"/>
            </w:r>
            <w:r>
              <w:rPr>
                <w:noProof/>
                <w:webHidden/>
              </w:rPr>
              <w:t>6</w:t>
            </w:r>
            <w:r>
              <w:rPr>
                <w:noProof/>
                <w:webHidden/>
              </w:rPr>
              <w:fldChar w:fldCharType="end"/>
            </w:r>
          </w:hyperlink>
        </w:p>
        <w:p w14:paraId="5DDB60D5" w14:textId="77CBCBF3" w:rsidR="00DD1DF6" w:rsidRDefault="00DD1DF6">
          <w:pPr>
            <w:pStyle w:val="TOC1"/>
            <w:tabs>
              <w:tab w:val="right" w:leader="dot" w:pos="9016"/>
            </w:tabs>
            <w:rPr>
              <w:noProof/>
            </w:rPr>
          </w:pPr>
          <w:hyperlink w:anchor="_Toc151028903" w:history="1">
            <w:r w:rsidRPr="00D85C36">
              <w:rPr>
                <w:rStyle w:val="Hyperlink"/>
                <w:noProof/>
              </w:rPr>
              <w:t>International Recruitment Process</w:t>
            </w:r>
            <w:r>
              <w:rPr>
                <w:noProof/>
                <w:webHidden/>
              </w:rPr>
              <w:tab/>
            </w:r>
            <w:r>
              <w:rPr>
                <w:noProof/>
                <w:webHidden/>
              </w:rPr>
              <w:fldChar w:fldCharType="begin"/>
            </w:r>
            <w:r>
              <w:rPr>
                <w:noProof/>
                <w:webHidden/>
              </w:rPr>
              <w:instrText xml:space="preserve"> PAGEREF _Toc151028903 \h </w:instrText>
            </w:r>
            <w:r>
              <w:rPr>
                <w:noProof/>
                <w:webHidden/>
              </w:rPr>
            </w:r>
            <w:r>
              <w:rPr>
                <w:noProof/>
                <w:webHidden/>
              </w:rPr>
              <w:fldChar w:fldCharType="separate"/>
            </w:r>
            <w:r>
              <w:rPr>
                <w:noProof/>
                <w:webHidden/>
              </w:rPr>
              <w:t>7</w:t>
            </w:r>
            <w:r>
              <w:rPr>
                <w:noProof/>
                <w:webHidden/>
              </w:rPr>
              <w:fldChar w:fldCharType="end"/>
            </w:r>
          </w:hyperlink>
        </w:p>
        <w:p w14:paraId="441EA43E" w14:textId="783F48A9" w:rsidR="00DD1DF6" w:rsidRDefault="00DD1DF6">
          <w:pPr>
            <w:pStyle w:val="TOC1"/>
            <w:tabs>
              <w:tab w:val="right" w:leader="dot" w:pos="9016"/>
            </w:tabs>
            <w:rPr>
              <w:noProof/>
            </w:rPr>
          </w:pPr>
          <w:hyperlink w:anchor="_Toc151028904" w:history="1">
            <w:r w:rsidRPr="00D85C36">
              <w:rPr>
                <w:rStyle w:val="Hyperlink"/>
                <w:noProof/>
              </w:rPr>
              <w:t>Recruitment</w:t>
            </w:r>
            <w:r>
              <w:rPr>
                <w:noProof/>
                <w:webHidden/>
              </w:rPr>
              <w:tab/>
            </w:r>
            <w:r>
              <w:rPr>
                <w:noProof/>
                <w:webHidden/>
              </w:rPr>
              <w:fldChar w:fldCharType="begin"/>
            </w:r>
            <w:r>
              <w:rPr>
                <w:noProof/>
                <w:webHidden/>
              </w:rPr>
              <w:instrText xml:space="preserve"> PAGEREF _Toc151028904 \h </w:instrText>
            </w:r>
            <w:r>
              <w:rPr>
                <w:noProof/>
                <w:webHidden/>
              </w:rPr>
            </w:r>
            <w:r>
              <w:rPr>
                <w:noProof/>
                <w:webHidden/>
              </w:rPr>
              <w:fldChar w:fldCharType="separate"/>
            </w:r>
            <w:r>
              <w:rPr>
                <w:noProof/>
                <w:webHidden/>
              </w:rPr>
              <w:t>8</w:t>
            </w:r>
            <w:r>
              <w:rPr>
                <w:noProof/>
                <w:webHidden/>
              </w:rPr>
              <w:fldChar w:fldCharType="end"/>
            </w:r>
          </w:hyperlink>
        </w:p>
        <w:p w14:paraId="668FC8B2" w14:textId="66C7F88D" w:rsidR="00DD1DF6" w:rsidRDefault="00DD1DF6">
          <w:pPr>
            <w:pStyle w:val="TOC1"/>
            <w:tabs>
              <w:tab w:val="right" w:leader="dot" w:pos="9016"/>
            </w:tabs>
            <w:rPr>
              <w:noProof/>
            </w:rPr>
          </w:pPr>
          <w:hyperlink w:anchor="_Toc151028905" w:history="1">
            <w:r w:rsidRPr="00D85C36">
              <w:rPr>
                <w:rStyle w:val="Hyperlink"/>
                <w:noProof/>
              </w:rPr>
              <w:t>Training</w:t>
            </w:r>
            <w:r>
              <w:rPr>
                <w:noProof/>
                <w:webHidden/>
              </w:rPr>
              <w:tab/>
            </w:r>
            <w:r>
              <w:rPr>
                <w:noProof/>
                <w:webHidden/>
              </w:rPr>
              <w:fldChar w:fldCharType="begin"/>
            </w:r>
            <w:r>
              <w:rPr>
                <w:noProof/>
                <w:webHidden/>
              </w:rPr>
              <w:instrText xml:space="preserve"> PAGEREF _Toc151028905 \h </w:instrText>
            </w:r>
            <w:r>
              <w:rPr>
                <w:noProof/>
                <w:webHidden/>
              </w:rPr>
            </w:r>
            <w:r>
              <w:rPr>
                <w:noProof/>
                <w:webHidden/>
              </w:rPr>
              <w:fldChar w:fldCharType="separate"/>
            </w:r>
            <w:r>
              <w:rPr>
                <w:noProof/>
                <w:webHidden/>
              </w:rPr>
              <w:t>10</w:t>
            </w:r>
            <w:r>
              <w:rPr>
                <w:noProof/>
                <w:webHidden/>
              </w:rPr>
              <w:fldChar w:fldCharType="end"/>
            </w:r>
          </w:hyperlink>
        </w:p>
        <w:p w14:paraId="35133D44" w14:textId="01C97108" w:rsidR="00DD1DF6" w:rsidRDefault="00DD1DF6">
          <w:pPr>
            <w:pStyle w:val="TOC1"/>
            <w:tabs>
              <w:tab w:val="right" w:leader="dot" w:pos="9016"/>
            </w:tabs>
            <w:rPr>
              <w:noProof/>
            </w:rPr>
          </w:pPr>
          <w:hyperlink w:anchor="_Toc151028906" w:history="1">
            <w:r w:rsidRPr="00D85C36">
              <w:rPr>
                <w:rStyle w:val="Hyperlink"/>
                <w:noProof/>
              </w:rPr>
              <w:t>Settlement</w:t>
            </w:r>
            <w:r>
              <w:rPr>
                <w:noProof/>
                <w:webHidden/>
              </w:rPr>
              <w:tab/>
            </w:r>
            <w:r>
              <w:rPr>
                <w:noProof/>
                <w:webHidden/>
              </w:rPr>
              <w:fldChar w:fldCharType="begin"/>
            </w:r>
            <w:r>
              <w:rPr>
                <w:noProof/>
                <w:webHidden/>
              </w:rPr>
              <w:instrText xml:space="preserve"> PAGEREF _Toc151028906 \h </w:instrText>
            </w:r>
            <w:r>
              <w:rPr>
                <w:noProof/>
                <w:webHidden/>
              </w:rPr>
            </w:r>
            <w:r>
              <w:rPr>
                <w:noProof/>
                <w:webHidden/>
              </w:rPr>
              <w:fldChar w:fldCharType="separate"/>
            </w:r>
            <w:r>
              <w:rPr>
                <w:noProof/>
                <w:webHidden/>
              </w:rPr>
              <w:t>12</w:t>
            </w:r>
            <w:r>
              <w:rPr>
                <w:noProof/>
                <w:webHidden/>
              </w:rPr>
              <w:fldChar w:fldCharType="end"/>
            </w:r>
          </w:hyperlink>
        </w:p>
        <w:p w14:paraId="3E22230F" w14:textId="72E54ECF" w:rsidR="00DD1DF6" w:rsidRDefault="00DD1DF6">
          <w:pPr>
            <w:pStyle w:val="TOC1"/>
            <w:tabs>
              <w:tab w:val="right" w:leader="dot" w:pos="9016"/>
            </w:tabs>
            <w:rPr>
              <w:noProof/>
            </w:rPr>
          </w:pPr>
          <w:hyperlink w:anchor="_Toc151028907" w:history="1">
            <w:r w:rsidRPr="00D85C36">
              <w:rPr>
                <w:rStyle w:val="Hyperlink"/>
                <w:noProof/>
              </w:rPr>
              <w:t>References</w:t>
            </w:r>
            <w:r>
              <w:rPr>
                <w:noProof/>
                <w:webHidden/>
              </w:rPr>
              <w:tab/>
            </w:r>
            <w:r>
              <w:rPr>
                <w:noProof/>
                <w:webHidden/>
              </w:rPr>
              <w:fldChar w:fldCharType="begin"/>
            </w:r>
            <w:r>
              <w:rPr>
                <w:noProof/>
                <w:webHidden/>
              </w:rPr>
              <w:instrText xml:space="preserve"> PAGEREF _Toc151028907 \h </w:instrText>
            </w:r>
            <w:r>
              <w:rPr>
                <w:noProof/>
                <w:webHidden/>
              </w:rPr>
            </w:r>
            <w:r>
              <w:rPr>
                <w:noProof/>
                <w:webHidden/>
              </w:rPr>
              <w:fldChar w:fldCharType="separate"/>
            </w:r>
            <w:r>
              <w:rPr>
                <w:noProof/>
                <w:webHidden/>
              </w:rPr>
              <w:t>15</w:t>
            </w:r>
            <w:r>
              <w:rPr>
                <w:noProof/>
                <w:webHidden/>
              </w:rPr>
              <w:fldChar w:fldCharType="end"/>
            </w:r>
          </w:hyperlink>
        </w:p>
        <w:p w14:paraId="17992DCE" w14:textId="3EA7C99F" w:rsidR="00DD1DF6" w:rsidRDefault="00DD1DF6">
          <w:r>
            <w:rPr>
              <w:b/>
              <w:bCs/>
              <w:noProof/>
            </w:rPr>
            <w:fldChar w:fldCharType="end"/>
          </w:r>
        </w:p>
      </w:sdtContent>
    </w:sdt>
    <w:p w14:paraId="1A4BC945" w14:textId="77777777" w:rsidR="00DD1DF6" w:rsidRDefault="00DD1DF6" w:rsidP="00D03EB9">
      <w:pPr>
        <w:rPr>
          <w:rFonts w:ascii="Arial" w:hAnsi="Arial" w:cs="Arial"/>
          <w:sz w:val="24"/>
          <w:szCs w:val="24"/>
        </w:rPr>
      </w:pPr>
    </w:p>
    <w:p w14:paraId="71AACD95" w14:textId="77777777" w:rsidR="00DD1DF6" w:rsidRDefault="00DD1DF6" w:rsidP="00D03EB9">
      <w:pPr>
        <w:rPr>
          <w:rFonts w:ascii="Arial" w:hAnsi="Arial" w:cs="Arial"/>
          <w:sz w:val="24"/>
          <w:szCs w:val="24"/>
        </w:rPr>
      </w:pPr>
    </w:p>
    <w:p w14:paraId="7FA1B5CB" w14:textId="77777777" w:rsidR="00DD1DF6" w:rsidRDefault="00DD1DF6" w:rsidP="00D03EB9">
      <w:pPr>
        <w:rPr>
          <w:rFonts w:ascii="Arial" w:hAnsi="Arial" w:cs="Arial"/>
          <w:sz w:val="24"/>
          <w:szCs w:val="24"/>
        </w:rPr>
      </w:pPr>
    </w:p>
    <w:p w14:paraId="0FCA5418" w14:textId="77777777" w:rsidR="00DD1DF6" w:rsidRDefault="00DD1DF6" w:rsidP="00D03EB9">
      <w:pPr>
        <w:rPr>
          <w:rFonts w:ascii="Arial" w:hAnsi="Arial" w:cs="Arial"/>
          <w:sz w:val="24"/>
          <w:szCs w:val="24"/>
        </w:rPr>
      </w:pPr>
    </w:p>
    <w:p w14:paraId="4D4A5E49" w14:textId="77777777" w:rsidR="00DD1DF6" w:rsidRDefault="00DD1DF6" w:rsidP="00D03EB9">
      <w:pPr>
        <w:rPr>
          <w:rFonts w:ascii="Arial" w:hAnsi="Arial" w:cs="Arial"/>
          <w:sz w:val="24"/>
          <w:szCs w:val="24"/>
        </w:rPr>
      </w:pPr>
    </w:p>
    <w:p w14:paraId="31CA1F03" w14:textId="77777777" w:rsidR="00DD1DF6" w:rsidRDefault="00DD1DF6" w:rsidP="00D03EB9">
      <w:pPr>
        <w:rPr>
          <w:rFonts w:ascii="Arial" w:hAnsi="Arial" w:cs="Arial"/>
          <w:sz w:val="24"/>
          <w:szCs w:val="24"/>
        </w:rPr>
      </w:pPr>
    </w:p>
    <w:p w14:paraId="57308E2B" w14:textId="77777777" w:rsidR="00DD1DF6" w:rsidRDefault="00DD1DF6" w:rsidP="00D03EB9">
      <w:pPr>
        <w:rPr>
          <w:rFonts w:ascii="Arial" w:hAnsi="Arial" w:cs="Arial"/>
          <w:sz w:val="24"/>
          <w:szCs w:val="24"/>
        </w:rPr>
      </w:pPr>
    </w:p>
    <w:p w14:paraId="12A4CA96" w14:textId="77777777" w:rsidR="00DD1DF6" w:rsidRDefault="00DD1DF6" w:rsidP="00D03EB9">
      <w:pPr>
        <w:rPr>
          <w:rFonts w:ascii="Arial" w:hAnsi="Arial" w:cs="Arial"/>
          <w:sz w:val="24"/>
          <w:szCs w:val="24"/>
        </w:rPr>
      </w:pPr>
    </w:p>
    <w:p w14:paraId="35FD42CC" w14:textId="77777777" w:rsidR="00DD1DF6" w:rsidRDefault="00DD1DF6" w:rsidP="00D03EB9">
      <w:pPr>
        <w:rPr>
          <w:rFonts w:ascii="Arial" w:hAnsi="Arial" w:cs="Arial"/>
          <w:sz w:val="24"/>
          <w:szCs w:val="24"/>
        </w:rPr>
      </w:pPr>
    </w:p>
    <w:p w14:paraId="04585063" w14:textId="77777777" w:rsidR="00DD1DF6" w:rsidRDefault="00DD1DF6" w:rsidP="00D03EB9">
      <w:pPr>
        <w:rPr>
          <w:rFonts w:ascii="Arial" w:hAnsi="Arial" w:cs="Arial"/>
          <w:sz w:val="24"/>
          <w:szCs w:val="24"/>
        </w:rPr>
      </w:pPr>
    </w:p>
    <w:p w14:paraId="594839C9" w14:textId="77777777" w:rsidR="00DD1DF6" w:rsidRDefault="00DD1DF6" w:rsidP="00D03EB9">
      <w:pPr>
        <w:rPr>
          <w:rFonts w:ascii="Arial" w:hAnsi="Arial" w:cs="Arial"/>
          <w:sz w:val="24"/>
          <w:szCs w:val="24"/>
        </w:rPr>
      </w:pPr>
    </w:p>
    <w:p w14:paraId="51E72E9B" w14:textId="77777777" w:rsidR="00DD1DF6" w:rsidRDefault="00DD1DF6" w:rsidP="00D03EB9">
      <w:pPr>
        <w:rPr>
          <w:rFonts w:ascii="Arial" w:hAnsi="Arial" w:cs="Arial"/>
          <w:sz w:val="24"/>
          <w:szCs w:val="24"/>
        </w:rPr>
      </w:pPr>
    </w:p>
    <w:p w14:paraId="1E7F7269" w14:textId="77777777" w:rsidR="00DD1DF6" w:rsidRDefault="00DD1DF6" w:rsidP="00D03EB9">
      <w:pPr>
        <w:rPr>
          <w:rFonts w:ascii="Arial" w:hAnsi="Arial" w:cs="Arial"/>
          <w:sz w:val="24"/>
          <w:szCs w:val="24"/>
        </w:rPr>
      </w:pPr>
    </w:p>
    <w:p w14:paraId="48608A11" w14:textId="77777777" w:rsidR="00DD1DF6" w:rsidRDefault="00DD1DF6" w:rsidP="00D03EB9">
      <w:pPr>
        <w:rPr>
          <w:rFonts w:ascii="Arial" w:hAnsi="Arial" w:cs="Arial"/>
          <w:sz w:val="24"/>
          <w:szCs w:val="24"/>
        </w:rPr>
      </w:pPr>
    </w:p>
    <w:p w14:paraId="4763DF8A" w14:textId="77777777" w:rsidR="00DD1DF6" w:rsidRDefault="00DD1DF6" w:rsidP="00D03EB9">
      <w:pPr>
        <w:rPr>
          <w:rFonts w:ascii="Arial" w:hAnsi="Arial" w:cs="Arial"/>
          <w:sz w:val="24"/>
          <w:szCs w:val="24"/>
        </w:rPr>
      </w:pPr>
    </w:p>
    <w:p w14:paraId="1C31F037" w14:textId="77777777" w:rsidR="00DD1DF6" w:rsidRDefault="00DD1DF6" w:rsidP="00D03EB9">
      <w:pPr>
        <w:rPr>
          <w:rFonts w:ascii="Arial" w:hAnsi="Arial" w:cs="Arial"/>
          <w:sz w:val="24"/>
          <w:szCs w:val="24"/>
        </w:rPr>
      </w:pPr>
    </w:p>
    <w:p w14:paraId="532D8D2A" w14:textId="77777777" w:rsidR="00DD1DF6" w:rsidRDefault="00DD1DF6" w:rsidP="00D03EB9">
      <w:pPr>
        <w:rPr>
          <w:rFonts w:ascii="Arial" w:hAnsi="Arial" w:cs="Arial"/>
          <w:sz w:val="24"/>
          <w:szCs w:val="24"/>
        </w:rPr>
      </w:pPr>
    </w:p>
    <w:p w14:paraId="14F38A21" w14:textId="15F78171" w:rsidR="00D03EB9" w:rsidRPr="00DD1DF6" w:rsidRDefault="00D03EB9" w:rsidP="00DD1DF6">
      <w:pPr>
        <w:pStyle w:val="Heading1"/>
      </w:pPr>
      <w:bookmarkStart w:id="0" w:name="_Toc151028895"/>
      <w:r w:rsidRPr="00DD1DF6">
        <w:lastRenderedPageBreak/>
        <w:t>Abstract</w:t>
      </w:r>
      <w:bookmarkEnd w:id="0"/>
      <w:r w:rsidRPr="00DD1DF6">
        <w:t xml:space="preserve"> </w:t>
      </w:r>
    </w:p>
    <w:p w14:paraId="005A7C21" w14:textId="6AFC758C"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International human resource experts use four different international recruitment strategies to hire staff in a foreign country. The four approaches include </w:t>
      </w:r>
      <w:proofErr w:type="spellStart"/>
      <w:r w:rsidRPr="00DD1DF6">
        <w:rPr>
          <w:rFonts w:ascii="Arial" w:hAnsi="Arial" w:cs="Arial"/>
          <w:sz w:val="24"/>
          <w:szCs w:val="24"/>
        </w:rPr>
        <w:t>regiocentric</w:t>
      </w:r>
      <w:proofErr w:type="spellEnd"/>
      <w:r w:rsidRPr="00DD1DF6">
        <w:rPr>
          <w:rFonts w:ascii="Arial" w:hAnsi="Arial" w:cs="Arial"/>
          <w:sz w:val="24"/>
          <w:szCs w:val="24"/>
        </w:rPr>
        <w:t>, polycentric, geocentric, and ethnocentric. Factors to consider when choosing an appropriate strategy to hire employees in foreign country depends on the characteristics of the region based on the literacy level, wage rates, and culture (</w:t>
      </w:r>
      <w:proofErr w:type="spellStart"/>
      <w:r w:rsidRPr="00DD1DF6">
        <w:rPr>
          <w:rFonts w:ascii="Arial" w:hAnsi="Arial" w:cs="Arial"/>
          <w:sz w:val="24"/>
          <w:szCs w:val="24"/>
        </w:rPr>
        <w:t>Ciachir</w:t>
      </w:r>
      <w:proofErr w:type="spellEnd"/>
      <w:r w:rsidRPr="00DD1DF6">
        <w:rPr>
          <w:rFonts w:ascii="Arial" w:hAnsi="Arial" w:cs="Arial"/>
          <w:sz w:val="24"/>
          <w:szCs w:val="24"/>
        </w:rPr>
        <w:t xml:space="preserve"> &amp; Woodhams 2022). For instance, multinational corporations human resource management can best apply the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in the Middle East and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or polycentric strategy in Latin America, polycentric or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approach in Africa, an ethnocentric approach in Europe,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or ethnocentric approach in Asia, and a geocentric approach in North America.</w:t>
      </w:r>
    </w:p>
    <w:p w14:paraId="2A58C027" w14:textId="77777777" w:rsidR="00D03EB9" w:rsidRPr="00DD1DF6" w:rsidRDefault="00D03EB9" w:rsidP="00DD1DF6">
      <w:pPr>
        <w:spacing w:line="360" w:lineRule="auto"/>
        <w:rPr>
          <w:rFonts w:ascii="Arial" w:hAnsi="Arial" w:cs="Arial"/>
          <w:sz w:val="24"/>
          <w:szCs w:val="24"/>
        </w:rPr>
      </w:pPr>
    </w:p>
    <w:p w14:paraId="29D05A8F" w14:textId="77777777" w:rsidR="00D03EB9" w:rsidRPr="00DD1DF6" w:rsidRDefault="00D03EB9" w:rsidP="00DD1DF6">
      <w:pPr>
        <w:pStyle w:val="Heading1"/>
      </w:pPr>
      <w:bookmarkStart w:id="1" w:name="_Toc151028896"/>
      <w:r w:rsidRPr="00DD1DF6">
        <w:t>Introduction</w:t>
      </w:r>
      <w:bookmarkEnd w:id="1"/>
    </w:p>
    <w:p w14:paraId="392EDF44" w14:textId="630CFC98"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international human resource teams play a significant role in selecting employees at the global state to help multinational corporations thrive. Human resource management is a critical strategic function for organizations, and global staffing can be a massive challenge for multinational corporations. International recruitment operations require international human resource managers to consider the global competitiveness of employees at the time of hiring. The organization must have international knowledge of the country of investment before applying any recruitment strategy.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polycentric, geocentric, and ethnocentric strategies of international recruitment all depend on the regional characteristics of a country. Human resource managers must understand the different HR skills in various global </w:t>
      </w:r>
      <w:r w:rsidR="00DD1DF6" w:rsidRPr="00DD1DF6">
        <w:rPr>
          <w:rFonts w:ascii="Arial" w:hAnsi="Arial" w:cs="Arial"/>
          <w:sz w:val="24"/>
          <w:szCs w:val="24"/>
        </w:rPr>
        <w:t>labour</w:t>
      </w:r>
      <w:r w:rsidRPr="00DD1DF6">
        <w:rPr>
          <w:rFonts w:ascii="Arial" w:hAnsi="Arial" w:cs="Arial"/>
          <w:sz w:val="24"/>
          <w:szCs w:val="24"/>
        </w:rPr>
        <w:t xml:space="preserve"> markets to foresee changes and exploit them productively (</w:t>
      </w:r>
      <w:proofErr w:type="spellStart"/>
      <w:r w:rsidRPr="00DD1DF6">
        <w:rPr>
          <w:rFonts w:ascii="Arial" w:hAnsi="Arial" w:cs="Arial"/>
          <w:sz w:val="24"/>
          <w:szCs w:val="24"/>
        </w:rPr>
        <w:t>Ciachir</w:t>
      </w:r>
      <w:proofErr w:type="spellEnd"/>
      <w:r w:rsidRPr="00DD1DF6">
        <w:rPr>
          <w:rFonts w:ascii="Arial" w:hAnsi="Arial" w:cs="Arial"/>
          <w:sz w:val="24"/>
          <w:szCs w:val="24"/>
        </w:rPr>
        <w:t xml:space="preserve"> &amp; Woodhams, 2022). Multinational corporations should hire people from different countries and engage them in their international operations across the globe. International recruitment policy aims to hire the right people at the right time and for the right task using either geocentric, polycentric, </w:t>
      </w:r>
      <w:proofErr w:type="spellStart"/>
      <w:r w:rsidRPr="00DD1DF6">
        <w:rPr>
          <w:rFonts w:ascii="Arial" w:hAnsi="Arial" w:cs="Arial"/>
          <w:sz w:val="24"/>
          <w:szCs w:val="24"/>
        </w:rPr>
        <w:t>regiocentric</w:t>
      </w:r>
      <w:proofErr w:type="spellEnd"/>
      <w:r w:rsidRPr="00DD1DF6">
        <w:rPr>
          <w:rFonts w:ascii="Arial" w:hAnsi="Arial" w:cs="Arial"/>
          <w:sz w:val="24"/>
          <w:szCs w:val="24"/>
        </w:rPr>
        <w:t>, or ethnocentric recruitment strategies. The paper critically discusses the four recruitment strategies and reviews the factors to consider when selecting the appropriate recruitment approach.</w:t>
      </w:r>
    </w:p>
    <w:p w14:paraId="3C78612E"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lastRenderedPageBreak/>
        <w:t>According to the international recruitment policy, three categories of employees work globally. The first category is the expatriate and involves citizens of a company's country of origin working in a foreign country of investment. For instance, an American citizen is working for Tesla Motors in Japan. The recruitment of expatriates must consider the strategy of the organization to hire the right staff for their operations. The second employee category is the host country national who works in their own country in a foreign company.</w:t>
      </w:r>
    </w:p>
    <w:p w14:paraId="713504C3"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A good example is an Indian citizen working for the Apple company in India. The third employee category is a third-country individual working for a foreign company in another country—for instance, a United Kingdom citizen working for the Toyota company in China. The international recruitment strategies outlined earlier in the text must be aligned with their </w:t>
      </w:r>
      <w:proofErr w:type="gramStart"/>
      <w:r w:rsidRPr="00DD1DF6">
        <w:rPr>
          <w:rFonts w:ascii="Arial" w:hAnsi="Arial" w:cs="Arial"/>
          <w:sz w:val="24"/>
          <w:szCs w:val="24"/>
        </w:rPr>
        <w:t>particular strategic</w:t>
      </w:r>
      <w:proofErr w:type="gramEnd"/>
      <w:r w:rsidRPr="00DD1DF6">
        <w:rPr>
          <w:rFonts w:ascii="Arial" w:hAnsi="Arial" w:cs="Arial"/>
          <w:sz w:val="24"/>
          <w:szCs w:val="24"/>
        </w:rPr>
        <w:t xml:space="preserve"> dimensions, including the objectives and goals of an organization for long-term productivity.</w:t>
      </w:r>
    </w:p>
    <w:p w14:paraId="1A04B1FD" w14:textId="77777777" w:rsidR="00D03EB9" w:rsidRPr="00DD1DF6" w:rsidRDefault="00D03EB9" w:rsidP="00DD1DF6">
      <w:pPr>
        <w:pStyle w:val="Heading1"/>
      </w:pPr>
      <w:bookmarkStart w:id="2" w:name="_Toc151028897"/>
      <w:r w:rsidRPr="00DD1DF6">
        <w:t>Ethnocentric Approach</w:t>
      </w:r>
      <w:bookmarkEnd w:id="2"/>
    </w:p>
    <w:p w14:paraId="412D0835" w14:textId="208345DB"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ethnocentric recruitment approach has a centralized strategic dimension that </w:t>
      </w:r>
      <w:r w:rsidR="00DD1DF6" w:rsidRPr="00DD1DF6">
        <w:rPr>
          <w:rFonts w:ascii="Arial" w:hAnsi="Arial" w:cs="Arial"/>
          <w:sz w:val="24"/>
          <w:szCs w:val="24"/>
        </w:rPr>
        <w:t>Favors</w:t>
      </w:r>
      <w:r w:rsidRPr="00DD1DF6">
        <w:rPr>
          <w:rFonts w:ascii="Arial" w:hAnsi="Arial" w:cs="Arial"/>
          <w:sz w:val="24"/>
          <w:szCs w:val="24"/>
        </w:rPr>
        <w:t xml:space="preserve"> expatriates by allowing them to take significant positions for a company's foreign operations. The strategic advantage of the ethnocentric approach is that expatriates usually represent an organization's interest and align operations based on the headquarters' activities (John &amp; Chattopadhyay 2020). Most international organizations select expatriates from their current employees in their home country to save the time, effort, and cost of recruiting new staff. However, recruiting expatriates has several challenges related to relocation costs and accommodation of employees, which can be expensive compared to hiring local staff. International employees can also be expected to demand higher salaries than local employees to cover their expenses. In addition, expatriates might not have a sound knowledge of the local market atmosphere, including the local insights and perspectives available to the locals.</w:t>
      </w:r>
    </w:p>
    <w:p w14:paraId="77A0B629" w14:textId="77777777" w:rsidR="00D03EB9" w:rsidRPr="00DD1DF6" w:rsidRDefault="00D03EB9" w:rsidP="00DD1DF6">
      <w:pPr>
        <w:pStyle w:val="Heading1"/>
      </w:pPr>
      <w:bookmarkStart w:id="3" w:name="_Toc151028898"/>
      <w:r w:rsidRPr="00DD1DF6">
        <w:t>Polycentric Strategy</w:t>
      </w:r>
      <w:bookmarkEnd w:id="3"/>
    </w:p>
    <w:p w14:paraId="6B794C16"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strategic dimension of a polycentric approach requires international organizations to hire local staff from lower to executive positions for all operations in the local country. Local employees may not be as expensive as foreign staff and are well-versed in their national society's culture, values, and norms (Smerek et al., </w:t>
      </w:r>
      <w:r w:rsidRPr="00DD1DF6">
        <w:rPr>
          <w:rFonts w:ascii="Arial" w:hAnsi="Arial" w:cs="Arial"/>
          <w:sz w:val="24"/>
          <w:szCs w:val="24"/>
        </w:rPr>
        <w:lastRenderedPageBreak/>
        <w:t>2021). However, the strategy depends on the education level of employees to fill the required key international staffing positions. In addition, cultural challenges can be complex to deal with as local employees may rely on the interests and beliefs of their national society.</w:t>
      </w:r>
    </w:p>
    <w:p w14:paraId="2768D850" w14:textId="77777777" w:rsidR="00D03EB9" w:rsidRPr="00DD1DF6" w:rsidRDefault="00D03EB9" w:rsidP="00DD1DF6">
      <w:pPr>
        <w:pStyle w:val="Heading1"/>
      </w:pPr>
      <w:bookmarkStart w:id="4" w:name="_Toc151028899"/>
      <w:r w:rsidRPr="00DD1DF6">
        <w:t>Geocentric Strategy</w:t>
      </w:r>
      <w:bookmarkEnd w:id="4"/>
    </w:p>
    <w:p w14:paraId="7C3F3353"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 approach utilizes the best skills in the market by allowing human resource management to higher professional skills regardless of a person's region or origin. The strategic dimension of the geocentric approach is that organizations can hire professionals to occupy critical positions in the company to boost their growth and increase their competitive advantage (</w:t>
      </w:r>
      <w:proofErr w:type="spellStart"/>
      <w:r w:rsidRPr="00DD1DF6">
        <w:rPr>
          <w:rFonts w:ascii="Arial" w:hAnsi="Arial" w:cs="Arial"/>
          <w:sz w:val="24"/>
          <w:szCs w:val="24"/>
        </w:rPr>
        <w:t>Glazyrina</w:t>
      </w:r>
      <w:proofErr w:type="spellEnd"/>
      <w:r w:rsidRPr="00DD1DF6">
        <w:rPr>
          <w:rFonts w:ascii="Arial" w:hAnsi="Arial" w:cs="Arial"/>
          <w:sz w:val="24"/>
          <w:szCs w:val="24"/>
        </w:rPr>
        <w:t>, 2020). The highly qualified staff may be from different cultural backgrounds. It may require the HR team to be adequately prepared to educate employees on the importance of diversity and shared values and norms. However, the host country may have policies that limit the entry of highly qualified staff to create room for the local skills available. The method is expensive as the cost of recruitment of highly qualified staff is costly.</w:t>
      </w:r>
    </w:p>
    <w:p w14:paraId="1FA0F52F" w14:textId="77777777" w:rsidR="00D03EB9" w:rsidRPr="00DD1DF6" w:rsidRDefault="00D03EB9" w:rsidP="00DD1DF6">
      <w:pPr>
        <w:pStyle w:val="Heading1"/>
      </w:pPr>
      <w:bookmarkStart w:id="5" w:name="_Toc151028900"/>
      <w:proofErr w:type="spellStart"/>
      <w:r w:rsidRPr="00DD1DF6">
        <w:t>Regiocentric</w:t>
      </w:r>
      <w:proofErr w:type="spellEnd"/>
      <w:r w:rsidRPr="00DD1DF6">
        <w:t xml:space="preserve"> Strategy</w:t>
      </w:r>
      <w:bookmarkEnd w:id="5"/>
    </w:p>
    <w:p w14:paraId="7CEAD3A1" w14:textId="45FCAF8C"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This approach is related to polycentric strategy as its strategic dimension involves hiring employees from within the region of operation. Therefore, multinational corporations of this </w:t>
      </w:r>
      <w:r w:rsidR="00DD1DF6" w:rsidRPr="00DD1DF6">
        <w:rPr>
          <w:rFonts w:ascii="Arial" w:hAnsi="Arial" w:cs="Arial"/>
          <w:sz w:val="24"/>
          <w:szCs w:val="24"/>
        </w:rPr>
        <w:t>facet</w:t>
      </w:r>
      <w:r w:rsidRPr="00DD1DF6">
        <w:rPr>
          <w:rFonts w:ascii="Arial" w:hAnsi="Arial" w:cs="Arial"/>
          <w:sz w:val="24"/>
          <w:szCs w:val="24"/>
        </w:rPr>
        <w:t xml:space="preserve"> establish offices in various regions and hire people from within the region of operation (</w:t>
      </w:r>
      <w:proofErr w:type="spellStart"/>
      <w:r w:rsidRPr="00DD1DF6">
        <w:rPr>
          <w:rFonts w:ascii="Arial" w:hAnsi="Arial" w:cs="Arial"/>
          <w:sz w:val="24"/>
          <w:szCs w:val="24"/>
        </w:rPr>
        <w:t>Garavan</w:t>
      </w:r>
      <w:proofErr w:type="spellEnd"/>
      <w:r w:rsidRPr="00DD1DF6">
        <w:rPr>
          <w:rFonts w:ascii="Arial" w:hAnsi="Arial" w:cs="Arial"/>
          <w:sz w:val="24"/>
          <w:szCs w:val="24"/>
        </w:rPr>
        <w:t xml:space="preserve"> et al., 2020). Each regional office of an organization will have its human resource management policies and practices, but the main HR headquarters dictates most of the company's decisions.</w:t>
      </w:r>
    </w:p>
    <w:p w14:paraId="57C5B33C" w14:textId="77777777" w:rsidR="00D03EB9" w:rsidRPr="00DD1DF6" w:rsidRDefault="00D03EB9" w:rsidP="00DD1DF6">
      <w:pPr>
        <w:pStyle w:val="Heading1"/>
      </w:pPr>
      <w:bookmarkStart w:id="6" w:name="_Toc151028901"/>
      <w:r w:rsidRPr="00DD1DF6">
        <w:t>Advantages and Limitations of International Recruitment Approaches</w:t>
      </w:r>
      <w:bookmarkEnd w:id="6"/>
      <w:r w:rsidRPr="00DD1DF6">
        <w:t xml:space="preserve"> </w:t>
      </w:r>
    </w:p>
    <w:p w14:paraId="5679E66D"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 organization of the new campus in India must understand the advantages and limitations of each type of recruitment approach to ensure the smooth running and growth of the learning institution.</w:t>
      </w:r>
    </w:p>
    <w:p w14:paraId="1D89D770"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ethnocentric approach transmits core competencies as employees transferred to the new learning institution are more likely to promote its growth. They will be more effective in controlling and protecting the critical competencies of the company (Tayali &amp; Sakyi, 2020). The ethnocentric approach minimizes cognitive dissonance by utilizing effective and reliable employees. Employing local workers alerts the </w:t>
      </w:r>
      <w:r w:rsidRPr="00DD1DF6">
        <w:rPr>
          <w:rFonts w:ascii="Arial" w:hAnsi="Arial" w:cs="Arial"/>
          <w:sz w:val="24"/>
          <w:szCs w:val="24"/>
        </w:rPr>
        <w:lastRenderedPageBreak/>
        <w:t>relationship with the government, which can set up a sound environment to run smooth operations and minimize the risk of facing the challenge of immigration laws and a complex set of rules in the workplace.</w:t>
      </w:r>
    </w:p>
    <w:p w14:paraId="4C1AB67C"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However, an ethnocentric approach can demotivate local employees and managers. This is because the high-level employees reside near headquarters offices, which can lower the morale of low-level employees and demotivate them (Tayali &amp; Sakyi 2020). On the other hand, foreign managers may find it difficult to set up operations that align with headquarters and may be less appropriate in a foreign country.</w:t>
      </w:r>
    </w:p>
    <w:p w14:paraId="37D781DF"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Moreover, the polycentric approach maintains the image and motivation of the organization as it utilizes local managers who can instil commitment in the local staff. They can develop strategies applicable to the region and maintain the organization's image. It improves operations management by eliminating expatriate relocation costs and training, including language barriers (John &amp; Chattopadhyay 2020). It escalates the growth potential and allows local managers to respond timely to market needs based on political bustle, product lifecycle, production, and pricing. Culturally short-sightedness typical with expatriate managers will be eliminated, increasing the potential for growth and long-term profitability.</w:t>
      </w:r>
    </w:p>
    <w:p w14:paraId="619E2525"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Nevertheless, bridging the gap between the foreign country's component and the headquarters is complicated based on culture, control, coordination, communication, and policies (Rao, 2021). There is the increased risk of cooperate lethargy as the organization may become isolated from the national component, reducing incorporation.</w:t>
      </w:r>
    </w:p>
    <w:p w14:paraId="0B03F42E"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 geocentric approach endorses international learning as the organization can develop the desired framework for managing operations internationally. It improves the flexibility to adopt different cultures and encourages the staff to accept different positions smoothly with regional cultures (</w:t>
      </w:r>
      <w:proofErr w:type="spellStart"/>
      <w:r w:rsidRPr="00DD1DF6">
        <w:rPr>
          <w:rFonts w:ascii="Arial" w:hAnsi="Arial" w:cs="Arial"/>
          <w:sz w:val="24"/>
          <w:szCs w:val="24"/>
        </w:rPr>
        <w:t>Schuhly</w:t>
      </w:r>
      <w:proofErr w:type="spellEnd"/>
      <w:r w:rsidRPr="00DD1DF6">
        <w:rPr>
          <w:rFonts w:ascii="Arial" w:hAnsi="Arial" w:cs="Arial"/>
          <w:sz w:val="24"/>
          <w:szCs w:val="24"/>
        </w:rPr>
        <w:t>, 2022). However, it is costly to maintain and develop a geocentric strategy based on legal contingencies, decision-making, and economic aspects.</w:t>
      </w:r>
    </w:p>
    <w:p w14:paraId="31BB463A"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Furthermore, the </w:t>
      </w:r>
      <w:proofErr w:type="spellStart"/>
      <w:r w:rsidRPr="00DD1DF6">
        <w:rPr>
          <w:rFonts w:ascii="Arial" w:hAnsi="Arial" w:cs="Arial"/>
          <w:sz w:val="24"/>
          <w:szCs w:val="24"/>
        </w:rPr>
        <w:t>regiocentric</w:t>
      </w:r>
      <w:proofErr w:type="spellEnd"/>
      <w:r w:rsidRPr="00DD1DF6">
        <w:rPr>
          <w:rFonts w:ascii="Arial" w:hAnsi="Arial" w:cs="Arial"/>
          <w:sz w:val="24"/>
          <w:szCs w:val="24"/>
        </w:rPr>
        <w:t xml:space="preserve"> approach builds international relations, which can signify a global conversation strategy suitable for the staff. It encourages sound communication between the organization headquarters and regional management staff (Smerek et al., 2021). However, the approach limits the growth of careers as </w:t>
      </w:r>
      <w:r w:rsidRPr="00DD1DF6">
        <w:rPr>
          <w:rFonts w:ascii="Arial" w:hAnsi="Arial" w:cs="Arial"/>
          <w:sz w:val="24"/>
          <w:szCs w:val="24"/>
        </w:rPr>
        <w:lastRenderedPageBreak/>
        <w:t>employees can only be transferred between regions and not internationally, decreasing the potential to expand and grow careers internationally.</w:t>
      </w:r>
    </w:p>
    <w:p w14:paraId="7881FDC7" w14:textId="77777777" w:rsidR="00D03EB9" w:rsidRPr="00DD1DF6" w:rsidRDefault="00D03EB9" w:rsidP="00DD1DF6">
      <w:pPr>
        <w:pStyle w:val="Heading1"/>
      </w:pPr>
      <w:bookmarkStart w:id="7" w:name="_Toc151028902"/>
      <w:r w:rsidRPr="00DD1DF6">
        <w:t>Factors Affecting the Recruitment of Staff Across Regions</w:t>
      </w:r>
      <w:bookmarkEnd w:id="7"/>
    </w:p>
    <w:p w14:paraId="2DF1ABE9"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There are different cultural backgrounds across different ethnic groups and countries, which implies that different beliefs must be considered when planning an international recruitment strategy (</w:t>
      </w:r>
      <w:proofErr w:type="spellStart"/>
      <w:r w:rsidRPr="00DD1DF6">
        <w:rPr>
          <w:rFonts w:ascii="Arial" w:hAnsi="Arial" w:cs="Arial"/>
          <w:sz w:val="24"/>
          <w:szCs w:val="24"/>
        </w:rPr>
        <w:t>Ciachir</w:t>
      </w:r>
      <w:proofErr w:type="spellEnd"/>
      <w:r w:rsidRPr="00DD1DF6">
        <w:rPr>
          <w:rFonts w:ascii="Arial" w:hAnsi="Arial" w:cs="Arial"/>
          <w:sz w:val="24"/>
          <w:szCs w:val="24"/>
        </w:rPr>
        <w:t xml:space="preserve"> &amp; Woodhams, 2022). Although culture does not apply to all region members, some specific cultural values and norms affect people of the exact location. Culture can be defined as a form of mental programming based on a particular regional environment (Rao, 2021). However, studies suggest that culture does not necessarily apply to all individuals from the same region, as it is difficult to define the culture of a particular nation (</w:t>
      </w:r>
      <w:proofErr w:type="spellStart"/>
      <w:r w:rsidRPr="00DD1DF6">
        <w:rPr>
          <w:rFonts w:ascii="Arial" w:hAnsi="Arial" w:cs="Arial"/>
          <w:sz w:val="24"/>
          <w:szCs w:val="24"/>
        </w:rPr>
        <w:t>Schuhly</w:t>
      </w:r>
      <w:proofErr w:type="spellEnd"/>
      <w:r w:rsidRPr="00DD1DF6">
        <w:rPr>
          <w:rFonts w:ascii="Arial" w:hAnsi="Arial" w:cs="Arial"/>
          <w:sz w:val="24"/>
          <w:szCs w:val="24"/>
        </w:rPr>
        <w:t>, 2022). The common elements of a culture are the ones that can be used to define the national character of individuals from the same environment. According to studies, a nation can be classified by masculinity, individualism-collectivism, uncertainty avoidance, power distance, cultural dimension, or more. Through regional integration strategies like free trade agreements, countries will have varied beliefs and cultures, leading to varied recruitment strategies.</w:t>
      </w:r>
    </w:p>
    <w:p w14:paraId="2B5CE3C9" w14:textId="11D8AFC4"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Although cultural differences influence the selection criteria of employees, multinational corporations may consider aspects such as personality, motivation, skills, attitudes, and </w:t>
      </w:r>
      <w:r w:rsidR="00DD1DF6" w:rsidRPr="00DD1DF6">
        <w:rPr>
          <w:rFonts w:ascii="Arial" w:hAnsi="Arial" w:cs="Arial"/>
          <w:sz w:val="24"/>
          <w:szCs w:val="24"/>
        </w:rPr>
        <w:t>behaviour</w:t>
      </w:r>
      <w:r w:rsidRPr="00DD1DF6">
        <w:rPr>
          <w:rFonts w:ascii="Arial" w:hAnsi="Arial" w:cs="Arial"/>
          <w:sz w:val="24"/>
          <w:szCs w:val="24"/>
        </w:rPr>
        <w:t xml:space="preserve"> (</w:t>
      </w:r>
      <w:proofErr w:type="spellStart"/>
      <w:r w:rsidRPr="00DD1DF6">
        <w:rPr>
          <w:rFonts w:ascii="Arial" w:hAnsi="Arial" w:cs="Arial"/>
          <w:sz w:val="24"/>
          <w:szCs w:val="24"/>
        </w:rPr>
        <w:t>Schuhly</w:t>
      </w:r>
      <w:proofErr w:type="spellEnd"/>
      <w:r w:rsidRPr="00DD1DF6">
        <w:rPr>
          <w:rFonts w:ascii="Arial" w:hAnsi="Arial" w:cs="Arial"/>
          <w:sz w:val="24"/>
          <w:szCs w:val="24"/>
        </w:rPr>
        <w:t xml:space="preserve">, 2022). Before selecting a recruitment strategy, the </w:t>
      </w:r>
      <w:proofErr w:type="gramStart"/>
      <w:r w:rsidRPr="00DD1DF6">
        <w:rPr>
          <w:rFonts w:ascii="Arial" w:hAnsi="Arial" w:cs="Arial"/>
          <w:sz w:val="24"/>
          <w:szCs w:val="24"/>
        </w:rPr>
        <w:t>main focus</w:t>
      </w:r>
      <w:proofErr w:type="gramEnd"/>
      <w:r w:rsidRPr="00DD1DF6">
        <w:rPr>
          <w:rFonts w:ascii="Arial" w:hAnsi="Arial" w:cs="Arial"/>
          <w:sz w:val="24"/>
          <w:szCs w:val="24"/>
        </w:rPr>
        <w:t xml:space="preserve"> involves family flexibility, language skills, interpersonal skills, country-specific experience, global experience, professional expertise, technical competence, strong communication skills, and cultural adaptability. Multinational corporations' human resource management usually ranks work experience, technical competency and personal interviews as critical approaches during international recruitment. For instance, when selecting staff for international operations, firms will look for individuals with goal-oriented </w:t>
      </w:r>
      <w:r w:rsidR="00DD1DF6" w:rsidRPr="00DD1DF6">
        <w:rPr>
          <w:rFonts w:ascii="Arial" w:hAnsi="Arial" w:cs="Arial"/>
          <w:sz w:val="24"/>
          <w:szCs w:val="24"/>
        </w:rPr>
        <w:t>behaviour</w:t>
      </w:r>
      <w:r w:rsidRPr="00DD1DF6">
        <w:rPr>
          <w:rFonts w:ascii="Arial" w:hAnsi="Arial" w:cs="Arial"/>
          <w:sz w:val="24"/>
          <w:szCs w:val="24"/>
        </w:rPr>
        <w:t xml:space="preserve">, stress resistance, high-level motivation, good communication and language skills, highly developed technical skills, and tolerance towards other values, </w:t>
      </w:r>
      <w:r w:rsidR="00DD1DF6" w:rsidRPr="00DD1DF6">
        <w:rPr>
          <w:rFonts w:ascii="Arial" w:hAnsi="Arial" w:cs="Arial"/>
          <w:sz w:val="24"/>
          <w:szCs w:val="24"/>
        </w:rPr>
        <w:t>colour</w:t>
      </w:r>
      <w:r w:rsidRPr="00DD1DF6">
        <w:rPr>
          <w:rFonts w:ascii="Arial" w:hAnsi="Arial" w:cs="Arial"/>
          <w:sz w:val="24"/>
          <w:szCs w:val="24"/>
        </w:rPr>
        <w:t>, creed, race, habits, and culture (Gupta &amp; Sharma). Before international organizations select the right recruitment approach to hire employees for overseeing operations, they should simultaneously consider the candidate's cultural adaptability, family circumstances, and previous overseas job experience.</w:t>
      </w:r>
    </w:p>
    <w:p w14:paraId="259B5D34" w14:textId="77777777" w:rsidR="00D03EB9" w:rsidRPr="00DD1DF6" w:rsidRDefault="00D03EB9" w:rsidP="00DD1DF6">
      <w:pPr>
        <w:pStyle w:val="Heading1"/>
      </w:pPr>
      <w:bookmarkStart w:id="8" w:name="_Toc151028903"/>
      <w:r w:rsidRPr="00DD1DF6">
        <w:lastRenderedPageBreak/>
        <w:t>International Recruitment Process</w:t>
      </w:r>
      <w:bookmarkEnd w:id="8"/>
    </w:p>
    <w:p w14:paraId="54535CCC"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first step of the international recruitment process is selecting a suitable staffing approach for a particular region. The policy should determine whether to use a polycentric, geocentric, </w:t>
      </w:r>
      <w:proofErr w:type="spellStart"/>
      <w:r w:rsidRPr="00DD1DF6">
        <w:rPr>
          <w:rFonts w:ascii="Arial" w:hAnsi="Arial" w:cs="Arial"/>
          <w:sz w:val="24"/>
          <w:szCs w:val="24"/>
        </w:rPr>
        <w:t>regiocentric</w:t>
      </w:r>
      <w:proofErr w:type="spellEnd"/>
      <w:r w:rsidRPr="00DD1DF6">
        <w:rPr>
          <w:rFonts w:ascii="Arial" w:hAnsi="Arial" w:cs="Arial"/>
          <w:sz w:val="24"/>
          <w:szCs w:val="24"/>
        </w:rPr>
        <w:t>, or ethnocentric approach based on the regional characteristics. The budget for the staffing strategy should be discussed with finance to determine if the selected approach could be applied or if another could be chosen and still meet the set objectives at a lower cost (</w:t>
      </w:r>
      <w:proofErr w:type="spellStart"/>
      <w:r w:rsidRPr="00DD1DF6">
        <w:rPr>
          <w:rFonts w:ascii="Arial" w:hAnsi="Arial" w:cs="Arial"/>
          <w:sz w:val="24"/>
          <w:szCs w:val="24"/>
        </w:rPr>
        <w:t>Annushkina</w:t>
      </w:r>
      <w:proofErr w:type="spellEnd"/>
      <w:r w:rsidRPr="00DD1DF6">
        <w:rPr>
          <w:rFonts w:ascii="Arial" w:hAnsi="Arial" w:cs="Arial"/>
          <w:sz w:val="24"/>
          <w:szCs w:val="24"/>
        </w:rPr>
        <w:t xml:space="preserve"> et al., 2020). If the considered approaches are not applicable, then the company can choose the geocentric strategy that applies in most international operations.</w:t>
      </w:r>
    </w:p>
    <w:p w14:paraId="1D1BCDD6" w14:textId="69A17F24"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second step is determining the recruitment methods that best work with the selected approach. For instance, if the company decides to apply the polycentric approach, it could use </w:t>
      </w:r>
      <w:proofErr w:type="gramStart"/>
      <w:r w:rsidRPr="00DD1DF6">
        <w:rPr>
          <w:rFonts w:ascii="Arial" w:hAnsi="Arial" w:cs="Arial"/>
          <w:sz w:val="24"/>
          <w:szCs w:val="24"/>
        </w:rPr>
        <w:t>locally-based</w:t>
      </w:r>
      <w:proofErr w:type="gramEnd"/>
      <w:r w:rsidRPr="00DD1DF6">
        <w:rPr>
          <w:rFonts w:ascii="Arial" w:hAnsi="Arial" w:cs="Arial"/>
          <w:sz w:val="24"/>
          <w:szCs w:val="24"/>
        </w:rPr>
        <w:t xml:space="preserve"> recruiters and local job boards in the host country (Tayali &amp; Sakyi, 2020). The third step is to measure the budget to ensure recruitment activities can be coordinated. For instance, an ethnocentric approach may require employers to cover the relocation and accommodation costs for their employees, which can be costly. Therefore, it will be wise to go through the entire budget and compare it with the resources available in the company.</w:t>
      </w:r>
    </w:p>
    <w:p w14:paraId="4EB44868" w14:textId="75E83E0D"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 fourth step is evaluating all the potential candidates in the same way as hiring the right staff. Standard evaluation methods include phone and resume screening, including video interviews for candidates in remote places (Gupta &amp; Sharma). The organization requires different skills to accommodate every role. It will be ideal to select individuals with a global mindset who can communicate well even when faced with language and cultural barriers, can work independently and are self-motivated. In addition, the organization should look for tech-savvy individuals who are also allowed to work outside their country according to law. The final step is to close the paperwork and ensure all the legal procedures of international hiring are fulfilled.</w:t>
      </w:r>
    </w:p>
    <w:p w14:paraId="4C78FFF9" w14:textId="77777777" w:rsidR="00D03EB9" w:rsidRPr="00DD1DF6" w:rsidRDefault="00D03EB9" w:rsidP="00DD1DF6">
      <w:pPr>
        <w:pStyle w:val="Heading1"/>
      </w:pPr>
      <w:bookmarkStart w:id="9" w:name="_Toc151028904"/>
      <w:r w:rsidRPr="00DD1DF6">
        <w:t>Recruitment</w:t>
      </w:r>
      <w:bookmarkEnd w:id="9"/>
    </w:p>
    <w:p w14:paraId="5900CE58"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recruitment, training, and settling in of expatriates may be challenging, hence the need to focus on a couple of factors when being recruited for their abilities. To recruit the U.K. staff to work in India, first, they would have to consider their capabilities. Their experience and technical skills are one of the significant factors that </w:t>
      </w:r>
      <w:proofErr w:type="gramStart"/>
      <w:r w:rsidRPr="00DD1DF6">
        <w:rPr>
          <w:rFonts w:ascii="Arial" w:hAnsi="Arial" w:cs="Arial"/>
          <w:sz w:val="24"/>
          <w:szCs w:val="24"/>
        </w:rPr>
        <w:t>have to</w:t>
      </w:r>
      <w:proofErr w:type="gramEnd"/>
      <w:r w:rsidRPr="00DD1DF6">
        <w:rPr>
          <w:rFonts w:ascii="Arial" w:hAnsi="Arial" w:cs="Arial"/>
          <w:sz w:val="24"/>
          <w:szCs w:val="24"/>
        </w:rPr>
        <w:t xml:space="preserve"> be given priority. Their ability to do a great job attracts them to this </w:t>
      </w:r>
      <w:r w:rsidRPr="00DD1DF6">
        <w:rPr>
          <w:rFonts w:ascii="Arial" w:hAnsi="Arial" w:cs="Arial"/>
          <w:sz w:val="24"/>
          <w:szCs w:val="24"/>
        </w:rPr>
        <w:lastRenderedPageBreak/>
        <w:t xml:space="preserve">position in the first place; therefore, they </w:t>
      </w:r>
      <w:proofErr w:type="gramStart"/>
      <w:r w:rsidRPr="00DD1DF6">
        <w:rPr>
          <w:rFonts w:ascii="Arial" w:hAnsi="Arial" w:cs="Arial"/>
          <w:sz w:val="24"/>
          <w:szCs w:val="24"/>
        </w:rPr>
        <w:t>have to</w:t>
      </w:r>
      <w:proofErr w:type="gramEnd"/>
      <w:r w:rsidRPr="00DD1DF6">
        <w:rPr>
          <w:rFonts w:ascii="Arial" w:hAnsi="Arial" w:cs="Arial"/>
          <w:sz w:val="24"/>
          <w:szCs w:val="24"/>
        </w:rPr>
        <w:t xml:space="preserve"> be interviewed, and their past experiences and achievements have to be factored in. These skills should not only be about their ability to perform the work, but they should have other skills like relating well with their peers and students, honesty, and transparency.</w:t>
      </w:r>
    </w:p>
    <w:p w14:paraId="0EF8EC79"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The second factor to consider when recruiting these expatriates is their availability, versatility, and international experience. Hiring staff from a different native country is usually tricky, and it is not guaranteed that most would be willing to change their environment, go to a new place, and start a new life. It is, therefore, essential to inquire if they are eager to move to new places and if they have had experiences working with other international organizations outside their native countries (</w:t>
      </w:r>
      <w:proofErr w:type="spellStart"/>
      <w:r w:rsidRPr="00DD1DF6">
        <w:rPr>
          <w:rFonts w:ascii="Arial" w:hAnsi="Arial" w:cs="Arial"/>
          <w:sz w:val="24"/>
          <w:szCs w:val="24"/>
        </w:rPr>
        <w:t>Waxin</w:t>
      </w:r>
      <w:proofErr w:type="spellEnd"/>
      <w:r w:rsidRPr="00DD1DF6">
        <w:rPr>
          <w:rFonts w:ascii="Arial" w:hAnsi="Arial" w:cs="Arial"/>
          <w:sz w:val="24"/>
          <w:szCs w:val="24"/>
        </w:rPr>
        <w:t xml:space="preserve"> &amp; Brewster, 2020). Those who are versatile, willing to move, and experience unique lifestyles are most likely to take the job offers. Versatility also ensures they are open to changes, most likely the difference in cultures, weather, or many other things that may need a different approach or perspective from their lives in the U.K. This guarantees that they adjust well to the new campus and that they would do their jobs diligently without affecting the quality of their work.</w:t>
      </w:r>
    </w:p>
    <w:p w14:paraId="7E94A403"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Another factor is family considerations. First, one should consider if the candidate has an immediate family, spouse, and children. Young candidates are versatile and may move away quickly for a good opportunity. However, getting young people to work in this environment is significantly challenging because many professors are advanced in age. Therefore, many of the candidates would have their own families, and their roots would be in the U.K. Their spouses might also have duties and jobs in the U.K., and their children might be in schools there (Shah et al., 2022). One should consider such factors as some of the candidates would refuse the opportunity to work in India unless they are assured that they can move with their families and then be given beneficiaries such as education for their children, their healthy-being, and other factors that would revolve around the safety of their family and being around them as they relocate to India.</w:t>
      </w:r>
    </w:p>
    <w:p w14:paraId="276500ED"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From the above factor, another vital thing to consider before recruiting these expatriates is the financial abilities and resources the University of Wales can offer them to sustain themselves in a new environment. Settling people in a new place might be </w:t>
      </w:r>
      <w:proofErr w:type="gramStart"/>
      <w:r w:rsidRPr="00DD1DF6">
        <w:rPr>
          <w:rFonts w:ascii="Arial" w:hAnsi="Arial" w:cs="Arial"/>
          <w:sz w:val="24"/>
          <w:szCs w:val="24"/>
        </w:rPr>
        <w:t>pretty expensive</w:t>
      </w:r>
      <w:proofErr w:type="gramEnd"/>
      <w:r w:rsidRPr="00DD1DF6">
        <w:rPr>
          <w:rFonts w:ascii="Arial" w:hAnsi="Arial" w:cs="Arial"/>
          <w:sz w:val="24"/>
          <w:szCs w:val="24"/>
        </w:rPr>
        <w:t xml:space="preserve">. The candidates may come in with different needs such as </w:t>
      </w:r>
      <w:r w:rsidRPr="00DD1DF6">
        <w:rPr>
          <w:rFonts w:ascii="Arial" w:hAnsi="Arial" w:cs="Arial"/>
          <w:sz w:val="24"/>
          <w:szCs w:val="24"/>
        </w:rPr>
        <w:lastRenderedPageBreak/>
        <w:t xml:space="preserve">accommodation not only for them but their spouses or children, they require training in languages frequently talked there such as Hindu, they may need tour guides to show them how to get around the new area, they might also need education opportunities for their children as well </w:t>
      </w:r>
      <w:proofErr w:type="gramStart"/>
      <w:r w:rsidRPr="00DD1DF6">
        <w:rPr>
          <w:rFonts w:ascii="Arial" w:hAnsi="Arial" w:cs="Arial"/>
          <w:sz w:val="24"/>
          <w:szCs w:val="24"/>
        </w:rPr>
        <w:t>and also</w:t>
      </w:r>
      <w:proofErr w:type="gramEnd"/>
      <w:r w:rsidRPr="00DD1DF6">
        <w:rPr>
          <w:rFonts w:ascii="Arial" w:hAnsi="Arial" w:cs="Arial"/>
          <w:sz w:val="24"/>
          <w:szCs w:val="24"/>
        </w:rPr>
        <w:t xml:space="preserve"> healthcare coverage and insurances. Therefore, the University must have enough resources to prepare for activities they may need to engage in to make them comfortable in their working environment.</w:t>
      </w:r>
    </w:p>
    <w:p w14:paraId="68E1450F"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Legal, administrative, and visa issues are another crucial factor when recruiting these staff members to work in India. Most may not have legal documents such as passports, visas, and work permits. Ensuring they have all their legal documents before traveling is a courtesy when hiring them. Therefore, the University should be responsible for all its legal and administrative support (Luo &amp; Gu, 2022). One is to ensure they have a passport to travel to a new country. Secondly is ensuring they have a working visa that facilitates their reason for visiting India; it should have the duration the work will last, and if not, renewing the visa should be the organization's responsibility. Dependent visas for their families should also be ensured to suit their respective roles in India. A work permit is also mandatory; the organization should watch out for any immigration rules that may interfere with it. Other administrative issues include informing them of the local laws within the facilities and region, educating them on their taxation obligations, and drafting a clear contract that will address critical issues and what is expected during their period of employment.</w:t>
      </w:r>
    </w:p>
    <w:p w14:paraId="25233CCC" w14:textId="48BD3B4C"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other factor to consider while recruiting these candidates is their ability to adapt to new environments, learn new languages, and embrace new cultures. People in India have a very different culture from those in the U.K. It is important to inform these candidates of potential culture shocks they may encounter before employing them. Some may have health problems that may not align with the weather in the region or different cultures, such as their foods. It is, therefore, to identify this from the beginning so that when they are considered for the task, they are first trained about the culture, prepared well for regions that are safe to visit, safe food practices, and generally how they will survive daily. The University can employ local staff during the first weeks to ensure they adjust well to their environment or offer stay at places that are secure and are within the campus environment to ensure their safety and thus offering any assistance such as a </w:t>
      </w:r>
      <w:r w:rsidR="00DD1DF6" w:rsidRPr="00DD1DF6">
        <w:rPr>
          <w:rFonts w:ascii="Arial" w:hAnsi="Arial" w:cs="Arial"/>
          <w:sz w:val="24"/>
          <w:szCs w:val="24"/>
        </w:rPr>
        <w:t>chauffeur</w:t>
      </w:r>
      <w:r w:rsidRPr="00DD1DF6">
        <w:rPr>
          <w:rFonts w:ascii="Arial" w:hAnsi="Arial" w:cs="Arial"/>
          <w:sz w:val="24"/>
          <w:szCs w:val="24"/>
        </w:rPr>
        <w:t xml:space="preserve"> who would guide them on their outside activities whenever they seem to need it.</w:t>
      </w:r>
    </w:p>
    <w:p w14:paraId="53E02A9C" w14:textId="77777777" w:rsidR="00D03EB9" w:rsidRPr="00DD1DF6" w:rsidRDefault="00D03EB9" w:rsidP="00DD1DF6">
      <w:pPr>
        <w:pStyle w:val="Heading1"/>
      </w:pPr>
      <w:bookmarkStart w:id="10" w:name="_Toc151028905"/>
      <w:r w:rsidRPr="00DD1DF6">
        <w:lastRenderedPageBreak/>
        <w:t>Training</w:t>
      </w:r>
      <w:bookmarkEnd w:id="10"/>
    </w:p>
    <w:p w14:paraId="59CF8DF8" w14:textId="224616DF"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Training is an integral aspect of expatriate relocation that should be addressed to effectively settle into the new working environment. In any company, consistent training ensures high employee motivation and productivity in tasks performed. Training is critical for these expatriates to familiarize them with different aspects of the new environment they will be working in. Other countries have different corporate working norms that must be understood for employees to work effectively and efficiently. With significant cultural differences, some of the factors the expatriates would be trained on include language, history, professional expectations, gender dynamics, and other cultural sensitivity factors like dressing and observance of some holidays. It is also essential to train these expatriates on the legal and regulatory policies in India, especially on Indian tax regulations, </w:t>
      </w:r>
      <w:r w:rsidR="00DD1DF6" w:rsidRPr="00DD1DF6">
        <w:rPr>
          <w:rFonts w:ascii="Arial" w:hAnsi="Arial" w:cs="Arial"/>
          <w:sz w:val="24"/>
          <w:szCs w:val="24"/>
        </w:rPr>
        <w:t>labour</w:t>
      </w:r>
      <w:r w:rsidRPr="00DD1DF6">
        <w:rPr>
          <w:rFonts w:ascii="Arial" w:hAnsi="Arial" w:cs="Arial"/>
          <w:sz w:val="24"/>
          <w:szCs w:val="24"/>
        </w:rPr>
        <w:t xml:space="preserve"> laws, and compliance with these as expatriate employees to avoid legal issues. </w:t>
      </w:r>
    </w:p>
    <w:p w14:paraId="0A864122" w14:textId="65578E56"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Language is an important aspect that facilitates communication in any society. Therefore, expatriate employees need proper language training to enhance their professional competency and relationship-building with the community around them. In India, English language is the primary business language and the primary language for use in school contexts (Kour &amp; </w:t>
      </w:r>
      <w:proofErr w:type="spellStart"/>
      <w:r w:rsidRPr="00DD1DF6">
        <w:rPr>
          <w:rFonts w:ascii="Arial" w:hAnsi="Arial" w:cs="Arial"/>
          <w:sz w:val="24"/>
          <w:szCs w:val="24"/>
        </w:rPr>
        <w:t>Jyotti</w:t>
      </w:r>
      <w:proofErr w:type="spellEnd"/>
      <w:r w:rsidRPr="00DD1DF6">
        <w:rPr>
          <w:rFonts w:ascii="Arial" w:hAnsi="Arial" w:cs="Arial"/>
          <w:sz w:val="24"/>
          <w:szCs w:val="24"/>
        </w:rPr>
        <w:t>, 2022). Therefore, it would be critical for expatriate employees to have thorough training and assessment of their proficiency in official English language use. While most of these expatriates may use English as their primary language in their day-to-day activities, training will ensure that they are proficient in using corporate phrases and other commonly used phrases in India for efficient communication when they move. They would also need training in the local Hindu language that the larger community outside their work environment uses. Having basic or intermediate proficiency in the Hindu language is essential for their settlement to the new environment by allowing them the flexibility of communicating with other people not in their immediate workspace for effective relationship-building and assimilation.</w:t>
      </w:r>
    </w:p>
    <w:p w14:paraId="5B7D6741"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Culture is a vital identification aspect of any community and is often unique to the </w:t>
      </w:r>
      <w:proofErr w:type="gramStart"/>
      <w:r w:rsidRPr="00DD1DF6">
        <w:rPr>
          <w:rFonts w:ascii="Arial" w:hAnsi="Arial" w:cs="Arial"/>
          <w:sz w:val="24"/>
          <w:szCs w:val="24"/>
        </w:rPr>
        <w:t>particular groups</w:t>
      </w:r>
      <w:proofErr w:type="gramEnd"/>
      <w:r w:rsidRPr="00DD1DF6">
        <w:rPr>
          <w:rFonts w:ascii="Arial" w:hAnsi="Arial" w:cs="Arial"/>
          <w:sz w:val="24"/>
          <w:szCs w:val="24"/>
        </w:rPr>
        <w:t xml:space="preserve"> living in these communities. Culture allows people in a community to have a sense of belonging and builds the community's identity. India is a culturally rich nation with diverse cultures and practices that one must be aware of before moving or working there. A critical aspect of Indian culture that needs </w:t>
      </w:r>
      <w:r w:rsidRPr="00DD1DF6">
        <w:rPr>
          <w:rFonts w:ascii="Arial" w:hAnsi="Arial" w:cs="Arial"/>
          <w:sz w:val="24"/>
          <w:szCs w:val="24"/>
        </w:rPr>
        <w:lastRenderedPageBreak/>
        <w:t xml:space="preserve">significant emphasis is their religious custom of the holy cow. To many, the culture may seem insignificant and outdated; however, it is essential to note that it is vital in their Hindu religion, which is also a critical aspect of their culture </w:t>
      </w:r>
      <w:proofErr w:type="gramStart"/>
      <w:r w:rsidRPr="00DD1DF6">
        <w:rPr>
          <w:rFonts w:ascii="Arial" w:hAnsi="Arial" w:cs="Arial"/>
          <w:sz w:val="24"/>
          <w:szCs w:val="24"/>
        </w:rPr>
        <w:t>( Kour</w:t>
      </w:r>
      <w:proofErr w:type="gramEnd"/>
      <w:r w:rsidRPr="00DD1DF6">
        <w:rPr>
          <w:rFonts w:ascii="Arial" w:hAnsi="Arial" w:cs="Arial"/>
          <w:sz w:val="24"/>
          <w:szCs w:val="24"/>
        </w:rPr>
        <w:t xml:space="preserve"> &amp; </w:t>
      </w:r>
      <w:proofErr w:type="spellStart"/>
      <w:r w:rsidRPr="00DD1DF6">
        <w:rPr>
          <w:rFonts w:ascii="Arial" w:hAnsi="Arial" w:cs="Arial"/>
          <w:sz w:val="24"/>
          <w:szCs w:val="24"/>
        </w:rPr>
        <w:t>Jyotti</w:t>
      </w:r>
      <w:proofErr w:type="spellEnd"/>
      <w:r w:rsidRPr="00DD1DF6">
        <w:rPr>
          <w:rFonts w:ascii="Arial" w:hAnsi="Arial" w:cs="Arial"/>
          <w:sz w:val="24"/>
          <w:szCs w:val="24"/>
        </w:rPr>
        <w:t xml:space="preserve">, 2022). Therefore, the expatriates need significant training in showing sensitivity to this age-old culture Indians have been observing for centuries. Another aspect of their religious culture that people need to be aware of is the use of the swastika symbol, which in the Indian context represents Lord Ganesha, the remover of obstacles </w:t>
      </w:r>
      <w:proofErr w:type="gramStart"/>
      <w:r w:rsidRPr="00DD1DF6">
        <w:rPr>
          <w:rFonts w:ascii="Arial" w:hAnsi="Arial" w:cs="Arial"/>
          <w:sz w:val="24"/>
          <w:szCs w:val="24"/>
        </w:rPr>
        <w:t>( Kour</w:t>
      </w:r>
      <w:proofErr w:type="gramEnd"/>
      <w:r w:rsidRPr="00DD1DF6">
        <w:rPr>
          <w:rFonts w:ascii="Arial" w:hAnsi="Arial" w:cs="Arial"/>
          <w:sz w:val="24"/>
          <w:szCs w:val="24"/>
        </w:rPr>
        <w:t xml:space="preserve"> &amp; </w:t>
      </w:r>
      <w:proofErr w:type="spellStart"/>
      <w:r w:rsidRPr="00DD1DF6">
        <w:rPr>
          <w:rFonts w:ascii="Arial" w:hAnsi="Arial" w:cs="Arial"/>
          <w:sz w:val="24"/>
          <w:szCs w:val="24"/>
        </w:rPr>
        <w:t>Jyotti</w:t>
      </w:r>
      <w:proofErr w:type="spellEnd"/>
      <w:r w:rsidRPr="00DD1DF6">
        <w:rPr>
          <w:rFonts w:ascii="Arial" w:hAnsi="Arial" w:cs="Arial"/>
          <w:sz w:val="24"/>
          <w:szCs w:val="24"/>
        </w:rPr>
        <w:t>, 2022). To many, the symbol represents Nazism, calling for a thorough education on these aspects of Indian culture to ensure the harmonious settling of these expatriates.</w:t>
      </w:r>
    </w:p>
    <w:p w14:paraId="74EF0167"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Another critical aspect that needs to be addressed during the training of these expatriates is their professional conduct in India. Professional conduct entails factors in business etiquette like professional dressing, meetings and greetings, and negotiation styles. Some of the essential professional conduct aspects in the teaching profession in India include using education to ensure students' all-round development, education to promote Indian culture and world peace, promoting democracy and social justice, and the need for self-direction and self-discipline in the profession </w:t>
      </w:r>
      <w:proofErr w:type="gramStart"/>
      <w:r w:rsidRPr="00DD1DF6">
        <w:rPr>
          <w:rFonts w:ascii="Arial" w:hAnsi="Arial" w:cs="Arial"/>
          <w:sz w:val="24"/>
          <w:szCs w:val="24"/>
        </w:rPr>
        <w:t>( Kour</w:t>
      </w:r>
      <w:proofErr w:type="gramEnd"/>
      <w:r w:rsidRPr="00DD1DF6">
        <w:rPr>
          <w:rFonts w:ascii="Arial" w:hAnsi="Arial" w:cs="Arial"/>
          <w:sz w:val="24"/>
          <w:szCs w:val="24"/>
        </w:rPr>
        <w:t xml:space="preserve"> &amp; </w:t>
      </w:r>
      <w:proofErr w:type="spellStart"/>
      <w:r w:rsidRPr="00DD1DF6">
        <w:rPr>
          <w:rFonts w:ascii="Arial" w:hAnsi="Arial" w:cs="Arial"/>
          <w:sz w:val="24"/>
          <w:szCs w:val="24"/>
        </w:rPr>
        <w:t>Jyotti</w:t>
      </w:r>
      <w:proofErr w:type="spellEnd"/>
      <w:r w:rsidRPr="00DD1DF6">
        <w:rPr>
          <w:rFonts w:ascii="Arial" w:hAnsi="Arial" w:cs="Arial"/>
          <w:sz w:val="24"/>
          <w:szCs w:val="24"/>
        </w:rPr>
        <w:t xml:space="preserve">, 2022). The significance of the greeting 'Namaste' also needs to be highlighted in training these individuals on how to offer greetings in professional meetings. It is also critical to emphasize building employee relationships and rapport before discussing business matters </w:t>
      </w:r>
      <w:proofErr w:type="gramStart"/>
      <w:r w:rsidRPr="00DD1DF6">
        <w:rPr>
          <w:rFonts w:ascii="Arial" w:hAnsi="Arial" w:cs="Arial"/>
          <w:sz w:val="24"/>
          <w:szCs w:val="24"/>
        </w:rPr>
        <w:t>( Kour</w:t>
      </w:r>
      <w:proofErr w:type="gramEnd"/>
      <w:r w:rsidRPr="00DD1DF6">
        <w:rPr>
          <w:rFonts w:ascii="Arial" w:hAnsi="Arial" w:cs="Arial"/>
          <w:sz w:val="24"/>
          <w:szCs w:val="24"/>
        </w:rPr>
        <w:t xml:space="preserve"> &amp; </w:t>
      </w:r>
      <w:proofErr w:type="spellStart"/>
      <w:r w:rsidRPr="00DD1DF6">
        <w:rPr>
          <w:rFonts w:ascii="Arial" w:hAnsi="Arial" w:cs="Arial"/>
          <w:sz w:val="24"/>
          <w:szCs w:val="24"/>
        </w:rPr>
        <w:t>Jyotti</w:t>
      </w:r>
      <w:proofErr w:type="spellEnd"/>
      <w:r w:rsidRPr="00DD1DF6">
        <w:rPr>
          <w:rFonts w:ascii="Arial" w:hAnsi="Arial" w:cs="Arial"/>
          <w:sz w:val="24"/>
          <w:szCs w:val="24"/>
        </w:rPr>
        <w:t xml:space="preserve">, 2022). The Indian professional system heavily relies on proper communication and patience to build strong relationships before conducting business among professionals. </w:t>
      </w:r>
    </w:p>
    <w:p w14:paraId="1015AFA0" w14:textId="73C91625"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All democratic governments strive to regulate the business activities of all that live in their territories to enhance legal business practices and compliance with different laws. India is no exception, as all corporate entities have imposed </w:t>
      </w:r>
      <w:r w:rsidR="00DD1DF6" w:rsidRPr="00DD1DF6">
        <w:rPr>
          <w:rFonts w:ascii="Arial" w:hAnsi="Arial" w:cs="Arial"/>
          <w:sz w:val="24"/>
          <w:szCs w:val="24"/>
        </w:rPr>
        <w:t>labour</w:t>
      </w:r>
      <w:r w:rsidRPr="00DD1DF6">
        <w:rPr>
          <w:rFonts w:ascii="Arial" w:hAnsi="Arial" w:cs="Arial"/>
          <w:sz w:val="24"/>
          <w:szCs w:val="24"/>
        </w:rPr>
        <w:t xml:space="preserve"> laws and tax regulations. It is crucial for these expatriates to note that their salaries are subject to taxation in India and to ensure they comply with India's revenue authority by providing all the documents needed and fully disclosing their income to ensure full compliance with the country's tax regulations (Annapoorna, 2022). They should also be trained and made aware of the need for them to have and promptly renew their employment visa (E-Visa) to be able to work in India as per the Indian </w:t>
      </w:r>
      <w:r w:rsidR="00DD1DF6" w:rsidRPr="00DD1DF6">
        <w:rPr>
          <w:rFonts w:ascii="Arial" w:hAnsi="Arial" w:cs="Arial"/>
          <w:sz w:val="24"/>
          <w:szCs w:val="24"/>
        </w:rPr>
        <w:t>labour</w:t>
      </w:r>
      <w:r w:rsidRPr="00DD1DF6">
        <w:rPr>
          <w:rFonts w:ascii="Arial" w:hAnsi="Arial" w:cs="Arial"/>
          <w:sz w:val="24"/>
          <w:szCs w:val="24"/>
        </w:rPr>
        <w:t xml:space="preserve"> laws (Annapoorna, 2022). The training should also encompass their </w:t>
      </w:r>
      <w:r w:rsidRPr="00DD1DF6">
        <w:rPr>
          <w:rFonts w:ascii="Arial" w:hAnsi="Arial" w:cs="Arial"/>
          <w:sz w:val="24"/>
          <w:szCs w:val="24"/>
        </w:rPr>
        <w:lastRenderedPageBreak/>
        <w:t xml:space="preserve">awareness of their rights as workers in India and the correct way they should be treated by their superiors, including the need for a safe working environment, proper compensation for work done, data protection, and equal opportunities according to competency. </w:t>
      </w:r>
    </w:p>
    <w:p w14:paraId="2AFF537C" w14:textId="7977D54E"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ab/>
        <w:t xml:space="preserve">Other essential aspects of training include gender dynamics in workplaces and observance of holidays. The country has many holidays, including the famous Diwali festivals, that these employees must observe while working there. Observance of these holidays may be challenging as they may not participate in them; however, they need to respect the culture and keep these holidays. It is also vital to note gender dynamics in the communities, noting that males are the general heads of households. It is also critical for them to understand that these laws protect them against sexual harassment in workplaces and channels for reporting these incidences. Thorough training and understanding of all the dynamics of Indian culture, professional conduct, and </w:t>
      </w:r>
      <w:r w:rsidR="00DD1DF6" w:rsidRPr="00DD1DF6">
        <w:rPr>
          <w:rFonts w:ascii="Arial" w:hAnsi="Arial" w:cs="Arial"/>
          <w:sz w:val="24"/>
          <w:szCs w:val="24"/>
        </w:rPr>
        <w:t>labour</w:t>
      </w:r>
      <w:r w:rsidRPr="00DD1DF6">
        <w:rPr>
          <w:rFonts w:ascii="Arial" w:hAnsi="Arial" w:cs="Arial"/>
          <w:sz w:val="24"/>
          <w:szCs w:val="24"/>
        </w:rPr>
        <w:t xml:space="preserve"> policies is therefore critical for expatriates to ensure their smooth assimilation.  </w:t>
      </w:r>
    </w:p>
    <w:p w14:paraId="20328508" w14:textId="77777777" w:rsidR="00D03EB9" w:rsidRPr="00DD1DF6" w:rsidRDefault="00D03EB9" w:rsidP="00DD1DF6">
      <w:pPr>
        <w:pStyle w:val="Heading1"/>
      </w:pPr>
      <w:bookmarkStart w:id="11" w:name="_Toc151028906"/>
      <w:r w:rsidRPr="00DD1DF6">
        <w:t>Settlement</w:t>
      </w:r>
      <w:bookmarkEnd w:id="11"/>
    </w:p>
    <w:p w14:paraId="4D26343C"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Recruitment and training require as much as helping them to settle down does. Settling the expatriates in India can be a little challenging. Still, with the right plans, preparations, funding, and resources, it is easier to help make them comfortable after they have been called to their respective job positions in the University. The first to factor in their place of stay (Setti et al., 2020). Preferably, it is convenient to offer professors and lecturers housing within the university compound so that it is easier for them to access utilities and resources in the University and not have transportation inconveniences or get lost in a new environment. If not possible, it is convenient to offer temporary residents around the region of the university location an area that is safe and secure for them or offer them housing allowances to enable them to sustain their stay during the work period. The site should also be strategic to amenities and places they frequently visit.</w:t>
      </w:r>
    </w:p>
    <w:p w14:paraId="4DAEC1B4" w14:textId="0E68E420"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second factor is ensuring that the children of expatriates are settled in good schools. When coming into a new place, they have challenges adjusting as the U.K. </w:t>
      </w:r>
      <w:r w:rsidR="00DD1DF6" w:rsidRPr="00DD1DF6">
        <w:rPr>
          <w:rFonts w:ascii="Arial" w:hAnsi="Arial" w:cs="Arial"/>
          <w:sz w:val="24"/>
          <w:szCs w:val="24"/>
        </w:rPr>
        <w:t>school’s</w:t>
      </w:r>
      <w:r w:rsidRPr="00DD1DF6">
        <w:rPr>
          <w:rFonts w:ascii="Arial" w:hAnsi="Arial" w:cs="Arial"/>
          <w:sz w:val="24"/>
          <w:szCs w:val="24"/>
        </w:rPr>
        <w:t xml:space="preserve"> syllabus differs from the school curriculum of India. Their children's different needs and abilities should be assessed, and appropriate schools that suit their </w:t>
      </w:r>
      <w:r w:rsidRPr="00DD1DF6">
        <w:rPr>
          <w:rFonts w:ascii="Arial" w:hAnsi="Arial" w:cs="Arial"/>
          <w:sz w:val="24"/>
          <w:szCs w:val="24"/>
        </w:rPr>
        <w:lastRenderedPageBreak/>
        <w:t>capabilities should be sought to get the best education. The University is responsible for assisting the expatriate in finding the most suitable schools for the kids that will nurture their talents and capabilities (Shah et al., 2022). They can also integrate them with the children of local staff so that they can help them navigate the change in the school curriculum, education system, and different cultures they have in their schools.</w:t>
      </w:r>
    </w:p>
    <w:p w14:paraId="444A0369"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Another factor to consider when settling in the expatriates involves offering good healthcare services. Their well-being is paramount, and in case they are sick, they </w:t>
      </w:r>
      <w:proofErr w:type="gramStart"/>
      <w:r w:rsidRPr="00DD1DF6">
        <w:rPr>
          <w:rFonts w:ascii="Arial" w:hAnsi="Arial" w:cs="Arial"/>
          <w:sz w:val="24"/>
          <w:szCs w:val="24"/>
        </w:rPr>
        <w:t>have to</w:t>
      </w:r>
      <w:proofErr w:type="gramEnd"/>
      <w:r w:rsidRPr="00DD1DF6">
        <w:rPr>
          <w:rFonts w:ascii="Arial" w:hAnsi="Arial" w:cs="Arial"/>
          <w:sz w:val="24"/>
          <w:szCs w:val="24"/>
        </w:rPr>
        <w:t xml:space="preserve"> have a health insurance plan to help them get good healthcare services. The University can offer health benefits from the clinic at the University and extend their services to good hospitals that they collaborate with when their students and staff need medical attention. They should ensure that they are registered with these specific health institutions so that they and their families can get medical services whenever needed.</w:t>
      </w:r>
    </w:p>
    <w:p w14:paraId="6671B7FF"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Social and cultural factors are also considered when the expatriates </w:t>
      </w:r>
      <w:proofErr w:type="gramStart"/>
      <w:r w:rsidRPr="00DD1DF6">
        <w:rPr>
          <w:rFonts w:ascii="Arial" w:hAnsi="Arial" w:cs="Arial"/>
          <w:sz w:val="24"/>
          <w:szCs w:val="24"/>
        </w:rPr>
        <w:t>have to</w:t>
      </w:r>
      <w:proofErr w:type="gramEnd"/>
      <w:r w:rsidRPr="00DD1DF6">
        <w:rPr>
          <w:rFonts w:ascii="Arial" w:hAnsi="Arial" w:cs="Arial"/>
          <w:sz w:val="24"/>
          <w:szCs w:val="24"/>
        </w:rPr>
        <w:t xml:space="preserve"> settle in. The University facilitates social and cultural interactions by organizing events and programs that ensure that the expatriates interact well with other local persons so that they get to learn about their new culture. Social interaction can include events at the University, such as cultural events, athletics, and community programs that will engage them with others. From the events, they will be able to learn more about their languages, sports, foods, and culture generally, where they will be able to adjust with time; they can also learn the dos and don'ts of their community. The locals can also pick things from them, like their educational systems or culture in the U.K., that ensures their success.</w:t>
      </w:r>
    </w:p>
    <w:p w14:paraId="33AC9E35"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The other factor includes familiarizing them with the new environment. It involves offering them tour guides or chauffeurs at first when they are navigating their way in India. It may be difficult for them to understand the public transpiration schedules, and the University should offer training to educate them on navigating the new area. They can also provide a means of transportation to them and the right channel or way to go so that they can obtain their driving license when they are familiar with the area and can now drive themselves around. They can also make maps of hotspot </w:t>
      </w:r>
      <w:r w:rsidRPr="00DD1DF6">
        <w:rPr>
          <w:rFonts w:ascii="Arial" w:hAnsi="Arial" w:cs="Arial"/>
          <w:sz w:val="24"/>
          <w:szCs w:val="24"/>
        </w:rPr>
        <w:lastRenderedPageBreak/>
        <w:t xml:space="preserve">areas with crime or insecurity in the country so that they remain safe while navigating to new places. </w:t>
      </w:r>
    </w:p>
    <w:p w14:paraId="003E38AA" w14:textId="77777777" w:rsidR="00D03EB9" w:rsidRDefault="00D03EB9" w:rsidP="00DD1DF6">
      <w:pPr>
        <w:spacing w:line="360" w:lineRule="auto"/>
        <w:rPr>
          <w:rFonts w:ascii="Arial" w:hAnsi="Arial" w:cs="Arial"/>
          <w:sz w:val="24"/>
          <w:szCs w:val="24"/>
        </w:rPr>
      </w:pPr>
      <w:r w:rsidRPr="00DD1DF6">
        <w:rPr>
          <w:rFonts w:ascii="Arial" w:hAnsi="Arial" w:cs="Arial"/>
          <w:sz w:val="24"/>
          <w:szCs w:val="24"/>
        </w:rPr>
        <w:t xml:space="preserve">Another factor involves banking and finances. They need to be assisted to settle in well by educating them on the best banking services in the area as their sustainment depends on their income. The University can guide them into opening bank accounts that work in India, inform them about international ones, and educate them on how they make their payments when buying stuff or changing their currencies to the local currency used in India. This will make their life easier, as issues like allowances, insurance, mortgage, and daily activities like shopping and </w:t>
      </w:r>
      <w:proofErr w:type="spellStart"/>
      <w:r w:rsidRPr="00DD1DF6">
        <w:rPr>
          <w:rFonts w:ascii="Arial" w:hAnsi="Arial" w:cs="Arial"/>
          <w:sz w:val="24"/>
          <w:szCs w:val="24"/>
        </w:rPr>
        <w:t>fueling</w:t>
      </w:r>
      <w:proofErr w:type="spellEnd"/>
      <w:r w:rsidRPr="00DD1DF6">
        <w:rPr>
          <w:rFonts w:ascii="Arial" w:hAnsi="Arial" w:cs="Arial"/>
          <w:sz w:val="24"/>
          <w:szCs w:val="24"/>
        </w:rPr>
        <w:t xml:space="preserve"> will be catered for. Repatriation is also mandatory and vital (Ellis &amp; Yao, 2020). After their contract, repatriation occurs, where they eventually return to their native country. The University must draw a clear repatriation plan, as it assists the expatriates in knowing how their careers would progress after that period and if they can be reintegrated whenever there are other opportunities. </w:t>
      </w:r>
    </w:p>
    <w:p w14:paraId="63951881" w14:textId="77777777" w:rsidR="00DD1DF6" w:rsidRDefault="00DD1DF6" w:rsidP="00DD1DF6">
      <w:pPr>
        <w:spacing w:line="360" w:lineRule="auto"/>
        <w:rPr>
          <w:rFonts w:ascii="Arial" w:hAnsi="Arial" w:cs="Arial"/>
          <w:sz w:val="24"/>
          <w:szCs w:val="24"/>
        </w:rPr>
      </w:pPr>
    </w:p>
    <w:p w14:paraId="6CB87C68" w14:textId="77777777" w:rsidR="00DD1DF6" w:rsidRDefault="00DD1DF6" w:rsidP="00DD1DF6">
      <w:pPr>
        <w:spacing w:line="360" w:lineRule="auto"/>
        <w:rPr>
          <w:rFonts w:ascii="Arial" w:hAnsi="Arial" w:cs="Arial"/>
          <w:sz w:val="24"/>
          <w:szCs w:val="24"/>
        </w:rPr>
      </w:pPr>
    </w:p>
    <w:p w14:paraId="44D64C5D" w14:textId="77777777" w:rsidR="00DD1DF6" w:rsidRDefault="00DD1DF6" w:rsidP="00DD1DF6">
      <w:pPr>
        <w:spacing w:line="360" w:lineRule="auto"/>
        <w:rPr>
          <w:rFonts w:ascii="Arial" w:hAnsi="Arial" w:cs="Arial"/>
          <w:sz w:val="24"/>
          <w:szCs w:val="24"/>
        </w:rPr>
      </w:pPr>
    </w:p>
    <w:p w14:paraId="63C3006B" w14:textId="77777777" w:rsidR="00DD1DF6" w:rsidRDefault="00DD1DF6" w:rsidP="00DD1DF6">
      <w:pPr>
        <w:spacing w:line="360" w:lineRule="auto"/>
        <w:rPr>
          <w:rFonts w:ascii="Arial" w:hAnsi="Arial" w:cs="Arial"/>
          <w:sz w:val="24"/>
          <w:szCs w:val="24"/>
        </w:rPr>
      </w:pPr>
    </w:p>
    <w:p w14:paraId="094D31CB" w14:textId="77777777" w:rsidR="00DD1DF6" w:rsidRDefault="00DD1DF6" w:rsidP="00DD1DF6">
      <w:pPr>
        <w:spacing w:line="360" w:lineRule="auto"/>
        <w:rPr>
          <w:rFonts w:ascii="Arial" w:hAnsi="Arial" w:cs="Arial"/>
          <w:sz w:val="24"/>
          <w:szCs w:val="24"/>
        </w:rPr>
      </w:pPr>
    </w:p>
    <w:p w14:paraId="3A10D928" w14:textId="77777777" w:rsidR="00DD1DF6" w:rsidRDefault="00DD1DF6" w:rsidP="00DD1DF6">
      <w:pPr>
        <w:spacing w:line="360" w:lineRule="auto"/>
        <w:rPr>
          <w:rFonts w:ascii="Arial" w:hAnsi="Arial" w:cs="Arial"/>
          <w:sz w:val="24"/>
          <w:szCs w:val="24"/>
        </w:rPr>
      </w:pPr>
    </w:p>
    <w:p w14:paraId="29567F80" w14:textId="77777777" w:rsidR="00DD1DF6" w:rsidRDefault="00DD1DF6" w:rsidP="00DD1DF6">
      <w:pPr>
        <w:spacing w:line="360" w:lineRule="auto"/>
        <w:rPr>
          <w:rFonts w:ascii="Arial" w:hAnsi="Arial" w:cs="Arial"/>
          <w:sz w:val="24"/>
          <w:szCs w:val="24"/>
        </w:rPr>
      </w:pPr>
    </w:p>
    <w:p w14:paraId="43E7F056" w14:textId="77777777" w:rsidR="00DD1DF6" w:rsidRDefault="00DD1DF6" w:rsidP="00DD1DF6">
      <w:pPr>
        <w:spacing w:line="360" w:lineRule="auto"/>
        <w:rPr>
          <w:rFonts w:ascii="Arial" w:hAnsi="Arial" w:cs="Arial"/>
          <w:sz w:val="24"/>
          <w:szCs w:val="24"/>
        </w:rPr>
      </w:pPr>
    </w:p>
    <w:p w14:paraId="56EEB9A8" w14:textId="77777777" w:rsidR="00DD1DF6" w:rsidRPr="00DD1DF6" w:rsidRDefault="00DD1DF6" w:rsidP="00DD1DF6">
      <w:pPr>
        <w:spacing w:line="360" w:lineRule="auto"/>
        <w:rPr>
          <w:rFonts w:ascii="Arial" w:hAnsi="Arial" w:cs="Arial"/>
          <w:sz w:val="24"/>
          <w:szCs w:val="24"/>
        </w:rPr>
      </w:pPr>
    </w:p>
    <w:p w14:paraId="6E108A54" w14:textId="77777777" w:rsidR="00D03EB9" w:rsidRPr="00DD1DF6" w:rsidRDefault="00D03EB9" w:rsidP="00DD1DF6">
      <w:pPr>
        <w:spacing w:line="360" w:lineRule="auto"/>
        <w:rPr>
          <w:rFonts w:ascii="Arial" w:hAnsi="Arial" w:cs="Arial"/>
          <w:sz w:val="24"/>
          <w:szCs w:val="24"/>
        </w:rPr>
      </w:pPr>
    </w:p>
    <w:p w14:paraId="0B9797AE" w14:textId="77777777" w:rsidR="00D03EB9" w:rsidRPr="00DD1DF6" w:rsidRDefault="00D03EB9" w:rsidP="00DD1DF6">
      <w:pPr>
        <w:spacing w:line="360" w:lineRule="auto"/>
        <w:rPr>
          <w:rFonts w:ascii="Arial" w:hAnsi="Arial" w:cs="Arial"/>
          <w:sz w:val="24"/>
          <w:szCs w:val="24"/>
        </w:rPr>
      </w:pPr>
    </w:p>
    <w:p w14:paraId="51A2A3EF" w14:textId="77777777" w:rsidR="00D03EB9" w:rsidRPr="00DD1DF6" w:rsidRDefault="00D03EB9" w:rsidP="00DD1DF6">
      <w:pPr>
        <w:spacing w:line="360" w:lineRule="auto"/>
        <w:rPr>
          <w:rFonts w:ascii="Arial" w:hAnsi="Arial" w:cs="Arial"/>
          <w:sz w:val="24"/>
          <w:szCs w:val="24"/>
        </w:rPr>
      </w:pPr>
    </w:p>
    <w:p w14:paraId="6777EABA" w14:textId="77777777" w:rsidR="00D03EB9" w:rsidRPr="00DD1DF6" w:rsidRDefault="00D03EB9" w:rsidP="00DD1DF6">
      <w:pPr>
        <w:spacing w:line="360" w:lineRule="auto"/>
        <w:rPr>
          <w:rFonts w:ascii="Arial" w:hAnsi="Arial" w:cs="Arial"/>
          <w:sz w:val="24"/>
          <w:szCs w:val="24"/>
        </w:rPr>
      </w:pPr>
    </w:p>
    <w:p w14:paraId="7E74D8C7" w14:textId="77777777" w:rsidR="00D03EB9" w:rsidRPr="00DD1DF6" w:rsidRDefault="00D03EB9" w:rsidP="00DD1DF6">
      <w:pPr>
        <w:pStyle w:val="Heading1"/>
      </w:pPr>
      <w:bookmarkStart w:id="12" w:name="_Toc151028907"/>
      <w:r w:rsidRPr="00DD1DF6">
        <w:lastRenderedPageBreak/>
        <w:t>References</w:t>
      </w:r>
      <w:bookmarkEnd w:id="12"/>
    </w:p>
    <w:p w14:paraId="63AD4A1E"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Annapoorna. (2022, January 13). Taxation of expatriate employees in India. </w:t>
      </w:r>
      <w:proofErr w:type="spellStart"/>
      <w:r w:rsidRPr="00DD1DF6">
        <w:rPr>
          <w:rFonts w:ascii="Arial" w:hAnsi="Arial" w:cs="Arial"/>
          <w:sz w:val="24"/>
          <w:szCs w:val="24"/>
        </w:rPr>
        <w:t>Cleartax</w:t>
      </w:r>
      <w:proofErr w:type="spellEnd"/>
      <w:r w:rsidRPr="00DD1DF6">
        <w:rPr>
          <w:rFonts w:ascii="Arial" w:hAnsi="Arial" w:cs="Arial"/>
          <w:sz w:val="24"/>
          <w:szCs w:val="24"/>
        </w:rPr>
        <w:t>. https://cleartax.in/s/expatriate-employee-taxation-india</w:t>
      </w:r>
    </w:p>
    <w:p w14:paraId="0A015C9C" w14:textId="77777777" w:rsidR="00D03EB9" w:rsidRPr="00DD1DF6" w:rsidRDefault="00D03EB9" w:rsidP="00DD1DF6">
      <w:pPr>
        <w:spacing w:line="360" w:lineRule="auto"/>
        <w:rPr>
          <w:rFonts w:ascii="Arial" w:hAnsi="Arial" w:cs="Arial"/>
          <w:sz w:val="24"/>
          <w:szCs w:val="24"/>
        </w:rPr>
      </w:pPr>
      <w:proofErr w:type="spellStart"/>
      <w:r w:rsidRPr="00DD1DF6">
        <w:rPr>
          <w:rFonts w:ascii="Arial" w:hAnsi="Arial" w:cs="Arial"/>
          <w:sz w:val="24"/>
          <w:szCs w:val="24"/>
        </w:rPr>
        <w:t>Annushkina</w:t>
      </w:r>
      <w:proofErr w:type="spellEnd"/>
      <w:r w:rsidRPr="00DD1DF6">
        <w:rPr>
          <w:rFonts w:ascii="Arial" w:hAnsi="Arial" w:cs="Arial"/>
          <w:sz w:val="24"/>
          <w:szCs w:val="24"/>
        </w:rPr>
        <w:t xml:space="preserve">, O. E., </w:t>
      </w:r>
      <w:proofErr w:type="spellStart"/>
      <w:r w:rsidRPr="00DD1DF6">
        <w:rPr>
          <w:rFonts w:ascii="Arial" w:hAnsi="Arial" w:cs="Arial"/>
          <w:sz w:val="24"/>
          <w:szCs w:val="24"/>
        </w:rPr>
        <w:t>Regazzo</w:t>
      </w:r>
      <w:proofErr w:type="spellEnd"/>
      <w:r w:rsidRPr="00DD1DF6">
        <w:rPr>
          <w:rFonts w:ascii="Arial" w:hAnsi="Arial" w:cs="Arial"/>
          <w:sz w:val="24"/>
          <w:szCs w:val="24"/>
        </w:rPr>
        <w:t xml:space="preserve">, A., </w:t>
      </w:r>
      <w:proofErr w:type="spellStart"/>
      <w:r w:rsidRPr="00DD1DF6">
        <w:rPr>
          <w:rFonts w:ascii="Arial" w:hAnsi="Arial" w:cs="Arial"/>
          <w:sz w:val="24"/>
          <w:szCs w:val="24"/>
        </w:rPr>
        <w:t>Annushkina</w:t>
      </w:r>
      <w:proofErr w:type="spellEnd"/>
      <w:r w:rsidRPr="00DD1DF6">
        <w:rPr>
          <w:rFonts w:ascii="Arial" w:hAnsi="Arial" w:cs="Arial"/>
          <w:sz w:val="24"/>
          <w:szCs w:val="24"/>
        </w:rPr>
        <w:t xml:space="preserve">, O. E., &amp; </w:t>
      </w:r>
      <w:proofErr w:type="spellStart"/>
      <w:r w:rsidRPr="00DD1DF6">
        <w:rPr>
          <w:rFonts w:ascii="Arial" w:hAnsi="Arial" w:cs="Arial"/>
          <w:sz w:val="24"/>
          <w:szCs w:val="24"/>
        </w:rPr>
        <w:t>Regazzo</w:t>
      </w:r>
      <w:proofErr w:type="spellEnd"/>
      <w:r w:rsidRPr="00DD1DF6">
        <w:rPr>
          <w:rFonts w:ascii="Arial" w:hAnsi="Arial" w:cs="Arial"/>
          <w:sz w:val="24"/>
          <w:szCs w:val="24"/>
        </w:rPr>
        <w:t>, A. (2020). Implementing Internationalization Strategy: The People Question. The Art of Going Global: A Practical Guide to a Firm's International Growth, 155-180. https://link.springer.com/chapter/10.1007/978-3-030-21044-1_8</w:t>
      </w:r>
    </w:p>
    <w:p w14:paraId="714A7BE0" w14:textId="22993AB0" w:rsidR="00D03EB9" w:rsidRPr="00DD1DF6" w:rsidRDefault="00DD1DF6" w:rsidP="00DD1DF6">
      <w:pPr>
        <w:spacing w:line="360" w:lineRule="auto"/>
        <w:rPr>
          <w:rFonts w:ascii="Arial" w:hAnsi="Arial" w:cs="Arial"/>
          <w:sz w:val="24"/>
          <w:szCs w:val="24"/>
        </w:rPr>
      </w:pPr>
      <w:proofErr w:type="spellStart"/>
      <w:r w:rsidRPr="00DD1DF6">
        <w:rPr>
          <w:rFonts w:ascii="Arial" w:hAnsi="Arial" w:cs="Arial"/>
          <w:sz w:val="24"/>
          <w:szCs w:val="24"/>
        </w:rPr>
        <w:t>Ciachir</w:t>
      </w:r>
      <w:proofErr w:type="spellEnd"/>
      <w:r w:rsidRPr="00DD1DF6">
        <w:rPr>
          <w:rFonts w:ascii="Arial" w:hAnsi="Arial" w:cs="Arial"/>
          <w:sz w:val="24"/>
          <w:szCs w:val="24"/>
        </w:rPr>
        <w:t>, C., &amp; Woodhams</w:t>
      </w:r>
      <w:r w:rsidR="00D03EB9" w:rsidRPr="00DD1DF6">
        <w:rPr>
          <w:rFonts w:ascii="Arial" w:hAnsi="Arial" w:cs="Arial"/>
          <w:sz w:val="24"/>
          <w:szCs w:val="24"/>
        </w:rPr>
        <w:t>, C. (2022). People management in an international context. Human Resource Management: People and Organisations, 173. https://books.google.com/books?hl=en&amp;lr=&amp;id=YxWEEAAAQBAJ&amp;oi=fnd&amp;pg=PA173&amp;dq=Critically+discuss+the+factors+to+consider+in+determining+the+choice+of+ethnocentric,+regiocentric,+and+polycentric+strategies+in+managing+employees&amp;ots=L3RKuThyBL&amp;sig=lAO5CY4-CdzOLI-vFiK8_0bjOao</w:t>
      </w:r>
    </w:p>
    <w:p w14:paraId="517F2AD9"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Ellis, D. R., Thorn, K., &amp; Yao, C. (2020). Repatriation of self-initiated expatriates: expectations vs. experiences. Career Development International, 25(5), 539-562. https://www.emerald.com/insight/content/doi/10.1108/CDI-09-2019-0228/full/html </w:t>
      </w:r>
    </w:p>
    <w:p w14:paraId="169BA505" w14:textId="77777777" w:rsidR="00D03EB9" w:rsidRPr="00DD1DF6" w:rsidRDefault="00D03EB9" w:rsidP="00DD1DF6">
      <w:pPr>
        <w:spacing w:line="360" w:lineRule="auto"/>
        <w:rPr>
          <w:rFonts w:ascii="Arial" w:hAnsi="Arial" w:cs="Arial"/>
          <w:sz w:val="24"/>
          <w:szCs w:val="24"/>
        </w:rPr>
      </w:pPr>
      <w:proofErr w:type="spellStart"/>
      <w:r w:rsidRPr="00DD1DF6">
        <w:rPr>
          <w:rFonts w:ascii="Arial" w:hAnsi="Arial" w:cs="Arial"/>
          <w:sz w:val="24"/>
          <w:szCs w:val="24"/>
        </w:rPr>
        <w:t>Garavan</w:t>
      </w:r>
      <w:proofErr w:type="spellEnd"/>
      <w:r w:rsidRPr="00DD1DF6">
        <w:rPr>
          <w:rFonts w:ascii="Arial" w:hAnsi="Arial" w:cs="Arial"/>
          <w:sz w:val="24"/>
          <w:szCs w:val="24"/>
        </w:rPr>
        <w:t>, T. N., O’Brien, F., Duggan, J., Gubbins, C., Lai, Y., Carbery, R., ... &amp; Grant, K. (2020). Theoretical perspectives and context of learning and development effectiveness in organisations. Learning and Development Effectiveness in Organisations: An Integrated Systems-Informed Model of Effectiveness, 23-48. https://link.springer.com/chapter/10.1007/978-3-030-48900-7_3</w:t>
      </w:r>
    </w:p>
    <w:p w14:paraId="6C1670A7" w14:textId="77777777" w:rsidR="00D03EB9" w:rsidRPr="00DD1DF6" w:rsidRDefault="00D03EB9" w:rsidP="00DD1DF6">
      <w:pPr>
        <w:spacing w:line="360" w:lineRule="auto"/>
        <w:rPr>
          <w:rFonts w:ascii="Arial" w:hAnsi="Arial" w:cs="Arial"/>
          <w:sz w:val="24"/>
          <w:szCs w:val="24"/>
        </w:rPr>
      </w:pPr>
      <w:proofErr w:type="spellStart"/>
      <w:r w:rsidRPr="00DD1DF6">
        <w:rPr>
          <w:rFonts w:ascii="Arial" w:hAnsi="Arial" w:cs="Arial"/>
          <w:sz w:val="24"/>
          <w:szCs w:val="24"/>
        </w:rPr>
        <w:t>Glazyrina</w:t>
      </w:r>
      <w:proofErr w:type="spellEnd"/>
      <w:r w:rsidRPr="00DD1DF6">
        <w:rPr>
          <w:rFonts w:ascii="Arial" w:hAnsi="Arial" w:cs="Arial"/>
          <w:sz w:val="24"/>
          <w:szCs w:val="24"/>
        </w:rPr>
        <w:t>, M. (2020). Human Resource Management Challenges of International Business and Their Possible Solutions. https://www.theseus.fi/handle/10024/349355</w:t>
      </w:r>
    </w:p>
    <w:p w14:paraId="33ECAD95"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Gupta, K., &amp; Sharma, M. A. Global Talent Acquisition: Strategies and Best Practices for Staffing and Recruitment in A Globalized World. MANGLAM PUBLICATIONS, 177. https://www.researchgate.net/profile/Satish-Kumar-345/publication/372953153_Emerging_Technology_and_Management_Trends/links/64d0d129806a9e4e5cf6158c/Emerging-Technology-and-Management-Trends.pdf#page=187</w:t>
      </w:r>
    </w:p>
    <w:p w14:paraId="19CBEACC"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John, S., &amp; Chattopadhyay, P. (2020). A study on various elements of human resource management practices in different contexts: Theoretical approach. Editorial </w:t>
      </w:r>
      <w:r w:rsidRPr="00DD1DF6">
        <w:rPr>
          <w:rFonts w:ascii="Arial" w:hAnsi="Arial" w:cs="Arial"/>
          <w:sz w:val="24"/>
          <w:szCs w:val="24"/>
        </w:rPr>
        <w:lastRenderedPageBreak/>
        <w:t>Board, 9(2), 218. http://ijmer.s3.amazonaws.com/pdf/volume9/volume9-issue2(5)-2020.pdf#page=228</w:t>
      </w:r>
    </w:p>
    <w:p w14:paraId="3EFB5A64"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Kour, S., &amp; Jyoti, J. (2022). Cross-cultural training and adjustment through the lens of cultural intelligence and type of expatriates. Employee Relations: The International Journal, 44(1), 1-36. </w:t>
      </w:r>
    </w:p>
    <w:p w14:paraId="4BC796B4"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Luo, X., &amp; Gu, Y. (2022, April). Expatriate Selection. In 2022 7th International Conference on Social Sciences and Economic Development (ICSSED 2022) (pp. 955-958). Atlantis Press. https://www.atlantis-press.com/proceedings/icssed-22/125973624</w:t>
      </w:r>
    </w:p>
    <w:p w14:paraId="42ED5234"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Rao, S. (2021). International Business Environment. Himalaya Publishing House. http://dspace.vnbrims.org:13000/jspui/bitstream/123456789/4458/1/International%20Business%20Environment.pdf</w:t>
      </w:r>
    </w:p>
    <w:p w14:paraId="2577746D" w14:textId="77777777" w:rsidR="00D03EB9" w:rsidRPr="00DD1DF6" w:rsidRDefault="00D03EB9" w:rsidP="00DD1DF6">
      <w:pPr>
        <w:spacing w:line="360" w:lineRule="auto"/>
        <w:rPr>
          <w:rFonts w:ascii="Arial" w:hAnsi="Arial" w:cs="Arial"/>
          <w:sz w:val="24"/>
          <w:szCs w:val="24"/>
        </w:rPr>
      </w:pPr>
      <w:proofErr w:type="spellStart"/>
      <w:r w:rsidRPr="00DD1DF6">
        <w:rPr>
          <w:rFonts w:ascii="Arial" w:hAnsi="Arial" w:cs="Arial"/>
          <w:sz w:val="24"/>
          <w:szCs w:val="24"/>
        </w:rPr>
        <w:t>Schühly</w:t>
      </w:r>
      <w:proofErr w:type="spellEnd"/>
      <w:r w:rsidRPr="00DD1DF6">
        <w:rPr>
          <w:rFonts w:ascii="Arial" w:hAnsi="Arial" w:cs="Arial"/>
          <w:sz w:val="24"/>
          <w:szCs w:val="24"/>
        </w:rPr>
        <w:t>, A. M. (2022). Cultural Influences on the Process of Strategic Management. Springer International Publishing. https://link.springer.com/content/pdf/10.1007/978-3-030-86660-0.pdf</w:t>
      </w:r>
    </w:p>
    <w:p w14:paraId="72BA43C6"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Setti, I., </w:t>
      </w:r>
      <w:proofErr w:type="spellStart"/>
      <w:r w:rsidRPr="00DD1DF6">
        <w:rPr>
          <w:rFonts w:ascii="Arial" w:hAnsi="Arial" w:cs="Arial"/>
          <w:sz w:val="24"/>
          <w:szCs w:val="24"/>
        </w:rPr>
        <w:t>Sommovigo</w:t>
      </w:r>
      <w:proofErr w:type="spellEnd"/>
      <w:r w:rsidRPr="00DD1DF6">
        <w:rPr>
          <w:rFonts w:ascii="Arial" w:hAnsi="Arial" w:cs="Arial"/>
          <w:sz w:val="24"/>
          <w:szCs w:val="24"/>
        </w:rPr>
        <w:t>, V., &amp; Argentero, P. (2020). Enhancing expatriates' assignments success: the relationships between cultural intelligence, cross-cultural adaptation and performance. Current Psychology, 1-21. https://link.springer.com/article/10.1007/s12144-020-00931-w</w:t>
      </w:r>
    </w:p>
    <w:p w14:paraId="6EC6FC63"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Shah, D., de Oliveira, R. T., Barker, M., Moeller, M., &amp; Nguyen, T. (2022). Expatriate family adjustment: How organisational support on international assignments matters. Journal of international management, 28(2), 100880. https://www.sciencedirect.com/science/article/abs/pii/S1075425321000600</w:t>
      </w:r>
    </w:p>
    <w:p w14:paraId="62CD4CBC"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t xml:space="preserve">Smerek, L., </w:t>
      </w:r>
      <w:proofErr w:type="spellStart"/>
      <w:r w:rsidRPr="00DD1DF6">
        <w:rPr>
          <w:rFonts w:ascii="Arial" w:hAnsi="Arial" w:cs="Arial"/>
          <w:sz w:val="24"/>
          <w:szCs w:val="24"/>
        </w:rPr>
        <w:t>Vetráková</w:t>
      </w:r>
      <w:proofErr w:type="spellEnd"/>
      <w:r w:rsidRPr="00DD1DF6">
        <w:rPr>
          <w:rFonts w:ascii="Arial" w:hAnsi="Arial" w:cs="Arial"/>
          <w:sz w:val="24"/>
          <w:szCs w:val="24"/>
        </w:rPr>
        <w:t xml:space="preserve">, M., </w:t>
      </w:r>
      <w:proofErr w:type="spellStart"/>
      <w:r w:rsidRPr="00DD1DF6">
        <w:rPr>
          <w:rFonts w:ascii="Arial" w:hAnsi="Arial" w:cs="Arial"/>
          <w:sz w:val="24"/>
          <w:szCs w:val="24"/>
        </w:rPr>
        <w:t>Šimočková</w:t>
      </w:r>
      <w:proofErr w:type="spellEnd"/>
      <w:r w:rsidRPr="00DD1DF6">
        <w:rPr>
          <w:rFonts w:ascii="Arial" w:hAnsi="Arial" w:cs="Arial"/>
          <w:sz w:val="24"/>
          <w:szCs w:val="24"/>
        </w:rPr>
        <w:t>, I., &amp; No, M. (2021). International Human Resource Management System. UTH Radom. https://www.researchgate.net/profile/Lukas-Smerek/publication/350654148_International_Human_Resource_Management_System/links/6384ab867b0e356feb92b1c8/International-Human-Resource-Management-System.pdf</w:t>
      </w:r>
    </w:p>
    <w:p w14:paraId="7905C25A" w14:textId="77777777" w:rsidR="00D03EB9" w:rsidRPr="00DD1DF6" w:rsidRDefault="00D03EB9" w:rsidP="00DD1DF6">
      <w:pPr>
        <w:spacing w:line="360" w:lineRule="auto"/>
        <w:rPr>
          <w:rFonts w:ascii="Arial" w:hAnsi="Arial" w:cs="Arial"/>
          <w:sz w:val="24"/>
          <w:szCs w:val="24"/>
        </w:rPr>
      </w:pPr>
      <w:r w:rsidRPr="00DD1DF6">
        <w:rPr>
          <w:rFonts w:ascii="Arial" w:hAnsi="Arial" w:cs="Arial"/>
          <w:sz w:val="24"/>
          <w:szCs w:val="24"/>
        </w:rPr>
        <w:lastRenderedPageBreak/>
        <w:t>Tayali, E. M., &amp; Sakyi, K. A. (2020). Reputable, relevant, realistic, reliable, and rigorous human resource management strategic approaches and practices in the 21st century. Adv Soc Sci Res J, 7(6), 600-621. https://www.researchgate.net/profile/Esnart-Tayali/publication/342665954_Reputable_Relevant_Realistic_Reliable_and_Rigorous_Human_Resource_Management_Strategic_Approaches_and_Practices_in_the_21st_Century/links/5eff78a7a6fdcc4ca4481d65/Reputable-Relevant-Realistic-Reliable-and-Rigorous-Human-Resource-Management-Strategic-Approaches-and-Practices-in-the-21st-Century.pdf</w:t>
      </w:r>
    </w:p>
    <w:p w14:paraId="24F4FE3E" w14:textId="6CFDF2C6" w:rsidR="00C8346F" w:rsidRPr="00DD1DF6" w:rsidRDefault="00D03EB9" w:rsidP="00DD1DF6">
      <w:pPr>
        <w:spacing w:line="360" w:lineRule="auto"/>
        <w:rPr>
          <w:rFonts w:ascii="Arial" w:hAnsi="Arial" w:cs="Arial"/>
          <w:sz w:val="24"/>
          <w:szCs w:val="24"/>
        </w:rPr>
      </w:pPr>
      <w:proofErr w:type="spellStart"/>
      <w:r w:rsidRPr="00DD1DF6">
        <w:rPr>
          <w:rFonts w:ascii="Arial" w:hAnsi="Arial" w:cs="Arial"/>
          <w:sz w:val="24"/>
          <w:szCs w:val="24"/>
        </w:rPr>
        <w:t>Waxin</w:t>
      </w:r>
      <w:proofErr w:type="spellEnd"/>
      <w:r w:rsidRPr="00DD1DF6">
        <w:rPr>
          <w:rFonts w:ascii="Arial" w:hAnsi="Arial" w:cs="Arial"/>
          <w:sz w:val="24"/>
          <w:szCs w:val="24"/>
        </w:rPr>
        <w:t>, M., &amp; Brewster, C. (2020, November). The Recruitment, Selection, and Preparation of Expatriates. https://www.researchgate.net/publication/349095963_The_Recruitment_Selection_and_Preparation_of_Expatriates</w:t>
      </w:r>
    </w:p>
    <w:sectPr w:rsidR="00C8346F" w:rsidRPr="00DD1DF6" w:rsidSect="00D03EB9">
      <w:head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4E165" w14:textId="77777777" w:rsidR="00E76818" w:rsidRDefault="00E76818" w:rsidP="00DD1DF6">
      <w:pPr>
        <w:spacing w:after="0" w:line="240" w:lineRule="auto"/>
      </w:pPr>
      <w:r>
        <w:separator/>
      </w:r>
    </w:p>
  </w:endnote>
  <w:endnote w:type="continuationSeparator" w:id="0">
    <w:p w14:paraId="74F84E19" w14:textId="77777777" w:rsidR="00E76818" w:rsidRDefault="00E76818" w:rsidP="00DD1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184139"/>
      <w:docPartObj>
        <w:docPartGallery w:val="Page Numbers (Bottom of Page)"/>
        <w:docPartUnique/>
      </w:docPartObj>
    </w:sdtPr>
    <w:sdtEndPr>
      <w:rPr>
        <w:noProof/>
      </w:rPr>
    </w:sdtEndPr>
    <w:sdtContent>
      <w:p w14:paraId="35F4A12B" w14:textId="64A26F01" w:rsidR="00DD1DF6" w:rsidRDefault="00DD1D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63CE77" w14:textId="77777777" w:rsidR="00DD1DF6" w:rsidRDefault="00DD1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A3D3" w14:textId="77777777" w:rsidR="00E76818" w:rsidRDefault="00E76818" w:rsidP="00DD1DF6">
      <w:pPr>
        <w:spacing w:after="0" w:line="240" w:lineRule="auto"/>
      </w:pPr>
      <w:r>
        <w:separator/>
      </w:r>
    </w:p>
  </w:footnote>
  <w:footnote w:type="continuationSeparator" w:id="0">
    <w:p w14:paraId="26D6BFAA" w14:textId="77777777" w:rsidR="00E76818" w:rsidRDefault="00E76818" w:rsidP="00DD1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629659"/>
      <w:docPartObj>
        <w:docPartGallery w:val="Page Numbers (Margins)"/>
        <w:docPartUnique/>
      </w:docPartObj>
    </w:sdtPr>
    <w:sdtContent>
      <w:p w14:paraId="73C9E0B1" w14:textId="3FBCE796" w:rsidR="00DD1DF6" w:rsidRDefault="00DD1DF6">
        <w:pPr>
          <w:pStyle w:val="Header"/>
        </w:pPr>
        <w:r>
          <w:rPr>
            <w:noProof/>
          </w:rPr>
          <mc:AlternateContent>
            <mc:Choice Requires="wps">
              <w:drawing>
                <wp:anchor distT="0" distB="0" distL="114300" distR="114300" simplePos="0" relativeHeight="251659264" behindDoc="0" locked="0" layoutInCell="0" allowOverlap="1" wp14:anchorId="4F7B50ED" wp14:editId="273AF161">
                  <wp:simplePos x="0" y="0"/>
                  <wp:positionH relativeFrom="rightMargin">
                    <wp:align>center</wp:align>
                  </wp:positionH>
                  <wp:positionV relativeFrom="margin">
                    <wp:align>bottom</wp:align>
                  </wp:positionV>
                  <wp:extent cx="510540" cy="2183130"/>
                  <wp:effectExtent l="0" t="0" r="3810" b="0"/>
                  <wp:wrapNone/>
                  <wp:docPr id="13310840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C6492" w14:textId="77777777" w:rsidR="00DD1DF6" w:rsidRDefault="00DD1DF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F7B50ED" id="Rectangle 1" o:spid="_x0000_s1027"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8DC6492" w14:textId="77777777" w:rsidR="00DD1DF6" w:rsidRDefault="00DD1DF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B9"/>
    <w:rsid w:val="007178F1"/>
    <w:rsid w:val="00C8346F"/>
    <w:rsid w:val="00D03EB9"/>
    <w:rsid w:val="00D50062"/>
    <w:rsid w:val="00DD1DF6"/>
    <w:rsid w:val="00E76818"/>
    <w:rsid w:val="00FF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E29BB"/>
  <w15:chartTrackingRefBased/>
  <w15:docId w15:val="{62EA7334-DDA4-458F-BE9B-E04458A8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D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EB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03EB9"/>
    <w:rPr>
      <w:rFonts w:eastAsiaTheme="minorEastAsia"/>
      <w:kern w:val="0"/>
      <w:lang w:val="en-US"/>
      <w14:ligatures w14:val="none"/>
    </w:rPr>
  </w:style>
  <w:style w:type="paragraph" w:styleId="Header">
    <w:name w:val="header"/>
    <w:basedOn w:val="Normal"/>
    <w:link w:val="HeaderChar"/>
    <w:uiPriority w:val="99"/>
    <w:unhideWhenUsed/>
    <w:rsid w:val="00DD1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DF6"/>
  </w:style>
  <w:style w:type="paragraph" w:styleId="Footer">
    <w:name w:val="footer"/>
    <w:basedOn w:val="Normal"/>
    <w:link w:val="FooterChar"/>
    <w:uiPriority w:val="99"/>
    <w:unhideWhenUsed/>
    <w:rsid w:val="00DD1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DF6"/>
  </w:style>
  <w:style w:type="character" w:customStyle="1" w:styleId="Heading1Char">
    <w:name w:val="Heading 1 Char"/>
    <w:basedOn w:val="DefaultParagraphFont"/>
    <w:link w:val="Heading1"/>
    <w:uiPriority w:val="9"/>
    <w:rsid w:val="00DD1D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1DF6"/>
    <w:pPr>
      <w:outlineLvl w:val="9"/>
    </w:pPr>
    <w:rPr>
      <w:kern w:val="0"/>
      <w:lang w:val="en-US"/>
      <w14:ligatures w14:val="none"/>
    </w:rPr>
  </w:style>
  <w:style w:type="paragraph" w:styleId="TOC1">
    <w:name w:val="toc 1"/>
    <w:basedOn w:val="Normal"/>
    <w:next w:val="Normal"/>
    <w:autoRedefine/>
    <w:uiPriority w:val="39"/>
    <w:unhideWhenUsed/>
    <w:rsid w:val="00DD1DF6"/>
    <w:pPr>
      <w:spacing w:after="100"/>
    </w:pPr>
  </w:style>
  <w:style w:type="character" w:styleId="Hyperlink">
    <w:name w:val="Hyperlink"/>
    <w:basedOn w:val="DefaultParagraphFont"/>
    <w:uiPriority w:val="99"/>
    <w:unhideWhenUsed/>
    <w:rsid w:val="00DD1D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18</Pages>
  <Words>5537</Words>
  <Characters>31563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in Global Context</dc:title>
  <dc:subject/>
  <dc:creator>Kerris Smith (1915100)</dc:creator>
  <cp:keywords/>
  <dc:description/>
  <cp:lastModifiedBy>Kerris Smith (1915100)</cp:lastModifiedBy>
  <cp:revision>1</cp:revision>
  <dcterms:created xsi:type="dcterms:W3CDTF">2023-11-16T11:49:00Z</dcterms:created>
  <dcterms:modified xsi:type="dcterms:W3CDTF">2023-11-16T12:10:00Z</dcterms:modified>
</cp:coreProperties>
</file>