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581D3" w14:textId="77777777" w:rsidR="00906684" w:rsidRPr="005B3D68" w:rsidRDefault="00906684" w:rsidP="00906684">
      <w:pPr>
        <w:spacing w:line="360" w:lineRule="auto"/>
        <w:rPr>
          <w:rFonts w:ascii="Arial" w:hAnsi="Arial" w:cs="Arial"/>
          <w:b/>
          <w:bCs/>
          <w:sz w:val="24"/>
          <w:szCs w:val="24"/>
        </w:rPr>
      </w:pPr>
      <w:r w:rsidRPr="005B3D68">
        <w:rPr>
          <w:rFonts w:ascii="Arial" w:hAnsi="Arial" w:cs="Arial"/>
          <w:b/>
          <w:bCs/>
          <w:sz w:val="24"/>
          <w:szCs w:val="24"/>
        </w:rPr>
        <w:t>Personnel Resourcing and Development</w:t>
      </w:r>
    </w:p>
    <w:p w14:paraId="22A2338D" w14:textId="77777777" w:rsidR="00906684" w:rsidRPr="005B3D68" w:rsidRDefault="00906684" w:rsidP="00906684">
      <w:pPr>
        <w:spacing w:line="360" w:lineRule="auto"/>
        <w:rPr>
          <w:rFonts w:ascii="Arial" w:hAnsi="Arial" w:cs="Arial"/>
          <w:b/>
          <w:bCs/>
          <w:sz w:val="24"/>
          <w:szCs w:val="24"/>
        </w:rPr>
      </w:pPr>
      <w:r w:rsidRPr="005B3D68">
        <w:rPr>
          <w:rFonts w:ascii="Arial" w:hAnsi="Arial" w:cs="Arial"/>
          <w:b/>
          <w:bCs/>
          <w:sz w:val="24"/>
          <w:szCs w:val="24"/>
        </w:rPr>
        <w:t>BMIH5005</w:t>
      </w:r>
    </w:p>
    <w:p w14:paraId="7CD05254" w14:textId="119AA1B9" w:rsidR="00906684" w:rsidRPr="005B3D68" w:rsidRDefault="00E82FD5" w:rsidP="00906684">
      <w:pPr>
        <w:spacing w:line="360" w:lineRule="auto"/>
        <w:jc w:val="both"/>
        <w:rPr>
          <w:rFonts w:ascii="Arial" w:hAnsi="Arial" w:cs="Arial"/>
          <w:sz w:val="24"/>
          <w:szCs w:val="24"/>
        </w:rPr>
      </w:pPr>
      <w:r w:rsidRPr="005B3D68">
        <w:rPr>
          <w:rFonts w:ascii="Arial" w:hAnsi="Arial" w:cs="Arial"/>
          <w:sz w:val="24"/>
          <w:szCs w:val="24"/>
        </w:rPr>
        <w:t>Research Project Proposal – Analyse the impacts of socio-economic force on employees’ performance management and monitoring in different work modes : Hospitality HR’s perspective</w:t>
      </w:r>
    </w:p>
    <w:p w14:paraId="5EF36B35" w14:textId="77777777" w:rsidR="00906684" w:rsidRPr="005B3D68" w:rsidRDefault="00906684" w:rsidP="00906684">
      <w:pPr>
        <w:spacing w:line="360" w:lineRule="auto"/>
        <w:jc w:val="both"/>
        <w:rPr>
          <w:rFonts w:ascii="Arial" w:hAnsi="Arial" w:cs="Arial"/>
          <w:sz w:val="24"/>
          <w:szCs w:val="24"/>
        </w:rPr>
      </w:pPr>
    </w:p>
    <w:p w14:paraId="3B64B27C" w14:textId="77777777" w:rsidR="00906684" w:rsidRPr="005B3D68" w:rsidRDefault="00906684" w:rsidP="00906684">
      <w:pPr>
        <w:spacing w:line="360" w:lineRule="auto"/>
        <w:jc w:val="both"/>
        <w:rPr>
          <w:rFonts w:ascii="Arial" w:hAnsi="Arial" w:cs="Arial"/>
          <w:sz w:val="24"/>
          <w:szCs w:val="24"/>
        </w:rPr>
      </w:pPr>
    </w:p>
    <w:p w14:paraId="21201DE9" w14:textId="77777777" w:rsidR="00906684" w:rsidRPr="005B3D68" w:rsidRDefault="00906684" w:rsidP="00906684">
      <w:pPr>
        <w:spacing w:line="360" w:lineRule="auto"/>
        <w:jc w:val="both"/>
        <w:rPr>
          <w:rFonts w:ascii="Arial" w:hAnsi="Arial" w:cs="Arial"/>
          <w:sz w:val="24"/>
          <w:szCs w:val="24"/>
        </w:rPr>
      </w:pPr>
    </w:p>
    <w:p w14:paraId="68282578" w14:textId="77777777" w:rsidR="00906684" w:rsidRPr="005B3D68" w:rsidRDefault="00906684" w:rsidP="00906684">
      <w:pPr>
        <w:spacing w:line="360" w:lineRule="auto"/>
        <w:jc w:val="both"/>
        <w:rPr>
          <w:rFonts w:ascii="Arial" w:hAnsi="Arial" w:cs="Arial"/>
          <w:sz w:val="24"/>
          <w:szCs w:val="24"/>
        </w:rPr>
      </w:pPr>
    </w:p>
    <w:p w14:paraId="673264C7" w14:textId="77777777" w:rsidR="00906684" w:rsidRPr="005B3D68" w:rsidRDefault="00906684" w:rsidP="00906684">
      <w:pPr>
        <w:spacing w:line="360" w:lineRule="auto"/>
        <w:jc w:val="center"/>
        <w:rPr>
          <w:rFonts w:ascii="Arial" w:hAnsi="Arial" w:cs="Arial"/>
          <w:sz w:val="24"/>
          <w:szCs w:val="24"/>
        </w:rPr>
      </w:pPr>
    </w:p>
    <w:p w14:paraId="13510D9F" w14:textId="120E9192" w:rsidR="00906684" w:rsidRPr="005B3D68" w:rsidRDefault="00906684" w:rsidP="00906684">
      <w:pPr>
        <w:spacing w:line="360" w:lineRule="auto"/>
        <w:jc w:val="center"/>
        <w:rPr>
          <w:rFonts w:ascii="Arial" w:hAnsi="Arial" w:cs="Arial"/>
          <w:sz w:val="24"/>
          <w:szCs w:val="24"/>
        </w:rPr>
      </w:pPr>
      <w:r w:rsidRPr="005B3D68">
        <w:rPr>
          <w:rFonts w:ascii="Arial" w:hAnsi="Arial" w:cs="Arial"/>
          <w:sz w:val="24"/>
          <w:szCs w:val="24"/>
        </w:rPr>
        <w:t>Student name:</w:t>
      </w:r>
      <w:r w:rsidR="00037AA0">
        <w:rPr>
          <w:rFonts w:ascii="Arial" w:hAnsi="Arial" w:cs="Arial"/>
          <w:sz w:val="24"/>
          <w:szCs w:val="24"/>
        </w:rPr>
        <w:t xml:space="preserve"> Silvia Alina Canalos</w:t>
      </w:r>
    </w:p>
    <w:p w14:paraId="278452BF" w14:textId="276C8D02" w:rsidR="00906684" w:rsidRPr="005B3D68" w:rsidRDefault="00906684" w:rsidP="00906684">
      <w:pPr>
        <w:spacing w:line="360" w:lineRule="auto"/>
        <w:jc w:val="center"/>
        <w:rPr>
          <w:rFonts w:ascii="Arial" w:hAnsi="Arial" w:cs="Arial"/>
          <w:sz w:val="24"/>
          <w:szCs w:val="24"/>
        </w:rPr>
      </w:pPr>
      <w:r w:rsidRPr="005B3D68">
        <w:rPr>
          <w:rFonts w:ascii="Arial" w:hAnsi="Arial" w:cs="Arial"/>
          <w:sz w:val="24"/>
          <w:szCs w:val="24"/>
        </w:rPr>
        <w:t>Student id:</w:t>
      </w:r>
      <w:r w:rsidR="00037AA0">
        <w:rPr>
          <w:rFonts w:ascii="Arial" w:hAnsi="Arial" w:cs="Arial"/>
          <w:sz w:val="24"/>
          <w:szCs w:val="24"/>
        </w:rPr>
        <w:t>2233691</w:t>
      </w:r>
    </w:p>
    <w:p w14:paraId="1A6735E4" w14:textId="71F72554" w:rsidR="00906684" w:rsidRPr="005B3D68" w:rsidRDefault="00906684" w:rsidP="00906684">
      <w:pPr>
        <w:spacing w:line="360" w:lineRule="auto"/>
        <w:jc w:val="center"/>
        <w:rPr>
          <w:rFonts w:ascii="Arial" w:hAnsi="Arial" w:cs="Arial"/>
          <w:sz w:val="24"/>
          <w:szCs w:val="24"/>
        </w:rPr>
      </w:pPr>
      <w:r w:rsidRPr="005B3D68">
        <w:rPr>
          <w:rFonts w:ascii="Arial" w:hAnsi="Arial" w:cs="Arial"/>
          <w:sz w:val="24"/>
          <w:szCs w:val="24"/>
        </w:rPr>
        <w:t>Lecturer:</w:t>
      </w:r>
      <w:r w:rsidR="00037AA0">
        <w:rPr>
          <w:rFonts w:ascii="Arial" w:hAnsi="Arial" w:cs="Arial"/>
          <w:sz w:val="24"/>
          <w:szCs w:val="24"/>
        </w:rPr>
        <w:t xml:space="preserve"> Helen Lee</w:t>
      </w:r>
    </w:p>
    <w:p w14:paraId="1318C785" w14:textId="49655BB7" w:rsidR="00906684" w:rsidRPr="005B3D68" w:rsidRDefault="00906684" w:rsidP="00906684">
      <w:pPr>
        <w:spacing w:line="360" w:lineRule="auto"/>
        <w:jc w:val="center"/>
        <w:rPr>
          <w:rFonts w:ascii="Arial" w:hAnsi="Arial" w:cs="Arial"/>
          <w:sz w:val="24"/>
          <w:szCs w:val="24"/>
        </w:rPr>
      </w:pPr>
      <w:r w:rsidRPr="005B3D68">
        <w:rPr>
          <w:rFonts w:ascii="Arial" w:hAnsi="Arial" w:cs="Arial"/>
          <w:sz w:val="24"/>
          <w:szCs w:val="24"/>
        </w:rPr>
        <w:t>Word count:</w:t>
      </w:r>
      <w:r w:rsidR="00B64BE5">
        <w:rPr>
          <w:rFonts w:ascii="Arial" w:hAnsi="Arial" w:cs="Arial"/>
          <w:sz w:val="24"/>
          <w:szCs w:val="24"/>
        </w:rPr>
        <w:t>2051</w:t>
      </w:r>
    </w:p>
    <w:p w14:paraId="028C6E13" w14:textId="77777777" w:rsidR="00906684" w:rsidRDefault="00906684" w:rsidP="00906684">
      <w:pPr>
        <w:spacing w:line="360" w:lineRule="auto"/>
        <w:jc w:val="center"/>
        <w:rPr>
          <w:rFonts w:ascii="Times New Roman" w:hAnsi="Times New Roman" w:cs="Times New Roman"/>
          <w:sz w:val="24"/>
          <w:szCs w:val="24"/>
        </w:rPr>
      </w:pPr>
    </w:p>
    <w:p w14:paraId="7A9B5F0A" w14:textId="77777777" w:rsidR="000047EB" w:rsidRDefault="000047EB" w:rsidP="00906684">
      <w:pPr>
        <w:spacing w:line="360" w:lineRule="auto"/>
        <w:jc w:val="center"/>
        <w:rPr>
          <w:rFonts w:ascii="Times New Roman" w:hAnsi="Times New Roman" w:cs="Times New Roman"/>
          <w:sz w:val="24"/>
          <w:szCs w:val="24"/>
        </w:rPr>
      </w:pPr>
    </w:p>
    <w:p w14:paraId="7012816C" w14:textId="77777777" w:rsidR="000047EB" w:rsidRDefault="000047EB" w:rsidP="00906684">
      <w:pPr>
        <w:spacing w:line="360" w:lineRule="auto"/>
        <w:jc w:val="center"/>
        <w:rPr>
          <w:rFonts w:ascii="Times New Roman" w:hAnsi="Times New Roman" w:cs="Times New Roman"/>
          <w:sz w:val="24"/>
          <w:szCs w:val="24"/>
        </w:rPr>
      </w:pPr>
    </w:p>
    <w:p w14:paraId="2C8AC3A5" w14:textId="77777777" w:rsidR="000047EB" w:rsidRDefault="000047EB" w:rsidP="00906684">
      <w:pPr>
        <w:spacing w:line="360" w:lineRule="auto"/>
        <w:jc w:val="center"/>
        <w:rPr>
          <w:rFonts w:ascii="Times New Roman" w:hAnsi="Times New Roman" w:cs="Times New Roman"/>
          <w:sz w:val="24"/>
          <w:szCs w:val="24"/>
        </w:rPr>
      </w:pPr>
    </w:p>
    <w:p w14:paraId="72A476CD" w14:textId="77777777" w:rsidR="000047EB" w:rsidRDefault="000047EB" w:rsidP="00906684">
      <w:pPr>
        <w:spacing w:line="360" w:lineRule="auto"/>
        <w:jc w:val="center"/>
        <w:rPr>
          <w:rFonts w:ascii="Times New Roman" w:hAnsi="Times New Roman" w:cs="Times New Roman"/>
          <w:sz w:val="24"/>
          <w:szCs w:val="24"/>
        </w:rPr>
      </w:pPr>
    </w:p>
    <w:p w14:paraId="6DCE3114" w14:textId="77777777" w:rsidR="000047EB" w:rsidRDefault="000047EB" w:rsidP="00906684">
      <w:pPr>
        <w:spacing w:line="360" w:lineRule="auto"/>
        <w:jc w:val="center"/>
        <w:rPr>
          <w:rFonts w:ascii="Times New Roman" w:hAnsi="Times New Roman" w:cs="Times New Roman"/>
          <w:sz w:val="24"/>
          <w:szCs w:val="24"/>
        </w:rPr>
      </w:pPr>
    </w:p>
    <w:p w14:paraId="503E84E3" w14:textId="77777777" w:rsidR="000047EB" w:rsidRDefault="000047EB" w:rsidP="00906684">
      <w:pPr>
        <w:spacing w:line="360" w:lineRule="auto"/>
        <w:jc w:val="center"/>
        <w:rPr>
          <w:rFonts w:ascii="Times New Roman" w:hAnsi="Times New Roman" w:cs="Times New Roman"/>
          <w:sz w:val="24"/>
          <w:szCs w:val="24"/>
        </w:rPr>
      </w:pPr>
    </w:p>
    <w:p w14:paraId="1803C4D3" w14:textId="77777777" w:rsidR="000047EB" w:rsidRDefault="000047EB" w:rsidP="00906684">
      <w:pPr>
        <w:spacing w:line="360" w:lineRule="auto"/>
        <w:jc w:val="center"/>
        <w:rPr>
          <w:rFonts w:ascii="Times New Roman" w:hAnsi="Times New Roman" w:cs="Times New Roman"/>
          <w:sz w:val="24"/>
          <w:szCs w:val="24"/>
        </w:rPr>
      </w:pPr>
    </w:p>
    <w:p w14:paraId="6F87348F" w14:textId="77777777" w:rsidR="000047EB" w:rsidRDefault="000047EB" w:rsidP="00906684">
      <w:pPr>
        <w:spacing w:line="360" w:lineRule="auto"/>
        <w:jc w:val="center"/>
        <w:rPr>
          <w:rFonts w:ascii="Times New Roman" w:hAnsi="Times New Roman" w:cs="Times New Roman"/>
          <w:sz w:val="24"/>
          <w:szCs w:val="24"/>
        </w:rPr>
      </w:pPr>
    </w:p>
    <w:p w14:paraId="40692004" w14:textId="77777777" w:rsidR="000047EB" w:rsidRDefault="000047EB" w:rsidP="00906684">
      <w:pPr>
        <w:spacing w:line="360" w:lineRule="auto"/>
        <w:jc w:val="center"/>
        <w:rPr>
          <w:rFonts w:ascii="Times New Roman" w:hAnsi="Times New Roman" w:cs="Times New Roman"/>
          <w:sz w:val="24"/>
          <w:szCs w:val="24"/>
        </w:rPr>
      </w:pPr>
    </w:p>
    <w:p w14:paraId="7F2DFF48" w14:textId="77777777" w:rsidR="000047EB" w:rsidRDefault="000047EB" w:rsidP="00906684">
      <w:pPr>
        <w:spacing w:line="360" w:lineRule="auto"/>
        <w:jc w:val="center"/>
        <w:rPr>
          <w:rFonts w:ascii="Times New Roman" w:hAnsi="Times New Roman" w:cs="Times New Roman"/>
          <w:sz w:val="24"/>
          <w:szCs w:val="24"/>
        </w:rPr>
      </w:pPr>
    </w:p>
    <w:p w14:paraId="0D32078D" w14:textId="77777777" w:rsidR="000047EB" w:rsidRDefault="000047EB" w:rsidP="00906684">
      <w:pPr>
        <w:spacing w:line="360" w:lineRule="auto"/>
        <w:jc w:val="cente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445970628"/>
        <w:docPartObj>
          <w:docPartGallery w:val="Table of Contents"/>
          <w:docPartUnique/>
        </w:docPartObj>
      </w:sdtPr>
      <w:sdtEndPr>
        <w:rPr>
          <w:b/>
          <w:bCs/>
          <w:noProof/>
        </w:rPr>
      </w:sdtEndPr>
      <w:sdtContent>
        <w:p w14:paraId="50CC1DBF" w14:textId="72A70A7E" w:rsidR="000047EB" w:rsidRPr="005B3D68" w:rsidRDefault="000047EB">
          <w:pPr>
            <w:pStyle w:val="TOCHeading"/>
            <w:rPr>
              <w:rFonts w:ascii="Arial" w:hAnsi="Arial" w:cs="Arial"/>
            </w:rPr>
          </w:pPr>
          <w:r w:rsidRPr="005B3D68">
            <w:rPr>
              <w:rFonts w:ascii="Arial" w:hAnsi="Arial" w:cs="Arial"/>
            </w:rPr>
            <w:t>Table of Contents</w:t>
          </w:r>
        </w:p>
        <w:p w14:paraId="0219EC69" w14:textId="60A9A750" w:rsidR="000047EB" w:rsidRPr="005B3D68" w:rsidRDefault="000047EB">
          <w:pPr>
            <w:pStyle w:val="TOC1"/>
            <w:tabs>
              <w:tab w:val="right" w:leader="dot" w:pos="9016"/>
            </w:tabs>
            <w:rPr>
              <w:rFonts w:ascii="Arial" w:hAnsi="Arial" w:cs="Arial"/>
              <w:noProof/>
            </w:rPr>
          </w:pPr>
          <w:r w:rsidRPr="005B3D68">
            <w:rPr>
              <w:rFonts w:ascii="Arial" w:hAnsi="Arial" w:cs="Arial"/>
            </w:rPr>
            <w:fldChar w:fldCharType="begin"/>
          </w:r>
          <w:r w:rsidRPr="005B3D68">
            <w:rPr>
              <w:rFonts w:ascii="Arial" w:hAnsi="Arial" w:cs="Arial"/>
            </w:rPr>
            <w:instrText xml:space="preserve"> TOC \o "1-3" \h \z \u </w:instrText>
          </w:r>
          <w:r w:rsidRPr="005B3D68">
            <w:rPr>
              <w:rFonts w:ascii="Arial" w:hAnsi="Arial" w:cs="Arial"/>
            </w:rPr>
            <w:fldChar w:fldCharType="separate"/>
          </w:r>
          <w:hyperlink w:anchor="_Toc160470370" w:history="1">
            <w:r w:rsidRPr="005B3D68">
              <w:rPr>
                <w:rStyle w:val="Hyperlink"/>
                <w:rFonts w:ascii="Arial" w:hAnsi="Arial" w:cs="Arial"/>
                <w:noProof/>
              </w:rPr>
              <w:t>Introduction</w:t>
            </w:r>
            <w:r w:rsidRPr="005B3D68">
              <w:rPr>
                <w:rFonts w:ascii="Arial" w:hAnsi="Arial" w:cs="Arial"/>
                <w:noProof/>
                <w:webHidden/>
              </w:rPr>
              <w:tab/>
            </w:r>
            <w:r w:rsidRPr="005B3D68">
              <w:rPr>
                <w:rFonts w:ascii="Arial" w:hAnsi="Arial" w:cs="Arial"/>
                <w:noProof/>
                <w:webHidden/>
              </w:rPr>
              <w:fldChar w:fldCharType="begin"/>
            </w:r>
            <w:r w:rsidRPr="005B3D68">
              <w:rPr>
                <w:rFonts w:ascii="Arial" w:hAnsi="Arial" w:cs="Arial"/>
                <w:noProof/>
                <w:webHidden/>
              </w:rPr>
              <w:instrText xml:space="preserve"> PAGEREF _Toc160470370 \h </w:instrText>
            </w:r>
            <w:r w:rsidRPr="005B3D68">
              <w:rPr>
                <w:rFonts w:ascii="Arial" w:hAnsi="Arial" w:cs="Arial"/>
                <w:noProof/>
                <w:webHidden/>
              </w:rPr>
            </w:r>
            <w:r w:rsidRPr="005B3D68">
              <w:rPr>
                <w:rFonts w:ascii="Arial" w:hAnsi="Arial" w:cs="Arial"/>
                <w:noProof/>
                <w:webHidden/>
              </w:rPr>
              <w:fldChar w:fldCharType="separate"/>
            </w:r>
            <w:r w:rsidR="005B3D68" w:rsidRPr="005B3D68">
              <w:rPr>
                <w:rFonts w:ascii="Arial" w:hAnsi="Arial" w:cs="Arial"/>
                <w:noProof/>
                <w:webHidden/>
              </w:rPr>
              <w:t>3</w:t>
            </w:r>
            <w:r w:rsidRPr="005B3D68">
              <w:rPr>
                <w:rFonts w:ascii="Arial" w:hAnsi="Arial" w:cs="Arial"/>
                <w:noProof/>
                <w:webHidden/>
              </w:rPr>
              <w:fldChar w:fldCharType="end"/>
            </w:r>
          </w:hyperlink>
        </w:p>
        <w:p w14:paraId="378F196A" w14:textId="646F2A72" w:rsidR="000047EB" w:rsidRPr="005B3D68" w:rsidRDefault="00000000">
          <w:pPr>
            <w:pStyle w:val="TOC1"/>
            <w:tabs>
              <w:tab w:val="right" w:leader="dot" w:pos="9016"/>
            </w:tabs>
            <w:rPr>
              <w:rFonts w:ascii="Arial" w:hAnsi="Arial" w:cs="Arial"/>
              <w:noProof/>
            </w:rPr>
          </w:pPr>
          <w:hyperlink w:anchor="_Toc160470371" w:history="1">
            <w:r w:rsidR="000047EB" w:rsidRPr="005B3D68">
              <w:rPr>
                <w:rStyle w:val="Hyperlink"/>
                <w:rFonts w:ascii="Arial" w:eastAsia="Times New Roman" w:hAnsi="Arial" w:cs="Arial"/>
                <w:noProof/>
              </w:rPr>
              <w:t>Literature review</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_Toc160470371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4</w:t>
            </w:r>
            <w:r w:rsidR="000047EB" w:rsidRPr="005B3D68">
              <w:rPr>
                <w:rFonts w:ascii="Arial" w:hAnsi="Arial" w:cs="Arial"/>
                <w:noProof/>
                <w:webHidden/>
              </w:rPr>
              <w:fldChar w:fldCharType="end"/>
            </w:r>
          </w:hyperlink>
        </w:p>
        <w:p w14:paraId="07CEC3DE" w14:textId="2D57F2A5" w:rsidR="000047EB" w:rsidRPr="005B3D68" w:rsidRDefault="00000000">
          <w:pPr>
            <w:pStyle w:val="TOC1"/>
            <w:tabs>
              <w:tab w:val="right" w:leader="dot" w:pos="9016"/>
            </w:tabs>
            <w:rPr>
              <w:rFonts w:ascii="Arial" w:hAnsi="Arial" w:cs="Arial"/>
              <w:noProof/>
            </w:rPr>
          </w:pPr>
          <w:hyperlink w:anchor="_Toc160470372" w:history="1">
            <w:r w:rsidR="000047EB" w:rsidRPr="005B3D68">
              <w:rPr>
                <w:rStyle w:val="Hyperlink"/>
                <w:rFonts w:ascii="Arial" w:eastAsia="Times New Roman" w:hAnsi="Arial" w:cs="Arial"/>
                <w:noProof/>
              </w:rPr>
              <w:t>Industry trends</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_Toc160470372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4</w:t>
            </w:r>
            <w:r w:rsidR="000047EB" w:rsidRPr="005B3D68">
              <w:rPr>
                <w:rFonts w:ascii="Arial" w:hAnsi="Arial" w:cs="Arial"/>
                <w:noProof/>
                <w:webHidden/>
              </w:rPr>
              <w:fldChar w:fldCharType="end"/>
            </w:r>
          </w:hyperlink>
        </w:p>
        <w:p w14:paraId="223CC34A" w14:textId="1DE4DB2A" w:rsidR="000047EB" w:rsidRPr="005B3D68" w:rsidRDefault="00000000">
          <w:pPr>
            <w:pStyle w:val="TOC1"/>
            <w:tabs>
              <w:tab w:val="right" w:leader="dot" w:pos="9016"/>
            </w:tabs>
            <w:rPr>
              <w:rFonts w:ascii="Arial" w:hAnsi="Arial" w:cs="Arial"/>
              <w:noProof/>
            </w:rPr>
          </w:pPr>
          <w:hyperlink w:anchor="_Toc160470373" w:history="1">
            <w:r w:rsidR="000047EB" w:rsidRPr="005B3D68">
              <w:rPr>
                <w:rStyle w:val="Hyperlink"/>
                <w:rFonts w:ascii="Arial" w:eastAsia="Times New Roman" w:hAnsi="Arial" w:cs="Arial"/>
                <w:noProof/>
              </w:rPr>
              <w:t>Emergence of different work modes</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_Toc160470373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4</w:t>
            </w:r>
            <w:r w:rsidR="000047EB" w:rsidRPr="005B3D68">
              <w:rPr>
                <w:rFonts w:ascii="Arial" w:hAnsi="Arial" w:cs="Arial"/>
                <w:noProof/>
                <w:webHidden/>
              </w:rPr>
              <w:fldChar w:fldCharType="end"/>
            </w:r>
          </w:hyperlink>
        </w:p>
        <w:p w14:paraId="101CA4BC" w14:textId="168F720F" w:rsidR="000047EB" w:rsidRPr="005B3D68" w:rsidRDefault="00000000">
          <w:pPr>
            <w:pStyle w:val="TOC1"/>
            <w:tabs>
              <w:tab w:val="right" w:leader="dot" w:pos="9016"/>
            </w:tabs>
            <w:rPr>
              <w:rFonts w:ascii="Arial" w:hAnsi="Arial" w:cs="Arial"/>
              <w:noProof/>
            </w:rPr>
          </w:pPr>
          <w:hyperlink w:anchor="_Toc160470374" w:history="1">
            <w:r w:rsidR="000047EB" w:rsidRPr="005B3D68">
              <w:rPr>
                <w:rStyle w:val="Hyperlink"/>
                <w:rFonts w:ascii="Arial" w:eastAsia="Times New Roman" w:hAnsi="Arial" w:cs="Arial"/>
                <w:noProof/>
              </w:rPr>
              <w:t>PESTLE Analysis:</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_Toc160470374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5</w:t>
            </w:r>
            <w:r w:rsidR="000047EB" w:rsidRPr="005B3D68">
              <w:rPr>
                <w:rFonts w:ascii="Arial" w:hAnsi="Arial" w:cs="Arial"/>
                <w:noProof/>
                <w:webHidden/>
              </w:rPr>
              <w:fldChar w:fldCharType="end"/>
            </w:r>
          </w:hyperlink>
        </w:p>
        <w:p w14:paraId="35E87246" w14:textId="52CAC7FA" w:rsidR="000047EB" w:rsidRPr="005B3D68" w:rsidRDefault="00000000">
          <w:pPr>
            <w:pStyle w:val="TOC1"/>
            <w:tabs>
              <w:tab w:val="right" w:leader="dot" w:pos="9016"/>
            </w:tabs>
            <w:rPr>
              <w:rFonts w:ascii="Arial" w:hAnsi="Arial" w:cs="Arial"/>
              <w:noProof/>
            </w:rPr>
          </w:pPr>
          <w:hyperlink w:anchor="_Toc160470375" w:history="1">
            <w:r w:rsidR="000047EB" w:rsidRPr="005B3D68">
              <w:rPr>
                <w:rStyle w:val="Hyperlink"/>
                <w:rFonts w:ascii="Arial" w:eastAsia="Times New Roman" w:hAnsi="Arial" w:cs="Arial"/>
                <w:noProof/>
              </w:rPr>
              <w:t>Hilton</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_Toc160470375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7</w:t>
            </w:r>
            <w:r w:rsidR="000047EB" w:rsidRPr="005B3D68">
              <w:rPr>
                <w:rFonts w:ascii="Arial" w:hAnsi="Arial" w:cs="Arial"/>
                <w:noProof/>
                <w:webHidden/>
              </w:rPr>
              <w:fldChar w:fldCharType="end"/>
            </w:r>
          </w:hyperlink>
        </w:p>
        <w:p w14:paraId="3174C730" w14:textId="24432A80" w:rsidR="000047EB" w:rsidRPr="005B3D68" w:rsidRDefault="00000000">
          <w:pPr>
            <w:pStyle w:val="TOC1"/>
            <w:tabs>
              <w:tab w:val="right" w:leader="dot" w:pos="9016"/>
            </w:tabs>
            <w:rPr>
              <w:rFonts w:ascii="Arial" w:hAnsi="Arial" w:cs="Arial"/>
              <w:noProof/>
            </w:rPr>
          </w:pPr>
          <w:hyperlink w:anchor="_Toc160470376" w:history="1">
            <w:r w:rsidR="000047EB" w:rsidRPr="005B3D68">
              <w:rPr>
                <w:rStyle w:val="Hyperlink"/>
                <w:rFonts w:ascii="Arial" w:eastAsia="Times New Roman" w:hAnsi="Arial" w:cs="Arial"/>
                <w:noProof/>
              </w:rPr>
              <w:t>Conclusion</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_Toc160470376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8</w:t>
            </w:r>
            <w:r w:rsidR="000047EB" w:rsidRPr="005B3D68">
              <w:rPr>
                <w:rFonts w:ascii="Arial" w:hAnsi="Arial" w:cs="Arial"/>
                <w:noProof/>
                <w:webHidden/>
              </w:rPr>
              <w:fldChar w:fldCharType="end"/>
            </w:r>
          </w:hyperlink>
        </w:p>
        <w:p w14:paraId="680A5B85" w14:textId="16247CE9" w:rsidR="000047EB" w:rsidRPr="005B3D68" w:rsidRDefault="00000000">
          <w:pPr>
            <w:pStyle w:val="TOC1"/>
            <w:tabs>
              <w:tab w:val="right" w:leader="dot" w:pos="9016"/>
            </w:tabs>
            <w:rPr>
              <w:rFonts w:ascii="Arial" w:hAnsi="Arial" w:cs="Arial"/>
              <w:noProof/>
            </w:rPr>
          </w:pPr>
          <w:hyperlink w:anchor="_Toc160470377" w:history="1">
            <w:r w:rsidR="000047EB" w:rsidRPr="005B3D68">
              <w:rPr>
                <w:rStyle w:val="Hyperlink"/>
                <w:rFonts w:ascii="Arial" w:eastAsia="Times New Roman" w:hAnsi="Arial" w:cs="Arial"/>
                <w:noProof/>
              </w:rPr>
              <w:t>References</w:t>
            </w:r>
            <w:r w:rsidR="000047EB" w:rsidRPr="005B3D68">
              <w:rPr>
                <w:rFonts w:ascii="Arial" w:hAnsi="Arial" w:cs="Arial"/>
                <w:noProof/>
                <w:webHidden/>
              </w:rPr>
              <w:tab/>
            </w:r>
            <w:r w:rsidR="000047EB" w:rsidRPr="005B3D68">
              <w:rPr>
                <w:rFonts w:ascii="Arial" w:hAnsi="Arial" w:cs="Arial"/>
                <w:noProof/>
                <w:webHidden/>
              </w:rPr>
              <w:fldChar w:fldCharType="begin"/>
            </w:r>
            <w:r w:rsidR="000047EB" w:rsidRPr="005B3D68">
              <w:rPr>
                <w:rFonts w:ascii="Arial" w:hAnsi="Arial" w:cs="Arial"/>
                <w:noProof/>
                <w:webHidden/>
              </w:rPr>
              <w:instrText xml:space="preserve"> PAGEREF _Toc160470377 \h </w:instrText>
            </w:r>
            <w:r w:rsidR="000047EB" w:rsidRPr="005B3D68">
              <w:rPr>
                <w:rFonts w:ascii="Arial" w:hAnsi="Arial" w:cs="Arial"/>
                <w:noProof/>
                <w:webHidden/>
              </w:rPr>
            </w:r>
            <w:r w:rsidR="000047EB" w:rsidRPr="005B3D68">
              <w:rPr>
                <w:rFonts w:ascii="Arial" w:hAnsi="Arial" w:cs="Arial"/>
                <w:noProof/>
                <w:webHidden/>
              </w:rPr>
              <w:fldChar w:fldCharType="separate"/>
            </w:r>
            <w:r w:rsidR="005B3D68" w:rsidRPr="005B3D68">
              <w:rPr>
                <w:rFonts w:ascii="Arial" w:hAnsi="Arial" w:cs="Arial"/>
                <w:noProof/>
                <w:webHidden/>
              </w:rPr>
              <w:t>10</w:t>
            </w:r>
            <w:r w:rsidR="000047EB" w:rsidRPr="005B3D68">
              <w:rPr>
                <w:rFonts w:ascii="Arial" w:hAnsi="Arial" w:cs="Arial"/>
                <w:noProof/>
                <w:webHidden/>
              </w:rPr>
              <w:fldChar w:fldCharType="end"/>
            </w:r>
          </w:hyperlink>
        </w:p>
        <w:p w14:paraId="419E1B07" w14:textId="382B5D4C" w:rsidR="000047EB" w:rsidRDefault="000047EB">
          <w:r w:rsidRPr="005B3D68">
            <w:rPr>
              <w:rFonts w:ascii="Arial" w:hAnsi="Arial" w:cs="Arial"/>
              <w:b/>
              <w:bCs/>
              <w:noProof/>
            </w:rPr>
            <w:fldChar w:fldCharType="end"/>
          </w:r>
        </w:p>
      </w:sdtContent>
    </w:sdt>
    <w:p w14:paraId="03A0A212" w14:textId="77777777" w:rsidR="000047EB" w:rsidRDefault="000047EB" w:rsidP="00906684">
      <w:pPr>
        <w:spacing w:line="360" w:lineRule="auto"/>
        <w:jc w:val="center"/>
        <w:rPr>
          <w:rFonts w:ascii="Times New Roman" w:hAnsi="Times New Roman" w:cs="Times New Roman"/>
          <w:sz w:val="24"/>
          <w:szCs w:val="24"/>
        </w:rPr>
      </w:pPr>
    </w:p>
    <w:p w14:paraId="05F31D1B" w14:textId="77777777" w:rsidR="000047EB" w:rsidRDefault="000047EB" w:rsidP="00906684">
      <w:pPr>
        <w:spacing w:line="360" w:lineRule="auto"/>
        <w:jc w:val="center"/>
        <w:rPr>
          <w:rFonts w:ascii="Times New Roman" w:hAnsi="Times New Roman" w:cs="Times New Roman"/>
          <w:sz w:val="24"/>
          <w:szCs w:val="24"/>
        </w:rPr>
      </w:pPr>
    </w:p>
    <w:p w14:paraId="375C0F7F" w14:textId="77777777" w:rsidR="000047EB" w:rsidRDefault="000047EB" w:rsidP="00906684">
      <w:pPr>
        <w:spacing w:line="360" w:lineRule="auto"/>
        <w:jc w:val="center"/>
        <w:rPr>
          <w:rFonts w:ascii="Times New Roman" w:hAnsi="Times New Roman" w:cs="Times New Roman"/>
          <w:sz w:val="24"/>
          <w:szCs w:val="24"/>
        </w:rPr>
      </w:pPr>
    </w:p>
    <w:p w14:paraId="4D09D4B6" w14:textId="77777777" w:rsidR="000047EB" w:rsidRDefault="000047EB" w:rsidP="00906684">
      <w:pPr>
        <w:spacing w:line="360" w:lineRule="auto"/>
        <w:jc w:val="center"/>
        <w:rPr>
          <w:rFonts w:ascii="Times New Roman" w:hAnsi="Times New Roman" w:cs="Times New Roman"/>
          <w:sz w:val="24"/>
          <w:szCs w:val="24"/>
        </w:rPr>
      </w:pPr>
    </w:p>
    <w:p w14:paraId="59E1C56C" w14:textId="77777777" w:rsidR="000047EB" w:rsidRDefault="000047EB" w:rsidP="00906684">
      <w:pPr>
        <w:spacing w:line="360" w:lineRule="auto"/>
        <w:jc w:val="center"/>
        <w:rPr>
          <w:rFonts w:ascii="Times New Roman" w:hAnsi="Times New Roman" w:cs="Times New Roman"/>
          <w:sz w:val="24"/>
          <w:szCs w:val="24"/>
        </w:rPr>
      </w:pPr>
    </w:p>
    <w:p w14:paraId="00B1F08D" w14:textId="77777777" w:rsidR="000047EB" w:rsidRDefault="000047EB" w:rsidP="00906684">
      <w:pPr>
        <w:spacing w:line="360" w:lineRule="auto"/>
        <w:jc w:val="center"/>
        <w:rPr>
          <w:rFonts w:ascii="Times New Roman" w:hAnsi="Times New Roman" w:cs="Times New Roman"/>
          <w:sz w:val="24"/>
          <w:szCs w:val="24"/>
        </w:rPr>
      </w:pPr>
    </w:p>
    <w:p w14:paraId="75CC38D4" w14:textId="77777777" w:rsidR="000047EB" w:rsidRDefault="000047EB" w:rsidP="00906684">
      <w:pPr>
        <w:spacing w:line="360" w:lineRule="auto"/>
        <w:jc w:val="center"/>
        <w:rPr>
          <w:rFonts w:ascii="Times New Roman" w:hAnsi="Times New Roman" w:cs="Times New Roman"/>
          <w:sz w:val="24"/>
          <w:szCs w:val="24"/>
        </w:rPr>
      </w:pPr>
    </w:p>
    <w:p w14:paraId="26CBA72F" w14:textId="77777777" w:rsidR="000047EB" w:rsidRPr="00B10FC8" w:rsidRDefault="000047EB" w:rsidP="00906684">
      <w:pPr>
        <w:spacing w:line="360" w:lineRule="auto"/>
        <w:jc w:val="center"/>
        <w:rPr>
          <w:rFonts w:ascii="Times New Roman" w:hAnsi="Times New Roman" w:cs="Times New Roman"/>
          <w:sz w:val="24"/>
          <w:szCs w:val="24"/>
        </w:rPr>
      </w:pPr>
    </w:p>
    <w:p w14:paraId="7EA84D68" w14:textId="77777777" w:rsidR="00906684" w:rsidRDefault="00906684" w:rsidP="00906684">
      <w:pPr>
        <w:spacing w:line="360" w:lineRule="auto"/>
        <w:jc w:val="center"/>
        <w:rPr>
          <w:rFonts w:ascii="Arial" w:hAnsi="Arial" w:cs="Arial"/>
          <w:sz w:val="24"/>
          <w:szCs w:val="24"/>
        </w:rPr>
      </w:pPr>
    </w:p>
    <w:p w14:paraId="5ABE33B3" w14:textId="77777777" w:rsidR="00906684" w:rsidRDefault="00906684" w:rsidP="00906684">
      <w:pPr>
        <w:spacing w:line="360" w:lineRule="auto"/>
        <w:jc w:val="center"/>
        <w:rPr>
          <w:rFonts w:ascii="Arial" w:hAnsi="Arial" w:cs="Arial"/>
          <w:sz w:val="24"/>
          <w:szCs w:val="24"/>
        </w:rPr>
      </w:pPr>
    </w:p>
    <w:p w14:paraId="18190F6A" w14:textId="77777777" w:rsidR="00906684" w:rsidRDefault="00906684" w:rsidP="00906684">
      <w:pPr>
        <w:spacing w:line="360" w:lineRule="auto"/>
        <w:jc w:val="center"/>
        <w:rPr>
          <w:rFonts w:ascii="Arial" w:hAnsi="Arial" w:cs="Arial"/>
          <w:sz w:val="24"/>
          <w:szCs w:val="24"/>
        </w:rPr>
      </w:pPr>
    </w:p>
    <w:p w14:paraId="4E9AE6EB" w14:textId="77777777" w:rsidR="00906684" w:rsidRDefault="00906684" w:rsidP="00906684">
      <w:pPr>
        <w:spacing w:line="360" w:lineRule="auto"/>
        <w:jc w:val="center"/>
        <w:rPr>
          <w:rFonts w:ascii="Arial" w:hAnsi="Arial" w:cs="Arial"/>
          <w:sz w:val="24"/>
          <w:szCs w:val="24"/>
        </w:rPr>
      </w:pPr>
    </w:p>
    <w:p w14:paraId="4BBFC950" w14:textId="77777777" w:rsidR="00906684" w:rsidRDefault="00906684" w:rsidP="00906684">
      <w:pPr>
        <w:spacing w:line="360" w:lineRule="auto"/>
        <w:jc w:val="center"/>
        <w:rPr>
          <w:rFonts w:ascii="Arial" w:hAnsi="Arial" w:cs="Arial"/>
          <w:sz w:val="24"/>
          <w:szCs w:val="24"/>
        </w:rPr>
      </w:pPr>
    </w:p>
    <w:p w14:paraId="2DECBC52" w14:textId="77777777" w:rsidR="00906684" w:rsidRDefault="00906684" w:rsidP="00906684">
      <w:pPr>
        <w:spacing w:line="360" w:lineRule="auto"/>
        <w:jc w:val="center"/>
        <w:rPr>
          <w:rFonts w:ascii="Arial" w:hAnsi="Arial" w:cs="Arial"/>
          <w:sz w:val="24"/>
          <w:szCs w:val="24"/>
        </w:rPr>
      </w:pPr>
    </w:p>
    <w:p w14:paraId="456404D8" w14:textId="77777777" w:rsidR="00906684" w:rsidRDefault="00906684" w:rsidP="00906684">
      <w:pPr>
        <w:spacing w:line="360" w:lineRule="auto"/>
        <w:jc w:val="center"/>
        <w:rPr>
          <w:rFonts w:ascii="Arial" w:hAnsi="Arial" w:cs="Arial"/>
          <w:sz w:val="24"/>
          <w:szCs w:val="24"/>
        </w:rPr>
      </w:pPr>
    </w:p>
    <w:p w14:paraId="01174FF1" w14:textId="77777777" w:rsidR="00906684" w:rsidRDefault="00906684" w:rsidP="00906684">
      <w:pPr>
        <w:spacing w:line="360" w:lineRule="auto"/>
        <w:jc w:val="center"/>
        <w:rPr>
          <w:rFonts w:ascii="Arial" w:hAnsi="Arial" w:cs="Arial"/>
          <w:sz w:val="24"/>
          <w:szCs w:val="24"/>
        </w:rPr>
      </w:pPr>
    </w:p>
    <w:p w14:paraId="7F44D1F4" w14:textId="77777777" w:rsidR="00906684" w:rsidRPr="000047EB" w:rsidRDefault="00906684" w:rsidP="000047EB">
      <w:pPr>
        <w:spacing w:line="360" w:lineRule="auto"/>
        <w:jc w:val="both"/>
        <w:rPr>
          <w:rFonts w:ascii="Times New Roman" w:hAnsi="Times New Roman" w:cs="Times New Roman"/>
          <w:sz w:val="24"/>
          <w:szCs w:val="24"/>
        </w:rPr>
      </w:pPr>
    </w:p>
    <w:p w14:paraId="24506352" w14:textId="7BCC755C" w:rsidR="00035837" w:rsidRPr="008F5128" w:rsidRDefault="00035837" w:rsidP="008F5128">
      <w:pPr>
        <w:pStyle w:val="EU"/>
        <w:spacing w:line="360" w:lineRule="auto"/>
        <w:rPr>
          <w:color w:val="auto"/>
        </w:rPr>
      </w:pPr>
      <w:bookmarkStart w:id="0" w:name="_Toc160470370"/>
      <w:r w:rsidRPr="008F5128">
        <w:rPr>
          <w:color w:val="auto"/>
        </w:rPr>
        <w:lastRenderedPageBreak/>
        <w:t>Introduction</w:t>
      </w:r>
      <w:bookmarkEnd w:id="0"/>
    </w:p>
    <w:p w14:paraId="1710A74D" w14:textId="33FE7FA0" w:rsidR="000047EB" w:rsidRPr="008F5128" w:rsidRDefault="00035837" w:rsidP="008F5128">
      <w:pPr>
        <w:spacing w:line="360" w:lineRule="auto"/>
        <w:jc w:val="both"/>
        <w:rPr>
          <w:rFonts w:ascii="Arial" w:eastAsia="Times New Roman" w:hAnsi="Arial" w:cs="Arial"/>
          <w:kern w:val="0"/>
          <w:sz w:val="24"/>
          <w:szCs w:val="24"/>
          <w:lang w:eastAsia="en-GB"/>
          <w14:ligatures w14:val="none"/>
        </w:rPr>
      </w:pPr>
      <w:r w:rsidRPr="00035837">
        <w:rPr>
          <w:rFonts w:ascii="Arial" w:eastAsia="Times New Roman" w:hAnsi="Arial" w:cs="Arial"/>
          <w:kern w:val="0"/>
          <w:sz w:val="24"/>
          <w:szCs w:val="24"/>
          <w:lang w:eastAsia="en-GB"/>
          <w14:ligatures w14:val="none"/>
        </w:rPr>
        <w:t>From the viewpoint of Human Resources at the Hilton Hotel brand, this research project seeks to investigate the important effects of socioeconomic variables on employees' performance management and monitoring across various work modes within the hospitality business. This study is especially significant for the general manager of a hotel, as it offers insights for optimising employee performance in light of changing work settings and ongoing changes in socio-economic aspects.</w:t>
      </w:r>
      <w:r w:rsidRPr="008F5128">
        <w:rPr>
          <w:rFonts w:ascii="Arial" w:eastAsia="Times New Roman" w:hAnsi="Arial" w:cs="Arial"/>
          <w:kern w:val="0"/>
          <w:sz w:val="24"/>
          <w:szCs w:val="24"/>
          <w:lang w:eastAsia="en-GB"/>
          <w14:ligatures w14:val="none"/>
        </w:rPr>
        <w:t xml:space="preserve"> Conrad Hilton established Hilton Hotels &amp; Resorts, a well-known brand throughout the world, in Cisco, Texas, in 1919. Hilton has become a synonym of innovation and elegance in the hospitality sector, operating around 600 premium hotels in 78 countries</w:t>
      </w:r>
      <w:r w:rsidR="000047EB" w:rsidRPr="008F5128">
        <w:rPr>
          <w:rFonts w:ascii="Arial" w:eastAsia="Times New Roman" w:hAnsi="Arial" w:cs="Arial"/>
          <w:kern w:val="0"/>
          <w:sz w:val="24"/>
          <w:szCs w:val="24"/>
          <w:lang w:eastAsia="en-GB"/>
          <w14:ligatures w14:val="none"/>
        </w:rPr>
        <w:t xml:space="preserve"> (Hilton, 2023). </w:t>
      </w:r>
      <w:r w:rsidRPr="008F5128">
        <w:rPr>
          <w:rFonts w:ascii="Arial" w:eastAsia="Times New Roman" w:hAnsi="Arial" w:cs="Arial"/>
          <w:kern w:val="0"/>
          <w:sz w:val="24"/>
          <w:szCs w:val="24"/>
          <w:lang w:eastAsia="en-GB"/>
          <w14:ligatures w14:val="none"/>
        </w:rPr>
        <w:t>Its extensive operations and varied work modes make this brand an ideal subject for this research. It is a testament to a century-long legacy of hospitality excellence and innovation, including pioneering the airport hotel concept and implementing the first central reservation system. A PESTLE analytical methodology will be used to examine the socioeconomic factors influencing employee performance management within the Hilton Hotels brand. This entails looking at the legal, political, social, technological, economic, and environmental aspects of the industry that have shaped and will continue to shape employee performance management and monitoring practices in the hospitality industry. Over the past five years, the hospitality sector has witnessed a number of noteworthy changes, including varying rates of employee turnover and retention as well as the rise of flexible, remote, and hybrid work arrangements</w:t>
      </w:r>
      <w:r w:rsidR="000047EB" w:rsidRPr="008F5128">
        <w:rPr>
          <w:rFonts w:ascii="Arial" w:eastAsia="Times New Roman" w:hAnsi="Arial" w:cs="Arial"/>
          <w:kern w:val="0"/>
          <w:sz w:val="24"/>
          <w:szCs w:val="24"/>
          <w:lang w:eastAsia="en-GB"/>
          <w14:ligatures w14:val="none"/>
        </w:rPr>
        <w:t xml:space="preserve"> </w:t>
      </w:r>
      <w:r w:rsidR="000047EB" w:rsidRPr="008F5128">
        <w:rPr>
          <w:rFonts w:ascii="Arial" w:hAnsi="Arial" w:cs="Arial"/>
          <w:sz w:val="24"/>
          <w:szCs w:val="24"/>
          <w:shd w:val="clear" w:color="auto" w:fill="FFFFFF"/>
        </w:rPr>
        <w:t>(Battisti, Alfiero and Leonidou, 2022).</w:t>
      </w:r>
      <w:r w:rsidRPr="008F5128">
        <w:rPr>
          <w:rFonts w:ascii="Arial" w:eastAsia="Times New Roman" w:hAnsi="Arial" w:cs="Arial"/>
          <w:kern w:val="0"/>
          <w:sz w:val="24"/>
          <w:szCs w:val="24"/>
          <w:lang w:eastAsia="en-GB"/>
          <w14:ligatures w14:val="none"/>
        </w:rPr>
        <w:t xml:space="preserve"> In order to stay competitive, the Hilton brand has been at the forefront of adjusting to these changes by utilising innovative HR practices and technology improvements.</w:t>
      </w:r>
      <w:r w:rsidRPr="008F5128">
        <w:rPr>
          <w:rFonts w:ascii="Arial" w:hAnsi="Arial" w:cs="Arial"/>
          <w:sz w:val="24"/>
          <w:szCs w:val="24"/>
        </w:rPr>
        <w:t xml:space="preserve"> </w:t>
      </w:r>
      <w:r w:rsidRPr="008F5128">
        <w:rPr>
          <w:rFonts w:ascii="Arial" w:eastAsia="Times New Roman" w:hAnsi="Arial" w:cs="Arial"/>
          <w:kern w:val="0"/>
          <w:sz w:val="24"/>
          <w:szCs w:val="24"/>
          <w:lang w:eastAsia="en-GB"/>
          <w14:ligatures w14:val="none"/>
        </w:rPr>
        <w:t>This proposal's main goal is to evaluate the ways in which socioeconomic factors affect Hilton Hotels &amp; Resorts' employee performance management and monitoring practices. The purpose of this study is to give the general manager practical insights and suggestions on how to improve employee performance through HR policies that are adaptable and catered to changing work styles and socioeconomic environments. This study is essential since it is relevant to Hilton's operational success. Hilton may maintain its position as a leader in the hotel sector by knowing how socioeconomic factors and employee performance management interact and by using strategic HR management and flexibility.</w:t>
      </w:r>
    </w:p>
    <w:p w14:paraId="633A1887" w14:textId="46CBCBFC" w:rsidR="00185A3B" w:rsidRPr="008F5128" w:rsidRDefault="00185A3B" w:rsidP="008F5128">
      <w:pPr>
        <w:pStyle w:val="EU"/>
        <w:spacing w:line="360" w:lineRule="auto"/>
        <w:rPr>
          <w:rFonts w:eastAsia="Times New Roman"/>
          <w:color w:val="auto"/>
        </w:rPr>
      </w:pPr>
      <w:bookmarkStart w:id="1" w:name="_Toc160470371"/>
      <w:r w:rsidRPr="008F5128">
        <w:rPr>
          <w:rFonts w:eastAsia="Times New Roman"/>
          <w:color w:val="auto"/>
        </w:rPr>
        <w:lastRenderedPageBreak/>
        <w:t>Literature review</w:t>
      </w:r>
      <w:bookmarkEnd w:id="1"/>
    </w:p>
    <w:p w14:paraId="413B4280" w14:textId="77777777" w:rsidR="009A64EA" w:rsidRPr="008F5128" w:rsidRDefault="009A64EA" w:rsidP="008F5128">
      <w:pPr>
        <w:spacing w:after="240" w:line="360" w:lineRule="auto"/>
        <w:jc w:val="both"/>
        <w:rPr>
          <w:rFonts w:ascii="Arial" w:eastAsia="Times New Roman" w:hAnsi="Arial" w:cs="Arial"/>
          <w:kern w:val="0"/>
          <w:sz w:val="24"/>
          <w:szCs w:val="24"/>
          <w:lang w:eastAsia="en-GB"/>
          <w14:ligatures w14:val="none"/>
        </w:rPr>
      </w:pPr>
    </w:p>
    <w:p w14:paraId="6DA90434" w14:textId="2A9E0E79" w:rsidR="009A64EA" w:rsidRPr="008F5128" w:rsidRDefault="009A64EA" w:rsidP="008F5128">
      <w:pPr>
        <w:pStyle w:val="EU"/>
        <w:spacing w:line="360" w:lineRule="auto"/>
        <w:rPr>
          <w:rFonts w:eastAsia="Times New Roman"/>
          <w:color w:val="auto"/>
        </w:rPr>
      </w:pPr>
      <w:bookmarkStart w:id="2" w:name="_Toc160470372"/>
      <w:r w:rsidRPr="008F5128">
        <w:rPr>
          <w:rFonts w:eastAsia="Times New Roman"/>
          <w:color w:val="auto"/>
        </w:rPr>
        <w:t>Industry trends</w:t>
      </w:r>
      <w:bookmarkEnd w:id="2"/>
    </w:p>
    <w:p w14:paraId="6416E3A1" w14:textId="2378BE6D" w:rsidR="009A64EA" w:rsidRPr="008F5128" w:rsidRDefault="009A64EA" w:rsidP="008F5128">
      <w:pPr>
        <w:spacing w:after="240" w:line="360" w:lineRule="auto"/>
        <w:jc w:val="both"/>
        <w:rPr>
          <w:rFonts w:ascii="Arial" w:eastAsia="Times New Roman" w:hAnsi="Arial" w:cs="Arial"/>
          <w:kern w:val="0"/>
          <w:sz w:val="24"/>
          <w:szCs w:val="24"/>
          <w:lang w:eastAsia="en-GB"/>
          <w14:ligatures w14:val="none"/>
        </w:rPr>
      </w:pPr>
      <w:r w:rsidRPr="009A64EA">
        <w:rPr>
          <w:rFonts w:ascii="Arial" w:eastAsia="Times New Roman" w:hAnsi="Arial" w:cs="Arial"/>
          <w:kern w:val="0"/>
          <w:sz w:val="24"/>
          <w:szCs w:val="24"/>
          <w:lang w:eastAsia="en-GB"/>
          <w14:ligatures w14:val="none"/>
        </w:rPr>
        <w:t>ONS offers critical insights into trends concerning employee retention and turnover in the United Kingdom. The number of payrolled employees has increased noticeably, according to the ONS, rising by 31,000 (0.1%) between November and December 2023 and by 401,000 (1.3%) annually between December 2022 and December 2023. This suggests that although the number of employees is increasing, the yearly growth rate of paid employees is trending downward. According to an early estimate, employment increased by 48,000 (0.2%) in January 2024 compared to a year-over-year increase of 413,000 (1.4%), indicating a continued, albeit slower, growth in employment (Office for National Statistics, 2024).</w:t>
      </w:r>
      <w:r w:rsidRPr="008F5128">
        <w:rPr>
          <w:rFonts w:ascii="Arial" w:eastAsia="Times New Roman" w:hAnsi="Arial" w:cs="Arial"/>
          <w:kern w:val="0"/>
          <w:sz w:val="24"/>
          <w:szCs w:val="24"/>
          <w:lang w:eastAsia="en-GB"/>
          <w14:ligatures w14:val="none"/>
        </w:rPr>
        <w:t xml:space="preserve"> Furthermore, according to the ONS, employment levels for people in the UK who are 16 years of age and older have improved on a quarterly and annual basis. The employment rate in the UK for those between the ages of 16 and 64 as of the most recent quarter was 75.0%, which is a minor increase over earlier estimates. In the meantime, the rate of unemployment for the same age group had dropped to 3.8%, which was the same as it was a year earlier</w:t>
      </w:r>
      <w:r w:rsidR="00193C85" w:rsidRPr="008F5128">
        <w:rPr>
          <w:rFonts w:ascii="Arial" w:eastAsia="Times New Roman" w:hAnsi="Arial" w:cs="Arial"/>
          <w:kern w:val="0"/>
          <w:sz w:val="24"/>
          <w:szCs w:val="24"/>
          <w:lang w:eastAsia="en-GB"/>
          <w14:ligatures w14:val="none"/>
        </w:rPr>
        <w:t xml:space="preserve"> (ONS, 2024). </w:t>
      </w:r>
      <w:r w:rsidRPr="008F5128">
        <w:rPr>
          <w:rFonts w:ascii="Arial" w:eastAsia="Times New Roman" w:hAnsi="Arial" w:cs="Arial"/>
          <w:kern w:val="0"/>
          <w:sz w:val="24"/>
          <w:szCs w:val="24"/>
          <w:lang w:eastAsia="en-GB"/>
          <w14:ligatures w14:val="none"/>
        </w:rPr>
        <w:t>These numbers highlight how dynamic the UK labour market is, with changes in employment and unemployment rates mirroring general economic patterns and rates of labour force participation. Furthermore, the economic inactivity rate—which takes into account those who are not working because of conditions like chronic illness—was 21.9% for people between the ages of 16 and 64 in the most recent quarter</w:t>
      </w:r>
      <w:r w:rsidR="00193C85" w:rsidRPr="008F5128">
        <w:rPr>
          <w:rFonts w:ascii="Arial" w:eastAsia="Times New Roman" w:hAnsi="Arial" w:cs="Arial"/>
          <w:kern w:val="0"/>
          <w:sz w:val="24"/>
          <w:szCs w:val="24"/>
          <w:lang w:eastAsia="en-GB"/>
          <w14:ligatures w14:val="none"/>
        </w:rPr>
        <w:t xml:space="preserve"> (ONS, 2024). </w:t>
      </w:r>
      <w:r w:rsidRPr="008F5128">
        <w:rPr>
          <w:rFonts w:ascii="Arial" w:eastAsia="Times New Roman" w:hAnsi="Arial" w:cs="Arial"/>
          <w:kern w:val="0"/>
          <w:sz w:val="24"/>
          <w:szCs w:val="24"/>
          <w:lang w:eastAsia="en-GB"/>
          <w14:ligatures w14:val="none"/>
        </w:rPr>
        <w:t xml:space="preserve"> This figure is higher than the estimates from the previous year, but it remained mostly stable. This demonstrates the difficulties in raising labour force participation in the face of health-related and other work impediments. </w:t>
      </w:r>
    </w:p>
    <w:p w14:paraId="12621988" w14:textId="30DE6BCB" w:rsidR="009A64EA" w:rsidRPr="008F5128" w:rsidRDefault="009A64EA" w:rsidP="008F5128">
      <w:pPr>
        <w:pStyle w:val="EU"/>
        <w:spacing w:line="360" w:lineRule="auto"/>
        <w:rPr>
          <w:rFonts w:eastAsia="Times New Roman"/>
          <w:color w:val="auto"/>
        </w:rPr>
      </w:pPr>
      <w:bookmarkStart w:id="3" w:name="_Toc160470373"/>
      <w:r w:rsidRPr="008F5128">
        <w:rPr>
          <w:rFonts w:eastAsia="Times New Roman"/>
          <w:color w:val="auto"/>
        </w:rPr>
        <w:t>Emergence of different work modes</w:t>
      </w:r>
      <w:bookmarkEnd w:id="3"/>
    </w:p>
    <w:p w14:paraId="703D6E31" w14:textId="74C156A0" w:rsidR="007B720D" w:rsidRPr="008F5128" w:rsidRDefault="000047EB" w:rsidP="008F5128">
      <w:pPr>
        <w:spacing w:line="360" w:lineRule="auto"/>
        <w:jc w:val="both"/>
        <w:rPr>
          <w:rFonts w:ascii="Arial" w:eastAsia="Times New Roman" w:hAnsi="Arial" w:cs="Arial"/>
          <w:kern w:val="0"/>
          <w:sz w:val="24"/>
          <w:szCs w:val="24"/>
          <w:lang w:eastAsia="en-GB"/>
          <w14:ligatures w14:val="none"/>
        </w:rPr>
      </w:pPr>
      <w:r w:rsidRPr="000047EB">
        <w:rPr>
          <w:rFonts w:ascii="Arial" w:eastAsia="Times New Roman" w:hAnsi="Arial" w:cs="Arial"/>
          <w:kern w:val="0"/>
          <w:sz w:val="24"/>
          <w:szCs w:val="24"/>
          <w:lang w:eastAsia="en-GB"/>
          <w14:ligatures w14:val="none"/>
        </w:rPr>
        <w:t>The hospitality sector has experienced a shift in customer expectations, changing labour demographics, and technological improvements over the last five years, leading to the introduction and adoption of different work styles. The growth of telework, which allows workers to work from anywhere at any time, has been a significant trend. With worker expectations shifting towards a greater work-life balance and corporate social responsibility, this flexibility has become more crucial for luring talent across skill levels</w:t>
      </w:r>
      <w:r w:rsidR="00193C85" w:rsidRPr="008F5128">
        <w:rPr>
          <w:rFonts w:ascii="Arial" w:eastAsia="Times New Roman" w:hAnsi="Arial" w:cs="Arial"/>
          <w:kern w:val="0"/>
          <w:sz w:val="24"/>
          <w:szCs w:val="24"/>
          <w:lang w:eastAsia="en-GB"/>
          <w14:ligatures w14:val="none"/>
        </w:rPr>
        <w:t xml:space="preserve"> </w:t>
      </w:r>
      <w:r w:rsidR="00193C85" w:rsidRPr="008F5128">
        <w:rPr>
          <w:rFonts w:ascii="Arial" w:hAnsi="Arial" w:cs="Arial"/>
          <w:sz w:val="24"/>
          <w:szCs w:val="24"/>
          <w:shd w:val="clear" w:color="auto" w:fill="FFFFFF"/>
        </w:rPr>
        <w:lastRenderedPageBreak/>
        <w:t>(Lund et al., 2021).</w:t>
      </w:r>
      <w:r w:rsidRPr="000047EB">
        <w:rPr>
          <w:rFonts w:ascii="Arial" w:eastAsia="Times New Roman" w:hAnsi="Arial" w:cs="Arial"/>
          <w:kern w:val="0"/>
          <w:sz w:val="24"/>
          <w:szCs w:val="24"/>
          <w:lang w:eastAsia="en-GB"/>
          <w14:ligatures w14:val="none"/>
        </w:rPr>
        <w:t xml:space="preserve"> The hospitality industry, which has historically relied on in-person interactions, has adjusted by incorporating </w:t>
      </w:r>
      <w:r w:rsidR="00193C85" w:rsidRPr="008F5128">
        <w:rPr>
          <w:rFonts w:ascii="Arial" w:eastAsia="Times New Roman" w:hAnsi="Arial" w:cs="Arial"/>
          <w:kern w:val="0"/>
          <w:sz w:val="24"/>
          <w:szCs w:val="24"/>
          <w:lang w:eastAsia="en-GB"/>
          <w14:ligatures w14:val="none"/>
        </w:rPr>
        <w:t>innovative</w:t>
      </w:r>
      <w:r w:rsidRPr="000047EB">
        <w:rPr>
          <w:rFonts w:ascii="Arial" w:eastAsia="Times New Roman" w:hAnsi="Arial" w:cs="Arial"/>
          <w:kern w:val="0"/>
          <w:sz w:val="24"/>
          <w:szCs w:val="24"/>
          <w:lang w:eastAsia="en-GB"/>
          <w14:ligatures w14:val="none"/>
        </w:rPr>
        <w:t xml:space="preserve"> procedures and digital tools to facilitate remote work, customer service, and training. This change was sped up by the COVID-19 pandemic, which forced companies to reconsider where and how they provide services and how they conduct business. This highlighted the need for ongoing learning and adaptation in a setting that is changing quickly</w:t>
      </w:r>
      <w:r w:rsidR="00193C85" w:rsidRPr="008F5128">
        <w:rPr>
          <w:rFonts w:ascii="Arial" w:eastAsia="Times New Roman" w:hAnsi="Arial" w:cs="Arial"/>
          <w:kern w:val="0"/>
          <w:sz w:val="24"/>
          <w:szCs w:val="24"/>
          <w:lang w:eastAsia="en-GB"/>
          <w14:ligatures w14:val="none"/>
        </w:rPr>
        <w:t xml:space="preserve"> </w:t>
      </w:r>
      <w:r w:rsidR="00193C85" w:rsidRPr="008F5128">
        <w:rPr>
          <w:rFonts w:ascii="Arial" w:hAnsi="Arial" w:cs="Arial"/>
          <w:sz w:val="24"/>
          <w:szCs w:val="24"/>
          <w:shd w:val="clear" w:color="auto" w:fill="FFFFFF"/>
        </w:rPr>
        <w:t>(Shapoval et al., 2021).</w:t>
      </w:r>
      <w:r w:rsidRPr="008F5128">
        <w:rPr>
          <w:rFonts w:ascii="Arial" w:eastAsia="Times New Roman" w:hAnsi="Arial" w:cs="Arial"/>
          <w:kern w:val="0"/>
          <w:sz w:val="24"/>
          <w:szCs w:val="24"/>
          <w:lang w:eastAsia="en-GB"/>
          <w14:ligatures w14:val="none"/>
        </w:rPr>
        <w:t xml:space="preserve"> The shift to more dynamic and flexible work arrangements is also in line with broader developments in the labour market, such as the growth of the gig economy, which calls for a reconsideration of conventional benefits packages and employment models. More and more hospitality companies are realising that they need to create strategies that not only draw in talent, but also keep it by providing meaningful employment, growth possibilities, and an engaging culture</w:t>
      </w:r>
      <w:r w:rsidR="00193C85" w:rsidRPr="008F5128">
        <w:rPr>
          <w:rFonts w:ascii="Arial" w:eastAsia="Times New Roman" w:hAnsi="Arial" w:cs="Arial"/>
          <w:kern w:val="0"/>
          <w:sz w:val="24"/>
          <w:szCs w:val="24"/>
          <w:lang w:eastAsia="en-GB"/>
          <w14:ligatures w14:val="none"/>
        </w:rPr>
        <w:t xml:space="preserve"> (Armstrong and Taylor, 2020).</w:t>
      </w:r>
      <w:r w:rsidRPr="008F5128">
        <w:rPr>
          <w:rFonts w:ascii="Arial" w:eastAsia="Times New Roman" w:hAnsi="Arial" w:cs="Arial"/>
          <w:kern w:val="0"/>
          <w:sz w:val="24"/>
          <w:szCs w:val="24"/>
          <w:lang w:eastAsia="en-GB"/>
          <w14:ligatures w14:val="none"/>
        </w:rPr>
        <w:t xml:space="preserve"> This all-encompassing approach to employee experience is essential in a field where there is fierce competition for competent individuals and significant employee turnover rates. Furthermore, new service models have been developed for the hospitality sector as a result of technology breakthroughs, completely changing the way services are provided and used. To adapt to shifting customer needs and improve operational effectiveness, the industry is embracing innovation in everything from digital guest services to outsourced HR management</w:t>
      </w:r>
      <w:r w:rsidR="00193C85" w:rsidRPr="008F5128">
        <w:rPr>
          <w:rFonts w:ascii="Arial" w:eastAsia="Times New Roman" w:hAnsi="Arial" w:cs="Arial"/>
          <w:kern w:val="0"/>
          <w:sz w:val="24"/>
          <w:szCs w:val="24"/>
          <w:lang w:eastAsia="en-GB"/>
          <w14:ligatures w14:val="none"/>
        </w:rPr>
        <w:t xml:space="preserve"> (Torrington et al., 2020). </w:t>
      </w:r>
      <w:r w:rsidRPr="008F5128">
        <w:rPr>
          <w:rFonts w:ascii="Arial" w:eastAsia="Times New Roman" w:hAnsi="Arial" w:cs="Arial"/>
          <w:kern w:val="0"/>
          <w:sz w:val="24"/>
          <w:szCs w:val="24"/>
          <w:lang w:eastAsia="en-GB"/>
          <w14:ligatures w14:val="none"/>
        </w:rPr>
        <w:t>This change has made a workforce that is tech-savvy, flexible, and able to provide excellent service in an increasingly digitalized setting necessary.</w:t>
      </w:r>
    </w:p>
    <w:p w14:paraId="0664C679" w14:textId="77777777" w:rsidR="00193C85" w:rsidRPr="008F5128" w:rsidRDefault="00193C85" w:rsidP="008F5128">
      <w:pPr>
        <w:spacing w:line="360" w:lineRule="auto"/>
        <w:jc w:val="both"/>
        <w:rPr>
          <w:rFonts w:ascii="Arial" w:eastAsia="Times New Roman" w:hAnsi="Arial" w:cs="Arial"/>
          <w:kern w:val="0"/>
          <w:sz w:val="24"/>
          <w:szCs w:val="24"/>
          <w:lang w:eastAsia="en-GB"/>
          <w14:ligatures w14:val="none"/>
        </w:rPr>
      </w:pPr>
    </w:p>
    <w:p w14:paraId="14028514" w14:textId="3DBB16A1" w:rsidR="007B720D" w:rsidRPr="008F5128" w:rsidRDefault="007B720D" w:rsidP="008F5128">
      <w:pPr>
        <w:pStyle w:val="EU"/>
        <w:spacing w:line="360" w:lineRule="auto"/>
        <w:rPr>
          <w:rFonts w:eastAsia="Times New Roman"/>
          <w:color w:val="auto"/>
        </w:rPr>
      </w:pPr>
      <w:bookmarkStart w:id="4" w:name="_Toc160470374"/>
      <w:r w:rsidRPr="008F5128">
        <w:rPr>
          <w:rFonts w:eastAsia="Times New Roman"/>
          <w:color w:val="auto"/>
        </w:rPr>
        <w:t>PESTLE Analysis:</w:t>
      </w:r>
      <w:bookmarkEnd w:id="4"/>
    </w:p>
    <w:p w14:paraId="0FF7A4B2"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b/>
          <w:bCs/>
          <w:kern w:val="0"/>
          <w:sz w:val="24"/>
          <w:szCs w:val="24"/>
          <w:lang w:eastAsia="en-GB"/>
          <w14:ligatures w14:val="none"/>
        </w:rPr>
        <w:t>Political:</w:t>
      </w:r>
      <w:r w:rsidRPr="008F5128">
        <w:rPr>
          <w:rFonts w:ascii="Arial" w:eastAsia="Times New Roman" w:hAnsi="Arial" w:cs="Arial"/>
          <w:kern w:val="0"/>
          <w:sz w:val="24"/>
          <w:szCs w:val="24"/>
          <w:lang w:eastAsia="en-GB"/>
          <w14:ligatures w14:val="none"/>
        </w:rPr>
        <w:t> </w:t>
      </w:r>
    </w:p>
    <w:p w14:paraId="2A9963A4"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74E00880" w14:textId="50DB812E" w:rsidR="007B720D" w:rsidRPr="008F5128" w:rsidRDefault="007B720D" w:rsidP="008F5128">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 xml:space="preserve">Given that Hilton has operations in more than 100 countries, it is vulnerable to a variety of political environments, including those pertaining to international trade regulations and political stability in important markets. </w:t>
      </w:r>
    </w:p>
    <w:p w14:paraId="5BFF4E28" w14:textId="3099E5F3" w:rsidR="007B720D" w:rsidRPr="008F5128" w:rsidRDefault="007B720D" w:rsidP="008F5128">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Regulatory compliance is the observance of municipal, state, and federal laws, rules governing employment, lodging, and international trade</w:t>
      </w:r>
      <w:r w:rsidR="008F5128" w:rsidRPr="008F5128">
        <w:rPr>
          <w:rFonts w:ascii="Arial" w:eastAsia="Times New Roman" w:hAnsi="Arial" w:cs="Arial"/>
          <w:kern w:val="0"/>
          <w:sz w:val="24"/>
          <w:szCs w:val="24"/>
          <w:lang w:eastAsia="en-GB"/>
          <w14:ligatures w14:val="none"/>
        </w:rPr>
        <w:t>.</w:t>
      </w:r>
    </w:p>
    <w:p w14:paraId="0F6F9C54" w14:textId="77777777" w:rsidR="007B720D" w:rsidRPr="008F5128" w:rsidRDefault="007B720D" w:rsidP="008F5128">
      <w:pPr>
        <w:spacing w:after="0" w:line="360" w:lineRule="auto"/>
        <w:jc w:val="both"/>
        <w:rPr>
          <w:rFonts w:ascii="Arial" w:eastAsia="Times New Roman" w:hAnsi="Arial" w:cs="Arial"/>
          <w:b/>
          <w:bCs/>
          <w:kern w:val="0"/>
          <w:sz w:val="24"/>
          <w:szCs w:val="24"/>
          <w:lang w:eastAsia="en-GB"/>
          <w14:ligatures w14:val="none"/>
        </w:rPr>
      </w:pPr>
    </w:p>
    <w:p w14:paraId="7C85ECBD" w14:textId="77777777" w:rsidR="007B720D" w:rsidRPr="008F5128" w:rsidRDefault="007B720D" w:rsidP="008F5128">
      <w:pPr>
        <w:spacing w:after="0" w:line="360" w:lineRule="auto"/>
        <w:jc w:val="both"/>
        <w:rPr>
          <w:rFonts w:ascii="Arial" w:eastAsia="Times New Roman" w:hAnsi="Arial" w:cs="Arial"/>
          <w:b/>
          <w:bCs/>
          <w:kern w:val="0"/>
          <w:sz w:val="24"/>
          <w:szCs w:val="24"/>
          <w:lang w:eastAsia="en-GB"/>
          <w14:ligatures w14:val="none"/>
        </w:rPr>
      </w:pPr>
      <w:r w:rsidRPr="007B720D">
        <w:rPr>
          <w:rFonts w:ascii="Arial" w:eastAsia="Times New Roman" w:hAnsi="Arial" w:cs="Arial"/>
          <w:b/>
          <w:bCs/>
          <w:kern w:val="0"/>
          <w:sz w:val="24"/>
          <w:szCs w:val="24"/>
          <w:lang w:eastAsia="en-GB"/>
          <w14:ligatures w14:val="none"/>
        </w:rPr>
        <w:t xml:space="preserve">Economic: </w:t>
      </w:r>
    </w:p>
    <w:p w14:paraId="5337EC09"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3AD96CF5" w14:textId="77777777" w:rsidR="007B720D" w:rsidRPr="008F5128" w:rsidRDefault="007B720D" w:rsidP="008F5128">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lastRenderedPageBreak/>
        <w:t xml:space="preserve">Due to Hilton's global reach, it is impacted by global economic factors such as inflation, exchange rates, and downturns. </w:t>
      </w:r>
    </w:p>
    <w:p w14:paraId="04184D84" w14:textId="74BB7372" w:rsidR="007B720D" w:rsidRPr="008F5128" w:rsidRDefault="007B720D" w:rsidP="008F5128">
      <w:pPr>
        <w:pStyle w:val="ListParagraph"/>
        <w:numPr>
          <w:ilvl w:val="0"/>
          <w:numId w:val="2"/>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Hotel occupancy rates and pricing tactics are significantly impacted by economic factors that influence disposable income and corporate travel budgets</w:t>
      </w:r>
      <w:r w:rsidR="00193C85" w:rsidRPr="008F5128">
        <w:rPr>
          <w:rFonts w:ascii="Arial" w:eastAsia="Times New Roman" w:hAnsi="Arial" w:cs="Arial"/>
          <w:kern w:val="0"/>
          <w:sz w:val="24"/>
          <w:szCs w:val="24"/>
          <w:lang w:eastAsia="en-GB"/>
          <w14:ligatures w14:val="none"/>
        </w:rPr>
        <w:t xml:space="preserve"> (McKinsey, 2020).</w:t>
      </w:r>
    </w:p>
    <w:p w14:paraId="26C397D7" w14:textId="77777777" w:rsidR="007B720D" w:rsidRPr="008F5128" w:rsidRDefault="007B720D" w:rsidP="008F5128">
      <w:pPr>
        <w:spacing w:after="0" w:line="360" w:lineRule="auto"/>
        <w:jc w:val="both"/>
        <w:rPr>
          <w:rFonts w:ascii="Arial" w:eastAsia="Times New Roman" w:hAnsi="Arial" w:cs="Arial"/>
          <w:b/>
          <w:bCs/>
          <w:kern w:val="0"/>
          <w:sz w:val="24"/>
          <w:szCs w:val="24"/>
          <w:lang w:eastAsia="en-GB"/>
          <w14:ligatures w14:val="none"/>
        </w:rPr>
      </w:pPr>
    </w:p>
    <w:p w14:paraId="5FAB58B6" w14:textId="77777777" w:rsidR="007B720D" w:rsidRPr="008F5128" w:rsidRDefault="007B720D" w:rsidP="008F5128">
      <w:pPr>
        <w:spacing w:after="0" w:line="360" w:lineRule="auto"/>
        <w:jc w:val="both"/>
        <w:rPr>
          <w:rFonts w:ascii="Arial" w:eastAsia="Times New Roman" w:hAnsi="Arial" w:cs="Arial"/>
          <w:b/>
          <w:bCs/>
          <w:kern w:val="0"/>
          <w:sz w:val="24"/>
          <w:szCs w:val="24"/>
          <w:lang w:eastAsia="en-GB"/>
          <w14:ligatures w14:val="none"/>
        </w:rPr>
      </w:pPr>
      <w:r w:rsidRPr="007B720D">
        <w:rPr>
          <w:rFonts w:ascii="Arial" w:eastAsia="Times New Roman" w:hAnsi="Arial" w:cs="Arial"/>
          <w:b/>
          <w:bCs/>
          <w:kern w:val="0"/>
          <w:sz w:val="24"/>
          <w:szCs w:val="24"/>
          <w:lang w:eastAsia="en-GB"/>
          <w14:ligatures w14:val="none"/>
        </w:rPr>
        <w:t xml:space="preserve">Social: </w:t>
      </w:r>
    </w:p>
    <w:p w14:paraId="3437D428"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645FEAB1" w14:textId="77777777" w:rsidR="007B720D" w:rsidRPr="008F5128" w:rsidRDefault="007B720D" w:rsidP="008F5128">
      <w:pPr>
        <w:pStyle w:val="ListParagraph"/>
        <w:numPr>
          <w:ilvl w:val="0"/>
          <w:numId w:val="3"/>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 xml:space="preserve">Hilton's offers are influenced by trends including the need for eco-friendly travel, distinctive and localised experiences, and digital services. </w:t>
      </w:r>
    </w:p>
    <w:p w14:paraId="2FE99ABB" w14:textId="3B3AD0BD" w:rsidR="007B720D" w:rsidRPr="008F5128" w:rsidRDefault="007B720D" w:rsidP="008F5128">
      <w:pPr>
        <w:pStyle w:val="ListParagraph"/>
        <w:numPr>
          <w:ilvl w:val="0"/>
          <w:numId w:val="3"/>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Recognising and meeting the demands of various groups, such as Gen Z and Millennials, who could value experiences differently than previous generations</w:t>
      </w:r>
      <w:r w:rsidR="00193C85" w:rsidRPr="008F5128">
        <w:rPr>
          <w:rFonts w:ascii="Arial" w:eastAsia="Times New Roman" w:hAnsi="Arial" w:cs="Arial"/>
          <w:kern w:val="0"/>
          <w:sz w:val="24"/>
          <w:szCs w:val="24"/>
          <w:lang w:eastAsia="en-GB"/>
          <w14:ligatures w14:val="none"/>
        </w:rPr>
        <w:t xml:space="preserve"> </w:t>
      </w:r>
      <w:r w:rsidR="00193C85" w:rsidRPr="008F5128">
        <w:rPr>
          <w:rFonts w:ascii="Arial" w:hAnsi="Arial" w:cs="Arial"/>
          <w:sz w:val="24"/>
          <w:szCs w:val="24"/>
          <w:shd w:val="clear" w:color="auto" w:fill="FFFFFF"/>
        </w:rPr>
        <w:t>(Johnston, 2023)</w:t>
      </w:r>
      <w:r w:rsidR="008F5128" w:rsidRPr="008F5128">
        <w:rPr>
          <w:rFonts w:ascii="Arial" w:hAnsi="Arial" w:cs="Arial"/>
          <w:sz w:val="24"/>
          <w:szCs w:val="24"/>
          <w:shd w:val="clear" w:color="auto" w:fill="FFFFFF"/>
        </w:rPr>
        <w:t>.</w:t>
      </w:r>
    </w:p>
    <w:p w14:paraId="791800C8"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032CE45F"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06244524" w14:textId="77777777" w:rsidR="007B720D" w:rsidRPr="008F5128" w:rsidRDefault="007B720D" w:rsidP="008F5128">
      <w:pPr>
        <w:spacing w:after="0" w:line="360" w:lineRule="auto"/>
        <w:jc w:val="both"/>
        <w:rPr>
          <w:rFonts w:ascii="Arial" w:eastAsia="Times New Roman" w:hAnsi="Arial" w:cs="Arial"/>
          <w:b/>
          <w:bCs/>
          <w:kern w:val="0"/>
          <w:sz w:val="24"/>
          <w:szCs w:val="24"/>
          <w:lang w:eastAsia="en-GB"/>
          <w14:ligatures w14:val="none"/>
        </w:rPr>
      </w:pPr>
      <w:r w:rsidRPr="007B720D">
        <w:rPr>
          <w:rFonts w:ascii="Arial" w:eastAsia="Times New Roman" w:hAnsi="Arial" w:cs="Arial"/>
          <w:b/>
          <w:bCs/>
          <w:kern w:val="0"/>
          <w:sz w:val="24"/>
          <w:szCs w:val="24"/>
          <w:lang w:eastAsia="en-GB"/>
          <w14:ligatures w14:val="none"/>
        </w:rPr>
        <w:t>Technological:  </w:t>
      </w:r>
    </w:p>
    <w:p w14:paraId="36032F00"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599B8D0B" w14:textId="77777777" w:rsidR="007B720D" w:rsidRPr="008F5128" w:rsidRDefault="007B720D" w:rsidP="008F5128">
      <w:pPr>
        <w:pStyle w:val="ListParagraph"/>
        <w:numPr>
          <w:ilvl w:val="0"/>
          <w:numId w:val="4"/>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 xml:space="preserve">Using digital technologies to improve operational efficiency, customer service (including chatbots and AI), and reservation systems. </w:t>
      </w:r>
    </w:p>
    <w:p w14:paraId="06169741" w14:textId="27FE15EA" w:rsidR="007B720D" w:rsidRPr="008F5128" w:rsidRDefault="007B720D" w:rsidP="008F5128">
      <w:pPr>
        <w:pStyle w:val="ListParagraph"/>
        <w:numPr>
          <w:ilvl w:val="0"/>
          <w:numId w:val="4"/>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Innovation in hospitality includes using data analytics to provide individualised services, improving mobile app functionality for a smooth visitor experience, and integrating smart hotel technologies.</w:t>
      </w:r>
    </w:p>
    <w:p w14:paraId="319EBC4E"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222DAB7D"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r w:rsidRPr="007B720D">
        <w:rPr>
          <w:rFonts w:ascii="Arial" w:eastAsia="Times New Roman" w:hAnsi="Arial" w:cs="Arial"/>
          <w:b/>
          <w:bCs/>
          <w:kern w:val="0"/>
          <w:sz w:val="24"/>
          <w:szCs w:val="24"/>
          <w:lang w:eastAsia="en-GB"/>
          <w14:ligatures w14:val="none"/>
        </w:rPr>
        <w:t>Legal:</w:t>
      </w:r>
      <w:r w:rsidRPr="007B720D">
        <w:rPr>
          <w:rFonts w:ascii="Arial" w:eastAsia="Times New Roman" w:hAnsi="Arial" w:cs="Arial"/>
          <w:kern w:val="0"/>
          <w:sz w:val="24"/>
          <w:szCs w:val="24"/>
          <w:lang w:eastAsia="en-GB"/>
          <w14:ligatures w14:val="none"/>
        </w:rPr>
        <w:t xml:space="preserve">  </w:t>
      </w:r>
    </w:p>
    <w:p w14:paraId="46D377EA"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198AF5A8" w14:textId="77777777" w:rsidR="007B720D" w:rsidRPr="008F5128" w:rsidRDefault="007B720D" w:rsidP="008F5128">
      <w:pPr>
        <w:pStyle w:val="ListParagraph"/>
        <w:numPr>
          <w:ilvl w:val="0"/>
          <w:numId w:val="5"/>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 xml:space="preserve">Hilton's operations depend heavily on compliance with international data protection standards, such as the GDPR in Europe, particularly when processing customer data. </w:t>
      </w:r>
    </w:p>
    <w:p w14:paraId="58CA2A5C" w14:textId="2CB43CBD" w:rsidR="007B720D" w:rsidRPr="008F5128" w:rsidRDefault="007B720D" w:rsidP="008F5128">
      <w:pPr>
        <w:pStyle w:val="ListParagraph"/>
        <w:numPr>
          <w:ilvl w:val="0"/>
          <w:numId w:val="5"/>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Complying with national and international labour rules pertaining to equitable employment opportunities, wages, and working conditions.</w:t>
      </w:r>
    </w:p>
    <w:p w14:paraId="7156BFF7" w14:textId="77777777" w:rsidR="007B720D" w:rsidRPr="008F5128" w:rsidRDefault="007B720D" w:rsidP="008F5128">
      <w:pPr>
        <w:spacing w:after="0" w:line="360" w:lineRule="auto"/>
        <w:jc w:val="both"/>
        <w:rPr>
          <w:rFonts w:ascii="Arial" w:eastAsia="Times New Roman" w:hAnsi="Arial" w:cs="Arial"/>
          <w:b/>
          <w:bCs/>
          <w:kern w:val="0"/>
          <w:sz w:val="24"/>
          <w:szCs w:val="24"/>
          <w:lang w:eastAsia="en-GB"/>
          <w14:ligatures w14:val="none"/>
        </w:rPr>
      </w:pPr>
    </w:p>
    <w:p w14:paraId="32D5008A"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r w:rsidRPr="007B720D">
        <w:rPr>
          <w:rFonts w:ascii="Arial" w:eastAsia="Times New Roman" w:hAnsi="Arial" w:cs="Arial"/>
          <w:b/>
          <w:bCs/>
          <w:kern w:val="0"/>
          <w:sz w:val="24"/>
          <w:szCs w:val="24"/>
          <w:lang w:eastAsia="en-GB"/>
          <w14:ligatures w14:val="none"/>
        </w:rPr>
        <w:t>Environmental:</w:t>
      </w:r>
      <w:r w:rsidRPr="007B720D">
        <w:rPr>
          <w:rFonts w:ascii="Arial" w:eastAsia="Times New Roman" w:hAnsi="Arial" w:cs="Arial"/>
          <w:kern w:val="0"/>
          <w:sz w:val="24"/>
          <w:szCs w:val="24"/>
          <w:lang w:eastAsia="en-GB"/>
          <w14:ligatures w14:val="none"/>
        </w:rPr>
        <w:t> </w:t>
      </w:r>
    </w:p>
    <w:p w14:paraId="1754536A" w14:textId="77777777" w:rsidR="007B720D" w:rsidRPr="008F5128" w:rsidRDefault="007B720D" w:rsidP="008F5128">
      <w:pPr>
        <w:spacing w:after="0" w:line="360" w:lineRule="auto"/>
        <w:jc w:val="both"/>
        <w:rPr>
          <w:rFonts w:ascii="Arial" w:eastAsia="Times New Roman" w:hAnsi="Arial" w:cs="Arial"/>
          <w:kern w:val="0"/>
          <w:sz w:val="24"/>
          <w:szCs w:val="24"/>
          <w:lang w:eastAsia="en-GB"/>
          <w14:ligatures w14:val="none"/>
        </w:rPr>
      </w:pPr>
    </w:p>
    <w:p w14:paraId="3599C8F3" w14:textId="2120ECA0" w:rsidR="007B720D" w:rsidRPr="008F5128" w:rsidRDefault="007B720D" w:rsidP="008F5128">
      <w:pPr>
        <w:pStyle w:val="ListParagraph"/>
        <w:numPr>
          <w:ilvl w:val="0"/>
          <w:numId w:val="6"/>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lastRenderedPageBreak/>
        <w:t>Putting into practice and advocating for sustainable methods in hotel operations, energy consumption, waste disposal, and community assistance</w:t>
      </w:r>
      <w:r w:rsidR="008F5128" w:rsidRPr="008F5128">
        <w:rPr>
          <w:rFonts w:ascii="Arial" w:eastAsia="Times New Roman" w:hAnsi="Arial" w:cs="Arial"/>
          <w:kern w:val="0"/>
          <w:sz w:val="24"/>
          <w:szCs w:val="24"/>
          <w:lang w:eastAsia="en-GB"/>
          <w14:ligatures w14:val="none"/>
        </w:rPr>
        <w:t xml:space="preserve"> (Prakash et al., 2023).</w:t>
      </w:r>
    </w:p>
    <w:p w14:paraId="1A5FE220" w14:textId="74C7F1F2" w:rsidR="007B720D" w:rsidRPr="008F5128" w:rsidRDefault="007B720D" w:rsidP="008F5128">
      <w:pPr>
        <w:pStyle w:val="ListParagraph"/>
        <w:numPr>
          <w:ilvl w:val="0"/>
          <w:numId w:val="6"/>
        </w:numPr>
        <w:spacing w:after="0" w:line="360" w:lineRule="auto"/>
        <w:jc w:val="both"/>
        <w:rPr>
          <w:rFonts w:ascii="Arial" w:eastAsia="Times New Roman" w:hAnsi="Arial" w:cs="Arial"/>
          <w:kern w:val="0"/>
          <w:sz w:val="24"/>
          <w:szCs w:val="24"/>
          <w:lang w:eastAsia="en-GB"/>
          <w14:ligatures w14:val="none"/>
        </w:rPr>
      </w:pPr>
      <w:r w:rsidRPr="008F5128">
        <w:rPr>
          <w:rFonts w:ascii="Arial" w:eastAsia="Times New Roman" w:hAnsi="Arial" w:cs="Arial"/>
          <w:kern w:val="0"/>
          <w:sz w:val="24"/>
          <w:szCs w:val="24"/>
          <w:lang w:eastAsia="en-GB"/>
          <w14:ligatures w14:val="none"/>
        </w:rPr>
        <w:t>Adjusting to and lessening the effects of climate change on specific property areas, such as problems with water scarcity and participation in carbon offset schemes.</w:t>
      </w:r>
    </w:p>
    <w:p w14:paraId="665F2C6A" w14:textId="5A633B6B" w:rsidR="007B720D" w:rsidRPr="007B720D" w:rsidRDefault="007B720D" w:rsidP="008F5128">
      <w:pPr>
        <w:spacing w:after="0" w:line="360" w:lineRule="auto"/>
        <w:jc w:val="both"/>
        <w:rPr>
          <w:rFonts w:ascii="Arial" w:eastAsia="Times New Roman" w:hAnsi="Arial" w:cs="Arial"/>
          <w:kern w:val="0"/>
          <w:sz w:val="24"/>
          <w:szCs w:val="24"/>
          <w:lang w:eastAsia="en-GB"/>
          <w14:ligatures w14:val="none"/>
        </w:rPr>
      </w:pPr>
    </w:p>
    <w:p w14:paraId="1429A12B" w14:textId="1ED9857C" w:rsidR="00035837" w:rsidRPr="008F5128" w:rsidRDefault="00035837" w:rsidP="008F5128">
      <w:pPr>
        <w:spacing w:line="360" w:lineRule="auto"/>
        <w:jc w:val="both"/>
        <w:rPr>
          <w:rFonts w:ascii="Arial" w:eastAsia="Times New Roman" w:hAnsi="Arial" w:cs="Arial"/>
          <w:kern w:val="0"/>
          <w:sz w:val="24"/>
          <w:szCs w:val="24"/>
          <w:lang w:eastAsia="en-GB"/>
          <w14:ligatures w14:val="none"/>
        </w:rPr>
      </w:pPr>
    </w:p>
    <w:p w14:paraId="7A6797ED" w14:textId="77777777" w:rsidR="000047EB" w:rsidRPr="008F5128" w:rsidRDefault="000047EB" w:rsidP="008F5128">
      <w:pPr>
        <w:pStyle w:val="EU"/>
        <w:spacing w:line="360" w:lineRule="auto"/>
        <w:rPr>
          <w:rFonts w:eastAsia="Times New Roman"/>
          <w:color w:val="auto"/>
        </w:rPr>
      </w:pPr>
      <w:bookmarkStart w:id="5" w:name="_Toc160470375"/>
      <w:r w:rsidRPr="008F5128">
        <w:rPr>
          <w:rFonts w:eastAsia="Times New Roman"/>
          <w:color w:val="auto"/>
        </w:rPr>
        <w:t>Hilton</w:t>
      </w:r>
      <w:bookmarkEnd w:id="5"/>
    </w:p>
    <w:p w14:paraId="733C5C26" w14:textId="7D53F79A" w:rsidR="000047EB" w:rsidRPr="008F5128" w:rsidRDefault="000047EB" w:rsidP="008F5128">
      <w:pPr>
        <w:spacing w:line="360" w:lineRule="auto"/>
        <w:jc w:val="both"/>
        <w:rPr>
          <w:rFonts w:ascii="Arial" w:eastAsia="Times New Roman" w:hAnsi="Arial" w:cs="Arial"/>
          <w:kern w:val="0"/>
          <w:sz w:val="24"/>
          <w:szCs w:val="24"/>
          <w:lang w:eastAsia="en-GB"/>
          <w14:ligatures w14:val="none"/>
        </w:rPr>
      </w:pPr>
      <w:r w:rsidRPr="007B720D">
        <w:rPr>
          <w:rFonts w:ascii="Arial" w:eastAsia="Times New Roman" w:hAnsi="Arial" w:cs="Arial"/>
          <w:kern w:val="0"/>
          <w:sz w:val="24"/>
          <w:szCs w:val="24"/>
          <w:lang w:eastAsia="en-GB"/>
          <w14:ligatures w14:val="none"/>
        </w:rPr>
        <w:t>The literature now in existence about employee performance management in the hospitality sector, specifically in Hilton Hotels, emphasises the critical role that strategic human resource management plays in assisting organisations in effectively managing the obstacles presented by socioeconomic issues.</w:t>
      </w:r>
      <w:r w:rsidR="008F5128" w:rsidRPr="008F5128">
        <w:rPr>
          <w:rFonts w:ascii="Arial" w:eastAsia="Times New Roman" w:hAnsi="Arial" w:cs="Arial"/>
          <w:kern w:val="0"/>
          <w:sz w:val="24"/>
          <w:szCs w:val="24"/>
          <w:lang w:eastAsia="en-GB"/>
          <w14:ligatures w14:val="none"/>
        </w:rPr>
        <w:t xml:space="preserve"> Marchington and Wilkinson (2016)</w:t>
      </w:r>
      <w:r w:rsidRPr="007B720D">
        <w:rPr>
          <w:rFonts w:ascii="Arial" w:eastAsia="Times New Roman" w:hAnsi="Arial" w:cs="Arial"/>
          <w:kern w:val="0"/>
          <w:sz w:val="24"/>
          <w:szCs w:val="24"/>
          <w:lang w:eastAsia="en-GB"/>
          <w14:ligatures w14:val="none"/>
        </w:rPr>
        <w:t xml:space="preserve"> indicates that in the context of changing socioeconomic environments, HRM practices play a critical role in coordinating employee performance with organisational objectives. Nevertheless, it seems that there is a lack of thorough study that focuses on the interaction between socioeconomic factors and performance management in various work styles within global hotel chains like Hilton. By concentrating on the subtle effects of these forces on employee performance management practices, this research seeks to close this gap.</w:t>
      </w:r>
      <w:r w:rsidRPr="008F5128">
        <w:rPr>
          <w:rFonts w:ascii="Arial" w:eastAsia="Times New Roman" w:hAnsi="Arial" w:cs="Arial"/>
          <w:kern w:val="0"/>
          <w:sz w:val="24"/>
          <w:szCs w:val="24"/>
          <w:lang w:eastAsia="en-GB"/>
          <w14:ligatures w14:val="none"/>
        </w:rPr>
        <w:t xml:space="preserve"> Employee performance management strategies in the hotel business are significantly shaped by socio-economic aspects, as indicated by the PESTLE research. Through its global quality effort, "Equilibrium," which aims to ensure service quality by satisfying individual guest needs, Hilton Hotels has taken the initiative to respond to these concerns in a proactive manner</w:t>
      </w:r>
      <w:r w:rsidR="008F5128" w:rsidRPr="008F5128">
        <w:rPr>
          <w:rFonts w:ascii="Arial" w:eastAsia="Times New Roman" w:hAnsi="Arial" w:cs="Arial"/>
          <w:kern w:val="0"/>
          <w:sz w:val="24"/>
          <w:szCs w:val="24"/>
          <w:lang w:eastAsia="en-GB"/>
          <w14:ligatures w14:val="none"/>
        </w:rPr>
        <w:t xml:space="preserve"> (Hilton, 2022). </w:t>
      </w:r>
      <w:r w:rsidRPr="008F5128">
        <w:rPr>
          <w:rFonts w:ascii="Arial" w:eastAsia="Times New Roman" w:hAnsi="Arial" w:cs="Arial"/>
          <w:kern w:val="0"/>
          <w:sz w:val="24"/>
          <w:szCs w:val="24"/>
          <w:lang w:eastAsia="en-GB"/>
          <w14:ligatures w14:val="none"/>
        </w:rPr>
        <w:t>The "Esprit" human resource policy, which prioritises employee reward, respect, and recognition, is at the heart of this endeavour. These tactics highlight how crucial a strong HRM framework is to preserving good service standards in the face of fluctuating socioeconomic circumstances</w:t>
      </w:r>
      <w:r w:rsidR="008F5128" w:rsidRPr="008F5128">
        <w:rPr>
          <w:rFonts w:ascii="Arial" w:eastAsia="Times New Roman" w:hAnsi="Arial" w:cs="Arial"/>
          <w:kern w:val="0"/>
          <w:sz w:val="24"/>
          <w:szCs w:val="24"/>
          <w:lang w:eastAsia="en-GB"/>
          <w14:ligatures w14:val="none"/>
        </w:rPr>
        <w:t xml:space="preserve"> (Hilton, 2022).</w:t>
      </w:r>
      <w:r w:rsidRPr="008F5128">
        <w:rPr>
          <w:rFonts w:ascii="Arial" w:eastAsia="Times New Roman" w:hAnsi="Arial" w:cs="Arial"/>
          <w:kern w:val="0"/>
          <w:sz w:val="24"/>
          <w:szCs w:val="24"/>
          <w:lang w:eastAsia="en-GB"/>
          <w14:ligatures w14:val="none"/>
        </w:rPr>
        <w:t xml:space="preserve"> With its strategic HRM practices, Hilton Hotels has established a standard for managing employee performance across various work modes. The company's dedication to developing talent and guaranteeing career longevity is demonstrated by its focus on building an ecosystem of support for team members at every stage of their careers. Hilton's creative methods of acknowledging and rewarding staff members are demonstrated </w:t>
      </w:r>
      <w:r w:rsidRPr="008F5128">
        <w:rPr>
          <w:rFonts w:ascii="Arial" w:eastAsia="Times New Roman" w:hAnsi="Arial" w:cs="Arial"/>
          <w:kern w:val="0"/>
          <w:sz w:val="24"/>
          <w:szCs w:val="24"/>
          <w:lang w:eastAsia="en-GB"/>
          <w14:ligatures w14:val="none"/>
        </w:rPr>
        <w:lastRenderedPageBreak/>
        <w:t>via programmes like Team Member Appreciation Week, the Catch Me At My Best campaign, and access to the GoHilton team member travel programme</w:t>
      </w:r>
      <w:r w:rsidR="008F5128" w:rsidRPr="008F5128">
        <w:rPr>
          <w:rFonts w:ascii="Arial" w:eastAsia="Times New Roman" w:hAnsi="Arial" w:cs="Arial"/>
          <w:kern w:val="0"/>
          <w:sz w:val="24"/>
          <w:szCs w:val="24"/>
          <w:lang w:eastAsia="en-GB"/>
          <w14:ligatures w14:val="none"/>
        </w:rPr>
        <w:t xml:space="preserve"> (Hilton, 2021).</w:t>
      </w:r>
      <w:r w:rsidRPr="008F5128">
        <w:rPr>
          <w:rFonts w:ascii="Arial" w:eastAsia="Times New Roman" w:hAnsi="Arial" w:cs="Arial"/>
          <w:kern w:val="0"/>
          <w:sz w:val="24"/>
          <w:szCs w:val="24"/>
          <w:lang w:eastAsia="en-GB"/>
          <w14:ligatures w14:val="none"/>
        </w:rPr>
        <w:t xml:space="preserve"> By lowering turnover and improving visitor experiences, these procedures not only promote a culture of engagement and loyalty but also improve operational effectiveness and business performance. Moreover, in the hospitality industry, flexible work arrangements, offices, and hybrid work arrangements have become more common, especially since the pandemic. As a result, companies like Hilton have had to review their approaches to performance management. Hilton has made a significant investment in learning and leadership development programmes that use virtual instructor-led courses to reduce in-seat learning time, demonstrating its adaptability to different work styles. These kinds of programmes demonstrate Hilton's adaptability in making sure that its employees are engaged and productive regardless of the manner of work. Hilton's focus on creating a strong HR and payroll system, TMX (Team Member Experience), is another example of the company's dedication to improving process efficiency across all work arrangements</w:t>
      </w:r>
      <w:r w:rsidR="008F5128" w:rsidRPr="008F5128">
        <w:rPr>
          <w:rFonts w:ascii="Arial" w:eastAsia="Times New Roman" w:hAnsi="Arial" w:cs="Arial"/>
          <w:kern w:val="0"/>
          <w:sz w:val="24"/>
          <w:szCs w:val="24"/>
          <w:lang w:eastAsia="en-GB"/>
          <w14:ligatures w14:val="none"/>
        </w:rPr>
        <w:t xml:space="preserve"> 9hilton, 2022).</w:t>
      </w:r>
      <w:r w:rsidRPr="008F5128">
        <w:rPr>
          <w:rFonts w:ascii="Arial" w:eastAsia="Times New Roman" w:hAnsi="Arial" w:cs="Arial"/>
          <w:kern w:val="0"/>
          <w:sz w:val="24"/>
          <w:szCs w:val="24"/>
          <w:lang w:eastAsia="en-GB"/>
          <w14:ligatures w14:val="none"/>
        </w:rPr>
        <w:t xml:space="preserve"> In light of socioeconomic constraints, a number of viable options for efficient performance management come to light during the conversation. Firstly, it is critical to implement inclusive and adaptable HR policies that acknowledge the variety of needs that employees have across various work modes. Second, performance management results can be greatly enhanced by utilising technology to promote employee engagement and expedite HR procedures. In conclusion, sustaining funding for staff development initiatives that are in line with the company's strategic goals will be essential for overcoming the socioeconomic obstacles that the hospitality sector faces</w:t>
      </w:r>
      <w:r w:rsidR="008F5128" w:rsidRPr="008F5128">
        <w:rPr>
          <w:rFonts w:ascii="Arial" w:eastAsia="Times New Roman" w:hAnsi="Arial" w:cs="Arial"/>
          <w:kern w:val="0"/>
          <w:sz w:val="24"/>
          <w:szCs w:val="24"/>
          <w:lang w:eastAsia="en-GB"/>
          <w14:ligatures w14:val="none"/>
        </w:rPr>
        <w:t xml:space="preserve"> (Armstrong and Taylor, 2020).</w:t>
      </w:r>
      <w:r w:rsidRPr="008F5128">
        <w:rPr>
          <w:rFonts w:ascii="Arial" w:eastAsia="Times New Roman" w:hAnsi="Arial" w:cs="Arial"/>
          <w:kern w:val="0"/>
          <w:sz w:val="24"/>
          <w:szCs w:val="24"/>
          <w:lang w:eastAsia="en-GB"/>
          <w14:ligatures w14:val="none"/>
        </w:rPr>
        <w:t xml:space="preserve"> Thus, strategic HRM practices at Hilton Hotels provide insightful information about how to effectively manage employee performance across a range of work modes in the face of socioeconomic factors. Hilton strengthens its position as a leader in the global hospitality sector and improves operational efficiency by consistently adapting its HRM strategy to meet these challenges.</w:t>
      </w:r>
    </w:p>
    <w:p w14:paraId="5BC1AEC6" w14:textId="77777777" w:rsidR="00035837" w:rsidRPr="008F5128" w:rsidRDefault="00035837" w:rsidP="008F5128">
      <w:pPr>
        <w:spacing w:line="360" w:lineRule="auto"/>
        <w:jc w:val="both"/>
        <w:rPr>
          <w:rFonts w:ascii="Arial" w:eastAsia="Times New Roman" w:hAnsi="Arial" w:cs="Arial"/>
          <w:kern w:val="0"/>
          <w:sz w:val="24"/>
          <w:szCs w:val="24"/>
          <w:lang w:eastAsia="en-GB"/>
          <w14:ligatures w14:val="none"/>
        </w:rPr>
      </w:pPr>
    </w:p>
    <w:p w14:paraId="667FB9DE" w14:textId="18404589" w:rsidR="000047EB" w:rsidRPr="008F5128" w:rsidRDefault="000047EB" w:rsidP="008F5128">
      <w:pPr>
        <w:pStyle w:val="EU"/>
        <w:spacing w:line="360" w:lineRule="auto"/>
        <w:rPr>
          <w:rFonts w:eastAsia="Times New Roman"/>
          <w:color w:val="auto"/>
        </w:rPr>
      </w:pPr>
      <w:bookmarkStart w:id="6" w:name="_Toc160470376"/>
      <w:r w:rsidRPr="008F5128">
        <w:rPr>
          <w:rFonts w:eastAsia="Times New Roman"/>
          <w:color w:val="auto"/>
        </w:rPr>
        <w:t>Conclusion</w:t>
      </w:r>
      <w:bookmarkEnd w:id="6"/>
    </w:p>
    <w:p w14:paraId="1BC78118" w14:textId="77777777" w:rsidR="000047EB" w:rsidRPr="000047EB" w:rsidRDefault="000047EB" w:rsidP="008F5128">
      <w:pPr>
        <w:spacing w:after="0" w:line="360" w:lineRule="auto"/>
        <w:jc w:val="both"/>
        <w:rPr>
          <w:rFonts w:ascii="Arial" w:eastAsia="Times New Roman" w:hAnsi="Arial" w:cs="Arial"/>
          <w:kern w:val="0"/>
          <w:sz w:val="24"/>
          <w:szCs w:val="24"/>
          <w:lang w:eastAsia="en-GB"/>
          <w14:ligatures w14:val="none"/>
        </w:rPr>
      </w:pPr>
      <w:r w:rsidRPr="000047EB">
        <w:rPr>
          <w:rFonts w:ascii="Arial" w:eastAsia="Times New Roman" w:hAnsi="Arial" w:cs="Arial"/>
          <w:kern w:val="0"/>
          <w:sz w:val="24"/>
          <w:szCs w:val="24"/>
          <w:lang w:eastAsia="en-GB"/>
          <w14:ligatures w14:val="none"/>
        </w:rPr>
        <w:t xml:space="preserve">In summary, this study provided  the complex interplay between socioeconomic variables and employee performance management at Hilton Hotels &amp; Resorts, highlighting the significance of strategic HRM procedures. Hilton's creative solutions, </w:t>
      </w:r>
      <w:r w:rsidRPr="000047EB">
        <w:rPr>
          <w:rFonts w:ascii="Arial" w:eastAsia="Times New Roman" w:hAnsi="Arial" w:cs="Arial"/>
          <w:kern w:val="0"/>
          <w:sz w:val="24"/>
          <w:szCs w:val="24"/>
          <w:lang w:eastAsia="en-GB"/>
          <w14:ligatures w14:val="none"/>
        </w:rPr>
        <w:lastRenderedPageBreak/>
        <w:t>like the Esprit policy and the Equilibrium effort, demonstrate the company's dedication to modifying its HR tactics to satisfy the changing demands of its employees and uphold service excellence. The report emphasises the need for inclusive, flexible HR practices as well as the contribution of technology to improving operational effectiveness and employee engagement. Hilton's commitment to staff development and its use of flexible work schedules demonstrate the brand's adaptability to the ever-evolving workplace. These actions not only help Hilton run smoothly, but they also establish the company as a pioneer in the hospitality sector, leading the way for others. The results highlight how important HRM is in negotiating socioeconomic obstacles, and they imply that strategic planning and ongoing adaptation are necessary to maximise employee performance management in the face of shifting socioeconomic circumstances. The success of Hilton offers important insights for other businesses looking to improve their HRM plans in comparable dynamic settings.</w:t>
      </w:r>
    </w:p>
    <w:p w14:paraId="2615ACE4" w14:textId="77777777" w:rsidR="00035837" w:rsidRDefault="00035837" w:rsidP="00035837">
      <w:pPr>
        <w:spacing w:line="360" w:lineRule="auto"/>
        <w:jc w:val="both"/>
        <w:rPr>
          <w:rFonts w:ascii="Times New Roman" w:eastAsia="Times New Roman" w:hAnsi="Times New Roman" w:cs="Times New Roman"/>
          <w:kern w:val="0"/>
          <w:sz w:val="24"/>
          <w:szCs w:val="24"/>
          <w:lang w:eastAsia="en-GB"/>
          <w14:ligatures w14:val="none"/>
        </w:rPr>
      </w:pPr>
    </w:p>
    <w:p w14:paraId="7EFABBB9"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5538D945"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0B4B79AB"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6ECA8FCB"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33448572"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6FCDD295"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14C558DE"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258E9257"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74297CF2"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785572D5"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77EF530A"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2A5E4C07" w14:textId="77777777" w:rsidR="008F5128"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65B2DC53" w14:textId="77777777" w:rsidR="008F5128" w:rsidRPr="00035837" w:rsidRDefault="008F5128" w:rsidP="00035837">
      <w:pPr>
        <w:spacing w:line="360" w:lineRule="auto"/>
        <w:jc w:val="both"/>
        <w:rPr>
          <w:rFonts w:ascii="Times New Roman" w:eastAsia="Times New Roman" w:hAnsi="Times New Roman" w:cs="Times New Roman"/>
          <w:kern w:val="0"/>
          <w:sz w:val="24"/>
          <w:szCs w:val="24"/>
          <w:lang w:eastAsia="en-GB"/>
          <w14:ligatures w14:val="none"/>
        </w:rPr>
      </w:pPr>
    </w:p>
    <w:p w14:paraId="19939E45" w14:textId="414F7F98" w:rsidR="00035837" w:rsidRPr="008F5128" w:rsidRDefault="000047EB" w:rsidP="008F5128">
      <w:pPr>
        <w:pStyle w:val="EU"/>
        <w:spacing w:line="360" w:lineRule="auto"/>
        <w:rPr>
          <w:rFonts w:eastAsia="Times New Roman"/>
          <w:color w:val="auto"/>
        </w:rPr>
      </w:pPr>
      <w:bookmarkStart w:id="7" w:name="_Toc160470377"/>
      <w:r w:rsidRPr="008F5128">
        <w:rPr>
          <w:rFonts w:eastAsia="Times New Roman"/>
          <w:color w:val="auto"/>
        </w:rPr>
        <w:lastRenderedPageBreak/>
        <w:t>References</w:t>
      </w:r>
      <w:bookmarkEnd w:id="7"/>
    </w:p>
    <w:p w14:paraId="5DC24D26" w14:textId="4F2B8140" w:rsidR="00035837" w:rsidRPr="008F5128" w:rsidRDefault="00035837" w:rsidP="008F5128">
      <w:pPr>
        <w:spacing w:line="360" w:lineRule="auto"/>
        <w:jc w:val="both"/>
        <w:rPr>
          <w:rFonts w:ascii="Arial" w:eastAsia="Times New Roman" w:hAnsi="Arial" w:cs="Arial"/>
          <w:kern w:val="0"/>
          <w:sz w:val="24"/>
          <w:szCs w:val="24"/>
          <w:lang w:eastAsia="en-GB"/>
          <w14:ligatures w14:val="none"/>
        </w:rPr>
      </w:pPr>
    </w:p>
    <w:p w14:paraId="377BE8D7" w14:textId="0AFAD9C1" w:rsidR="00035837" w:rsidRPr="008F5128" w:rsidRDefault="00193C85" w:rsidP="008F5128">
      <w:pPr>
        <w:spacing w:line="360" w:lineRule="auto"/>
        <w:jc w:val="both"/>
        <w:rPr>
          <w:rFonts w:ascii="Arial" w:eastAsia="Times New Roman" w:hAnsi="Arial" w:cs="Arial"/>
          <w:kern w:val="0"/>
          <w:sz w:val="24"/>
          <w:szCs w:val="24"/>
          <w:lang w:eastAsia="en-GB"/>
          <w14:ligatures w14:val="none"/>
        </w:rPr>
      </w:pPr>
      <w:r w:rsidRPr="008F5128">
        <w:rPr>
          <w:rFonts w:ascii="Arial" w:hAnsi="Arial" w:cs="Arial"/>
          <w:sz w:val="24"/>
          <w:szCs w:val="24"/>
        </w:rPr>
        <w:t>Armstrong, M. and Taylor, S. (2020) Armstrong’s handbook of human resource management practice. 15th edition. London, United Kingdom ;: KoganPage.</w:t>
      </w:r>
    </w:p>
    <w:p w14:paraId="4322D19B" w14:textId="74BBEF9D" w:rsidR="000047EB" w:rsidRPr="008F5128" w:rsidRDefault="000047EB" w:rsidP="008F5128">
      <w:pPr>
        <w:pStyle w:val="NormalWeb"/>
        <w:spacing w:before="0" w:beforeAutospacing="0" w:after="0" w:afterAutospacing="0" w:line="360" w:lineRule="auto"/>
        <w:jc w:val="both"/>
        <w:rPr>
          <w:rFonts w:ascii="Arial" w:hAnsi="Arial" w:cs="Arial"/>
        </w:rPr>
      </w:pPr>
      <w:r w:rsidRPr="008F5128">
        <w:rPr>
          <w:rFonts w:ascii="Arial" w:hAnsi="Arial" w:cs="Arial"/>
        </w:rPr>
        <w:t>Battisti, E., Alfiero, S. and Leonidou, E. (2022). Remote Working and Digital Transformation during the COVID-19 pandemic: Economic–financial Impacts and Psychological Drivers for Employees. </w:t>
      </w:r>
      <w:r w:rsidRPr="008F5128">
        <w:rPr>
          <w:rFonts w:ascii="Arial" w:hAnsi="Arial" w:cs="Arial"/>
          <w:i/>
          <w:iCs/>
        </w:rPr>
        <w:t>Journal of Business Research</w:t>
      </w:r>
      <w:r w:rsidRPr="008F5128">
        <w:rPr>
          <w:rFonts w:ascii="Arial" w:hAnsi="Arial" w:cs="Arial"/>
        </w:rPr>
        <w:t xml:space="preserve">, [online] 150(1), pp.38–50. Available at: </w:t>
      </w:r>
      <w:hyperlink r:id="rId7" w:history="1">
        <w:r w:rsidR="008F5128" w:rsidRPr="008F5128">
          <w:rPr>
            <w:rStyle w:val="Hyperlink"/>
            <w:rFonts w:ascii="Arial" w:hAnsi="Arial" w:cs="Arial"/>
            <w:color w:val="auto"/>
          </w:rPr>
          <w:t>https://www.ncbi.nlm.nih.gov/pmc/articles/PMC9186428/</w:t>
        </w:r>
      </w:hyperlink>
      <w:r w:rsidRPr="008F5128">
        <w:rPr>
          <w:rFonts w:ascii="Arial" w:hAnsi="Arial" w:cs="Arial"/>
        </w:rPr>
        <w:t>.</w:t>
      </w:r>
    </w:p>
    <w:p w14:paraId="15209C0F" w14:textId="77777777" w:rsidR="008F5128" w:rsidRPr="008F5128" w:rsidRDefault="008F5128" w:rsidP="008F5128">
      <w:pPr>
        <w:pStyle w:val="NormalWeb"/>
        <w:spacing w:before="0" w:beforeAutospacing="0" w:after="0" w:afterAutospacing="0" w:line="360" w:lineRule="auto"/>
        <w:jc w:val="both"/>
        <w:rPr>
          <w:rFonts w:ascii="Arial" w:hAnsi="Arial" w:cs="Arial"/>
        </w:rPr>
      </w:pPr>
    </w:p>
    <w:p w14:paraId="346DA5FD" w14:textId="2ED9BB42" w:rsidR="008F5128" w:rsidRPr="008F5128" w:rsidRDefault="008F5128" w:rsidP="008F5128">
      <w:pPr>
        <w:pStyle w:val="NormalWeb"/>
        <w:spacing w:before="0" w:beforeAutospacing="0" w:after="0" w:afterAutospacing="0" w:line="360" w:lineRule="auto"/>
        <w:jc w:val="both"/>
        <w:rPr>
          <w:rFonts w:ascii="Arial" w:hAnsi="Arial" w:cs="Arial"/>
        </w:rPr>
      </w:pPr>
      <w:r w:rsidRPr="008F5128">
        <w:rPr>
          <w:rFonts w:ascii="Arial" w:hAnsi="Arial" w:cs="Arial"/>
        </w:rPr>
        <w:t>Hilton  (2021). </w:t>
      </w:r>
      <w:r w:rsidRPr="008F5128">
        <w:rPr>
          <w:rFonts w:ascii="Arial" w:hAnsi="Arial" w:cs="Arial"/>
          <w:i/>
          <w:iCs/>
        </w:rPr>
        <w:t>Customer Support</w:t>
      </w:r>
      <w:r w:rsidRPr="008F5128">
        <w:rPr>
          <w:rFonts w:ascii="Arial" w:hAnsi="Arial" w:cs="Arial"/>
        </w:rPr>
        <w:t>. [online] Available at: https://help.hilton.com/s/article/What-is-the-Go-Hilton-employee-program.</w:t>
      </w:r>
    </w:p>
    <w:p w14:paraId="1994C70C" w14:textId="77777777" w:rsidR="008F5128" w:rsidRPr="008F5128" w:rsidRDefault="008F5128" w:rsidP="008F5128">
      <w:pPr>
        <w:pStyle w:val="NormalWeb"/>
        <w:spacing w:before="0" w:beforeAutospacing="0" w:after="0" w:afterAutospacing="0" w:line="360" w:lineRule="auto"/>
        <w:jc w:val="both"/>
        <w:rPr>
          <w:rFonts w:ascii="Arial" w:hAnsi="Arial" w:cs="Arial"/>
        </w:rPr>
      </w:pPr>
    </w:p>
    <w:p w14:paraId="3CEC74E7" w14:textId="1F654AB5" w:rsidR="008F5128" w:rsidRPr="008F5128" w:rsidRDefault="008F5128" w:rsidP="008F5128">
      <w:pPr>
        <w:pStyle w:val="NormalWeb"/>
        <w:spacing w:before="0" w:beforeAutospacing="0" w:after="0" w:afterAutospacing="0" w:line="360" w:lineRule="auto"/>
        <w:jc w:val="both"/>
        <w:rPr>
          <w:rFonts w:ascii="Arial" w:hAnsi="Arial" w:cs="Arial"/>
        </w:rPr>
      </w:pPr>
      <w:r w:rsidRPr="008F5128">
        <w:rPr>
          <w:rFonts w:ascii="Arial" w:hAnsi="Arial" w:cs="Arial"/>
        </w:rPr>
        <w:t>Hilton (2022). </w:t>
      </w:r>
      <w:r w:rsidRPr="008F5128">
        <w:rPr>
          <w:rFonts w:ascii="Arial" w:hAnsi="Arial" w:cs="Arial"/>
          <w:i/>
          <w:iCs/>
        </w:rPr>
        <w:t>Travel with Purpose</w:t>
      </w:r>
      <w:r w:rsidRPr="008F5128">
        <w:rPr>
          <w:rFonts w:ascii="Arial" w:hAnsi="Arial" w:cs="Arial"/>
        </w:rPr>
        <w:t>. [online] Available at: https://esg.hilton.com/wp-content/uploads/sites/4/2023/04/Hilton-2022-Environmental-Social-and-Governance-Report.pdf.</w:t>
      </w:r>
    </w:p>
    <w:p w14:paraId="1B761B93" w14:textId="427B1023" w:rsidR="000047EB" w:rsidRPr="008F5128" w:rsidRDefault="000047EB" w:rsidP="008F5128">
      <w:pPr>
        <w:pStyle w:val="NormalWeb"/>
        <w:spacing w:line="360" w:lineRule="auto"/>
        <w:jc w:val="both"/>
        <w:rPr>
          <w:rFonts w:ascii="Arial" w:hAnsi="Arial" w:cs="Arial"/>
        </w:rPr>
      </w:pPr>
      <w:r w:rsidRPr="008F5128">
        <w:rPr>
          <w:rFonts w:ascii="Arial" w:hAnsi="Arial" w:cs="Arial"/>
        </w:rPr>
        <w:t>‌Hilton (2023). </w:t>
      </w:r>
      <w:r w:rsidRPr="008F5128">
        <w:rPr>
          <w:rFonts w:ascii="Arial" w:hAnsi="Arial" w:cs="Arial"/>
          <w:i/>
          <w:iCs/>
        </w:rPr>
        <w:t>The Story of Hilton</w:t>
      </w:r>
      <w:r w:rsidRPr="008F5128">
        <w:rPr>
          <w:rFonts w:ascii="Arial" w:hAnsi="Arial" w:cs="Arial"/>
        </w:rPr>
        <w:t xml:space="preserve">. [online] Stories From Hilton. Available at: </w:t>
      </w:r>
      <w:hyperlink r:id="rId8" w:history="1">
        <w:r w:rsidR="00193C85" w:rsidRPr="008F5128">
          <w:rPr>
            <w:rStyle w:val="Hyperlink"/>
            <w:rFonts w:ascii="Arial" w:hAnsi="Arial" w:cs="Arial"/>
            <w:color w:val="auto"/>
          </w:rPr>
          <w:t>https://stories.hilton.com/history</w:t>
        </w:r>
      </w:hyperlink>
      <w:r w:rsidRPr="008F5128">
        <w:rPr>
          <w:rFonts w:ascii="Arial" w:hAnsi="Arial" w:cs="Arial"/>
        </w:rPr>
        <w:t>.</w:t>
      </w:r>
    </w:p>
    <w:p w14:paraId="3199B4D6" w14:textId="0F356D4D" w:rsidR="008F5128" w:rsidRPr="008F5128" w:rsidRDefault="008F5128" w:rsidP="008F5128">
      <w:pPr>
        <w:pStyle w:val="NormalWeb"/>
        <w:spacing w:before="0" w:beforeAutospacing="0" w:after="0" w:afterAutospacing="0" w:line="360" w:lineRule="auto"/>
        <w:jc w:val="both"/>
        <w:rPr>
          <w:rFonts w:ascii="Arial" w:hAnsi="Arial" w:cs="Arial"/>
        </w:rPr>
      </w:pPr>
      <w:r w:rsidRPr="008F5128">
        <w:rPr>
          <w:rFonts w:ascii="Arial" w:hAnsi="Arial" w:cs="Arial"/>
        </w:rPr>
        <w:t>Johnston, I. (2023). </w:t>
      </w:r>
      <w:r w:rsidRPr="008F5128">
        <w:rPr>
          <w:rFonts w:ascii="Arial" w:hAnsi="Arial" w:cs="Arial"/>
          <w:i/>
          <w:iCs/>
        </w:rPr>
        <w:t>Council Post: How Is Gen Z Reshaping Hospitality And Travel?</w:t>
      </w:r>
      <w:r w:rsidRPr="008F5128">
        <w:rPr>
          <w:rFonts w:ascii="Arial" w:hAnsi="Arial" w:cs="Arial"/>
        </w:rPr>
        <w:t> [online] Forbes. Available at: https://www.forbes.com/sites/forbesagencycouncil/2023/11/30/how-is-gen-z-reshaping-hospitality-and-travel/?sh=2fa5233bbce0 [Accessed 4 Mar. 2024].</w:t>
      </w:r>
    </w:p>
    <w:p w14:paraId="43543535" w14:textId="77777777" w:rsidR="008F5128" w:rsidRPr="008F5128" w:rsidRDefault="008F5128" w:rsidP="008F5128">
      <w:pPr>
        <w:pStyle w:val="NormalWeb"/>
        <w:spacing w:before="0" w:beforeAutospacing="0" w:after="0" w:afterAutospacing="0" w:line="360" w:lineRule="auto"/>
        <w:jc w:val="both"/>
        <w:rPr>
          <w:rFonts w:ascii="Arial" w:hAnsi="Arial" w:cs="Arial"/>
        </w:rPr>
      </w:pPr>
    </w:p>
    <w:p w14:paraId="3667DCB8" w14:textId="39F74F06" w:rsidR="00193C85" w:rsidRPr="008F5128" w:rsidRDefault="00193C85" w:rsidP="008F5128">
      <w:pPr>
        <w:pStyle w:val="NormalWeb"/>
        <w:spacing w:before="0" w:beforeAutospacing="0" w:after="0" w:afterAutospacing="0" w:line="360" w:lineRule="auto"/>
        <w:jc w:val="both"/>
        <w:rPr>
          <w:rFonts w:ascii="Arial" w:hAnsi="Arial" w:cs="Arial"/>
        </w:rPr>
      </w:pPr>
      <w:r w:rsidRPr="008F5128">
        <w:rPr>
          <w:rFonts w:ascii="Arial" w:hAnsi="Arial" w:cs="Arial"/>
        </w:rPr>
        <w:t>Lund, S., Madgavkar, A., Manyika, J., Smit, S., Ellingrud, K. and Robinson, O. (2021). </w:t>
      </w:r>
      <w:r w:rsidRPr="008F5128">
        <w:rPr>
          <w:rFonts w:ascii="Arial" w:hAnsi="Arial" w:cs="Arial"/>
          <w:i/>
          <w:iCs/>
        </w:rPr>
        <w:t>The Future of Work after COVID-19</w:t>
      </w:r>
      <w:r w:rsidRPr="008F5128">
        <w:rPr>
          <w:rFonts w:ascii="Arial" w:hAnsi="Arial" w:cs="Arial"/>
        </w:rPr>
        <w:t xml:space="preserve">. [online] www.mckinsey.com. Available at: </w:t>
      </w:r>
      <w:hyperlink r:id="rId9" w:history="1">
        <w:r w:rsidRPr="008F5128">
          <w:rPr>
            <w:rStyle w:val="Hyperlink"/>
            <w:rFonts w:ascii="Arial" w:hAnsi="Arial" w:cs="Arial"/>
            <w:color w:val="auto"/>
          </w:rPr>
          <w:t>https://www.mckinsey.com/featured-insights/future-of-work/the-future-of-work-after-covid-19</w:t>
        </w:r>
      </w:hyperlink>
      <w:r w:rsidRPr="008F5128">
        <w:rPr>
          <w:rFonts w:ascii="Arial" w:hAnsi="Arial" w:cs="Arial"/>
        </w:rPr>
        <w:t>.</w:t>
      </w:r>
    </w:p>
    <w:p w14:paraId="656CC6A9" w14:textId="77777777" w:rsidR="008F5128" w:rsidRPr="008F5128" w:rsidRDefault="008F5128" w:rsidP="008F5128">
      <w:pPr>
        <w:pStyle w:val="NormalWeb"/>
        <w:spacing w:before="0" w:beforeAutospacing="0" w:after="0" w:afterAutospacing="0" w:line="360" w:lineRule="auto"/>
        <w:jc w:val="both"/>
        <w:rPr>
          <w:rFonts w:ascii="Arial" w:hAnsi="Arial" w:cs="Arial"/>
        </w:rPr>
      </w:pPr>
    </w:p>
    <w:p w14:paraId="4D9F19D0" w14:textId="3FD0D5E1" w:rsidR="008F5128" w:rsidRPr="008F5128" w:rsidRDefault="008F5128" w:rsidP="008F5128">
      <w:pPr>
        <w:pStyle w:val="NormalWeb"/>
        <w:spacing w:before="0" w:beforeAutospacing="0" w:after="0" w:afterAutospacing="0" w:line="360" w:lineRule="auto"/>
        <w:jc w:val="both"/>
        <w:rPr>
          <w:rFonts w:ascii="Arial" w:hAnsi="Arial" w:cs="Arial"/>
        </w:rPr>
      </w:pPr>
      <w:r w:rsidRPr="008F5128">
        <w:rPr>
          <w:rFonts w:ascii="Arial" w:hAnsi="Arial" w:cs="Arial"/>
        </w:rPr>
        <w:t>Marchington, M. and Wilkinson, A. (2016) Human resource management at work. 6th ed. London: Chartered Institute of Personnel and Development.</w:t>
      </w:r>
    </w:p>
    <w:p w14:paraId="410CE03C" w14:textId="77777777" w:rsidR="00193C85" w:rsidRPr="008F5128" w:rsidRDefault="00193C85" w:rsidP="008F5128">
      <w:pPr>
        <w:pStyle w:val="NormalWeb"/>
        <w:spacing w:before="0" w:beforeAutospacing="0" w:after="0" w:afterAutospacing="0" w:line="360" w:lineRule="auto"/>
        <w:jc w:val="both"/>
        <w:rPr>
          <w:rFonts w:ascii="Arial" w:hAnsi="Arial" w:cs="Arial"/>
        </w:rPr>
      </w:pPr>
    </w:p>
    <w:p w14:paraId="64B0D76D" w14:textId="3AC9F94C" w:rsidR="00193C85" w:rsidRPr="008F5128" w:rsidRDefault="00193C85" w:rsidP="008F5128">
      <w:pPr>
        <w:pStyle w:val="NormalWeb"/>
        <w:spacing w:before="0" w:beforeAutospacing="0" w:after="0" w:afterAutospacing="0" w:line="360" w:lineRule="auto"/>
        <w:jc w:val="both"/>
        <w:rPr>
          <w:rFonts w:ascii="Arial" w:hAnsi="Arial" w:cs="Arial"/>
        </w:rPr>
      </w:pPr>
      <w:r w:rsidRPr="008F5128">
        <w:rPr>
          <w:rFonts w:ascii="Arial" w:hAnsi="Arial" w:cs="Arial"/>
        </w:rPr>
        <w:lastRenderedPageBreak/>
        <w:t>McKinsey (2020). The travel industry turned upside down: Insights, analysis, and actions for travel executives. Available at: https://www.mckinsey.com/~/media/mckinsey/industries/travel%20transport%20and%20logistics/our%20insights/the%20travel%20industry%20turned%20upside%20down%20insights%20analysis%20and%20actions%20for%20travel%20executives/the-travel-industry-turned-upside-down-insights-analysis-and-actions-for-travel-executives.pdf</w:t>
      </w:r>
    </w:p>
    <w:p w14:paraId="3F068696" w14:textId="77777777" w:rsidR="00193C85" w:rsidRPr="008F5128" w:rsidRDefault="00193C85" w:rsidP="008F5128">
      <w:pPr>
        <w:pStyle w:val="NormalWeb"/>
        <w:spacing w:before="0" w:beforeAutospacing="0" w:after="0" w:afterAutospacing="0" w:line="360" w:lineRule="auto"/>
        <w:jc w:val="both"/>
        <w:rPr>
          <w:rFonts w:ascii="Arial" w:hAnsi="Arial" w:cs="Arial"/>
        </w:rPr>
      </w:pPr>
    </w:p>
    <w:p w14:paraId="3F244A30" w14:textId="1C4A8DE6" w:rsidR="00193C85" w:rsidRPr="008F5128" w:rsidRDefault="00193C85" w:rsidP="008F5128">
      <w:pPr>
        <w:pStyle w:val="NormalWeb"/>
        <w:spacing w:before="0" w:beforeAutospacing="0" w:after="0" w:afterAutospacing="0" w:line="360" w:lineRule="auto"/>
        <w:jc w:val="both"/>
        <w:rPr>
          <w:rFonts w:ascii="Arial" w:hAnsi="Arial" w:cs="Arial"/>
        </w:rPr>
      </w:pPr>
      <w:r w:rsidRPr="008F5128">
        <w:rPr>
          <w:rFonts w:ascii="Arial" w:hAnsi="Arial" w:cs="Arial"/>
        </w:rPr>
        <w:t xml:space="preserve">ONS (2024). </w:t>
      </w:r>
      <w:r w:rsidRPr="008F5128">
        <w:rPr>
          <w:rFonts w:ascii="Arial" w:hAnsi="Arial" w:cs="Arial"/>
          <w:i/>
          <w:iCs/>
        </w:rPr>
        <w:t>Labour market overview, UK - Office for National Statistics</w:t>
      </w:r>
      <w:r w:rsidRPr="008F5128">
        <w:rPr>
          <w:rFonts w:ascii="Arial" w:hAnsi="Arial" w:cs="Arial"/>
        </w:rPr>
        <w:t xml:space="preserve">. [online] Available at: </w:t>
      </w:r>
      <w:hyperlink r:id="rId10" w:anchor=":~:text=Payrolled%20employees%20in%20the%20UK" w:history="1">
        <w:r w:rsidRPr="008F5128">
          <w:rPr>
            <w:rStyle w:val="Hyperlink"/>
            <w:rFonts w:ascii="Arial" w:hAnsi="Arial" w:cs="Arial"/>
            <w:color w:val="auto"/>
          </w:rPr>
          <w:t>https://www.ons.gov.uk/employmentandlabourmarket/peopleinwork/employmentandemployeetypes/bulletins/uklabourmarket/february2024#:~:text=Payrolled%20employees%20in%20the%20UK</w:t>
        </w:r>
      </w:hyperlink>
      <w:r w:rsidRPr="008F5128">
        <w:rPr>
          <w:rFonts w:ascii="Arial" w:hAnsi="Arial" w:cs="Arial"/>
        </w:rPr>
        <w:t>.</w:t>
      </w:r>
    </w:p>
    <w:p w14:paraId="4E2E8B22" w14:textId="77777777" w:rsidR="008F5128" w:rsidRPr="008F5128" w:rsidRDefault="008F5128" w:rsidP="008F5128">
      <w:pPr>
        <w:pStyle w:val="NormalWeb"/>
        <w:spacing w:before="0" w:beforeAutospacing="0" w:after="0" w:afterAutospacing="0" w:line="360" w:lineRule="auto"/>
        <w:jc w:val="both"/>
        <w:rPr>
          <w:rFonts w:ascii="Arial" w:hAnsi="Arial" w:cs="Arial"/>
        </w:rPr>
      </w:pPr>
    </w:p>
    <w:p w14:paraId="11165ACD" w14:textId="7E976CBA" w:rsidR="008F5128" w:rsidRPr="008F5128" w:rsidRDefault="008F5128" w:rsidP="008F5128">
      <w:pPr>
        <w:pStyle w:val="NormalWeb"/>
        <w:spacing w:before="0" w:beforeAutospacing="0" w:after="0" w:afterAutospacing="0" w:line="360" w:lineRule="auto"/>
        <w:jc w:val="both"/>
        <w:rPr>
          <w:rFonts w:ascii="Arial" w:hAnsi="Arial" w:cs="Arial"/>
        </w:rPr>
      </w:pPr>
      <w:r w:rsidRPr="008F5128">
        <w:rPr>
          <w:rFonts w:ascii="Arial" w:hAnsi="Arial" w:cs="Arial"/>
          <w:shd w:val="clear" w:color="auto" w:fill="FFFFFF"/>
        </w:rPr>
        <w:t>Prakash, S., Sharma, V.P., Singh, R. and Vijayvargy, L., 2023. Adopting green and sustainable practices in the hotel industry operations-an analysis of critical performance indicators for improved environmental quality. </w:t>
      </w:r>
      <w:r w:rsidRPr="008F5128">
        <w:rPr>
          <w:rFonts w:ascii="Arial" w:hAnsi="Arial" w:cs="Arial"/>
          <w:i/>
          <w:iCs/>
          <w:shd w:val="clear" w:color="auto" w:fill="FFFFFF"/>
        </w:rPr>
        <w:t>Management of Environmental Quality: An International Journal</w:t>
      </w:r>
      <w:r w:rsidRPr="008F5128">
        <w:rPr>
          <w:rFonts w:ascii="Arial" w:hAnsi="Arial" w:cs="Arial"/>
          <w:shd w:val="clear" w:color="auto" w:fill="FFFFFF"/>
        </w:rPr>
        <w:t>, </w:t>
      </w:r>
      <w:r w:rsidRPr="008F5128">
        <w:rPr>
          <w:rFonts w:ascii="Arial" w:hAnsi="Arial" w:cs="Arial"/>
          <w:i/>
          <w:iCs/>
          <w:shd w:val="clear" w:color="auto" w:fill="FFFFFF"/>
        </w:rPr>
        <w:t>34</w:t>
      </w:r>
      <w:r w:rsidRPr="008F5128">
        <w:rPr>
          <w:rFonts w:ascii="Arial" w:hAnsi="Arial" w:cs="Arial"/>
          <w:shd w:val="clear" w:color="auto" w:fill="FFFFFF"/>
        </w:rPr>
        <w:t>(4), pp.1057-1076.</w:t>
      </w:r>
    </w:p>
    <w:p w14:paraId="3E4708E0" w14:textId="77777777" w:rsidR="00193C85" w:rsidRPr="008F5128" w:rsidRDefault="00193C85" w:rsidP="008F5128">
      <w:pPr>
        <w:pStyle w:val="NormalWeb"/>
        <w:spacing w:before="0" w:beforeAutospacing="0" w:after="0" w:afterAutospacing="0" w:line="360" w:lineRule="auto"/>
        <w:jc w:val="both"/>
        <w:rPr>
          <w:rFonts w:ascii="Arial" w:hAnsi="Arial" w:cs="Arial"/>
        </w:rPr>
      </w:pPr>
    </w:p>
    <w:p w14:paraId="7B5E769D" w14:textId="77777777" w:rsidR="00193C85" w:rsidRPr="008F5128" w:rsidRDefault="00193C85" w:rsidP="008F5128">
      <w:pPr>
        <w:pStyle w:val="NormalWeb"/>
        <w:spacing w:before="0" w:beforeAutospacing="0" w:after="0" w:afterAutospacing="0" w:line="360" w:lineRule="auto"/>
        <w:jc w:val="both"/>
        <w:rPr>
          <w:rFonts w:ascii="Arial" w:hAnsi="Arial" w:cs="Arial"/>
        </w:rPr>
      </w:pPr>
      <w:r w:rsidRPr="008F5128">
        <w:rPr>
          <w:rFonts w:ascii="Arial" w:hAnsi="Arial" w:cs="Arial"/>
        </w:rPr>
        <w:t>Shapoval, V., Hägglund, P., Pizam, A., Abraham, V., Carlbäck, M., Nygren, T. and Smith, R.M. (2021). The COVID-19 pandemic effects on the hospitality industry using social systems theory: A multi-country comparison. </w:t>
      </w:r>
      <w:r w:rsidRPr="008F5128">
        <w:rPr>
          <w:rFonts w:ascii="Arial" w:hAnsi="Arial" w:cs="Arial"/>
          <w:i/>
          <w:iCs/>
        </w:rPr>
        <w:t>International Journal of Hospitality Management</w:t>
      </w:r>
      <w:r w:rsidRPr="008F5128">
        <w:rPr>
          <w:rFonts w:ascii="Arial" w:hAnsi="Arial" w:cs="Arial"/>
        </w:rPr>
        <w:t>, 94(102813), p.102813.</w:t>
      </w:r>
    </w:p>
    <w:p w14:paraId="71F958CC" w14:textId="35FE3844" w:rsidR="00193C85" w:rsidRPr="008F5128" w:rsidRDefault="00193C85" w:rsidP="008F5128">
      <w:pPr>
        <w:pStyle w:val="NormalWeb"/>
        <w:spacing w:line="360" w:lineRule="auto"/>
        <w:jc w:val="both"/>
        <w:rPr>
          <w:rFonts w:ascii="Arial" w:hAnsi="Arial" w:cs="Arial"/>
        </w:rPr>
      </w:pPr>
      <w:r w:rsidRPr="008F5128">
        <w:rPr>
          <w:rFonts w:ascii="Arial" w:hAnsi="Arial" w:cs="Arial"/>
        </w:rPr>
        <w:t>‌Torrington, D, Hall, L, Atkinson, C, &amp; Taylor, S (2020), Human Resource Management PDF EBook, Pearson Education, Limited, Harlow. Available from: ProQuest Ebook Central.</w:t>
      </w:r>
    </w:p>
    <w:p w14:paraId="46B63A1F" w14:textId="77777777" w:rsidR="00193C85" w:rsidRPr="008F5128" w:rsidRDefault="00193C85" w:rsidP="008F5128">
      <w:pPr>
        <w:pStyle w:val="NormalWeb"/>
        <w:spacing w:before="0" w:beforeAutospacing="0" w:after="0" w:afterAutospacing="0" w:line="360" w:lineRule="auto"/>
        <w:jc w:val="both"/>
        <w:rPr>
          <w:rFonts w:ascii="Arial" w:hAnsi="Arial" w:cs="Arial"/>
        </w:rPr>
      </w:pPr>
    </w:p>
    <w:p w14:paraId="6E3EF91D" w14:textId="77777777" w:rsidR="00193C85" w:rsidRPr="008F5128" w:rsidRDefault="00193C85" w:rsidP="008F5128">
      <w:pPr>
        <w:pStyle w:val="NormalWeb"/>
        <w:spacing w:line="360" w:lineRule="auto"/>
        <w:jc w:val="both"/>
        <w:rPr>
          <w:rFonts w:ascii="Arial" w:hAnsi="Arial" w:cs="Arial"/>
        </w:rPr>
      </w:pPr>
      <w:r w:rsidRPr="008F5128">
        <w:rPr>
          <w:rFonts w:ascii="Arial" w:hAnsi="Arial" w:cs="Arial"/>
        </w:rPr>
        <w:t>‌</w:t>
      </w:r>
    </w:p>
    <w:p w14:paraId="1E1EBC7A" w14:textId="00E7BA09" w:rsidR="00193C85" w:rsidRPr="008F5128" w:rsidRDefault="00193C85" w:rsidP="008F5128">
      <w:pPr>
        <w:pStyle w:val="NormalWeb"/>
        <w:spacing w:line="360" w:lineRule="auto"/>
        <w:jc w:val="both"/>
        <w:rPr>
          <w:rFonts w:ascii="Arial" w:hAnsi="Arial" w:cs="Arial"/>
        </w:rPr>
      </w:pPr>
    </w:p>
    <w:p w14:paraId="1D0C9B6A" w14:textId="77777777" w:rsidR="000047EB" w:rsidRPr="008F5128" w:rsidRDefault="000047EB" w:rsidP="008F5128">
      <w:pPr>
        <w:pStyle w:val="NormalWeb"/>
        <w:spacing w:line="360" w:lineRule="auto"/>
        <w:jc w:val="both"/>
        <w:rPr>
          <w:rFonts w:ascii="Arial" w:hAnsi="Arial" w:cs="Arial"/>
        </w:rPr>
      </w:pPr>
      <w:r w:rsidRPr="008F5128">
        <w:rPr>
          <w:rFonts w:ascii="Arial" w:hAnsi="Arial" w:cs="Arial"/>
        </w:rPr>
        <w:t>‌</w:t>
      </w:r>
    </w:p>
    <w:p w14:paraId="4BF5FCCC" w14:textId="27A05C0B" w:rsidR="00035837" w:rsidRPr="00035837" w:rsidRDefault="00035837" w:rsidP="008F5128">
      <w:pPr>
        <w:spacing w:after="0" w:line="360" w:lineRule="auto"/>
        <w:jc w:val="both"/>
        <w:rPr>
          <w:rFonts w:ascii="Arial" w:eastAsia="Times New Roman" w:hAnsi="Arial" w:cs="Arial"/>
          <w:kern w:val="0"/>
          <w:sz w:val="24"/>
          <w:szCs w:val="24"/>
          <w:lang w:eastAsia="en-GB"/>
          <w14:ligatures w14:val="none"/>
        </w:rPr>
      </w:pPr>
    </w:p>
    <w:p w14:paraId="670F4B45" w14:textId="77777777" w:rsidR="00035837" w:rsidRPr="008F5128" w:rsidRDefault="00035837" w:rsidP="008F5128">
      <w:pPr>
        <w:spacing w:line="360" w:lineRule="auto"/>
        <w:jc w:val="both"/>
        <w:rPr>
          <w:rFonts w:ascii="Arial" w:hAnsi="Arial" w:cs="Arial"/>
          <w:sz w:val="24"/>
          <w:szCs w:val="24"/>
          <w:lang w:eastAsia="en-GB"/>
        </w:rPr>
      </w:pPr>
    </w:p>
    <w:sectPr w:rsidR="00035837" w:rsidRPr="008F512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9D556" w14:textId="77777777" w:rsidR="00905C74" w:rsidRDefault="00905C74" w:rsidP="00906684">
      <w:pPr>
        <w:spacing w:after="0" w:line="240" w:lineRule="auto"/>
      </w:pPr>
      <w:r>
        <w:separator/>
      </w:r>
    </w:p>
  </w:endnote>
  <w:endnote w:type="continuationSeparator" w:id="0">
    <w:p w14:paraId="1A994B41" w14:textId="77777777" w:rsidR="00905C74" w:rsidRDefault="00905C74" w:rsidP="00906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749486"/>
      <w:docPartObj>
        <w:docPartGallery w:val="Page Numbers (Bottom of Page)"/>
        <w:docPartUnique/>
      </w:docPartObj>
    </w:sdtPr>
    <w:sdtContent>
      <w:sdt>
        <w:sdtPr>
          <w:id w:val="-1769616900"/>
          <w:docPartObj>
            <w:docPartGallery w:val="Page Numbers (Top of Page)"/>
            <w:docPartUnique/>
          </w:docPartObj>
        </w:sdtPr>
        <w:sdtContent>
          <w:p w14:paraId="3418B509" w14:textId="399C35D0" w:rsidR="00906684" w:rsidRDefault="0090668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B3102D" w14:textId="77777777" w:rsidR="00906684" w:rsidRDefault="00906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30CE8" w14:textId="77777777" w:rsidR="00905C74" w:rsidRDefault="00905C74" w:rsidP="00906684">
      <w:pPr>
        <w:spacing w:after="0" w:line="240" w:lineRule="auto"/>
      </w:pPr>
      <w:r>
        <w:separator/>
      </w:r>
    </w:p>
  </w:footnote>
  <w:footnote w:type="continuationSeparator" w:id="0">
    <w:p w14:paraId="6D8D8819" w14:textId="77777777" w:rsidR="00905C74" w:rsidRDefault="00905C74" w:rsidP="00906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BDE"/>
    <w:multiLevelType w:val="hybridMultilevel"/>
    <w:tmpl w:val="DE78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567EA"/>
    <w:multiLevelType w:val="hybridMultilevel"/>
    <w:tmpl w:val="9F7E3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D18C3"/>
    <w:multiLevelType w:val="hybridMultilevel"/>
    <w:tmpl w:val="365E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11964"/>
    <w:multiLevelType w:val="hybridMultilevel"/>
    <w:tmpl w:val="AA3E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40C8B"/>
    <w:multiLevelType w:val="hybridMultilevel"/>
    <w:tmpl w:val="A1DE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67A01"/>
    <w:multiLevelType w:val="hybridMultilevel"/>
    <w:tmpl w:val="EC4E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93C0D"/>
    <w:multiLevelType w:val="hybridMultilevel"/>
    <w:tmpl w:val="0D7C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273371">
    <w:abstractNumId w:val="5"/>
  </w:num>
  <w:num w:numId="2" w16cid:durableId="1095439547">
    <w:abstractNumId w:val="0"/>
  </w:num>
  <w:num w:numId="3" w16cid:durableId="837962463">
    <w:abstractNumId w:val="2"/>
  </w:num>
  <w:num w:numId="4" w16cid:durableId="1862282449">
    <w:abstractNumId w:val="1"/>
  </w:num>
  <w:num w:numId="5" w16cid:durableId="930166142">
    <w:abstractNumId w:val="4"/>
  </w:num>
  <w:num w:numId="6" w16cid:durableId="158546208">
    <w:abstractNumId w:val="3"/>
  </w:num>
  <w:num w:numId="7" w16cid:durableId="403737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684"/>
    <w:rsid w:val="000047EB"/>
    <w:rsid w:val="00035837"/>
    <w:rsid w:val="00037AA0"/>
    <w:rsid w:val="00185A3B"/>
    <w:rsid w:val="00193C85"/>
    <w:rsid w:val="005B3D68"/>
    <w:rsid w:val="00735E15"/>
    <w:rsid w:val="007B0CC3"/>
    <w:rsid w:val="007B720D"/>
    <w:rsid w:val="008F5128"/>
    <w:rsid w:val="00905C74"/>
    <w:rsid w:val="00906684"/>
    <w:rsid w:val="009A64EA"/>
    <w:rsid w:val="00B10FC8"/>
    <w:rsid w:val="00B151A8"/>
    <w:rsid w:val="00B64BE5"/>
    <w:rsid w:val="00C82D1F"/>
    <w:rsid w:val="00E82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12E0"/>
  <w15:chartTrackingRefBased/>
  <w15:docId w15:val="{DBA66BBF-38C6-4BB5-8B8A-84246A73E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684"/>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0668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6684"/>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684"/>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684"/>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684"/>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684"/>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684"/>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684"/>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066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66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6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6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6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6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6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684"/>
    <w:rPr>
      <w:rFonts w:eastAsiaTheme="majorEastAsia" w:cstheme="majorBidi"/>
      <w:color w:val="272727" w:themeColor="text1" w:themeTint="D8"/>
    </w:rPr>
  </w:style>
  <w:style w:type="paragraph" w:styleId="Title">
    <w:name w:val="Title"/>
    <w:basedOn w:val="Normal"/>
    <w:next w:val="Normal"/>
    <w:link w:val="TitleChar"/>
    <w:uiPriority w:val="10"/>
    <w:qFormat/>
    <w:rsid w:val="009066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6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684"/>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6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684"/>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906684"/>
    <w:rPr>
      <w:i/>
      <w:iCs/>
      <w:color w:val="404040" w:themeColor="text1" w:themeTint="BF"/>
    </w:rPr>
  </w:style>
  <w:style w:type="paragraph" w:styleId="ListParagraph">
    <w:name w:val="List Paragraph"/>
    <w:basedOn w:val="Normal"/>
    <w:uiPriority w:val="34"/>
    <w:qFormat/>
    <w:rsid w:val="00906684"/>
    <w:pPr>
      <w:spacing w:line="259" w:lineRule="auto"/>
      <w:ind w:left="720"/>
      <w:contextualSpacing/>
    </w:pPr>
  </w:style>
  <w:style w:type="character" w:styleId="IntenseEmphasis">
    <w:name w:val="Intense Emphasis"/>
    <w:basedOn w:val="DefaultParagraphFont"/>
    <w:uiPriority w:val="21"/>
    <w:qFormat/>
    <w:rsid w:val="00906684"/>
    <w:rPr>
      <w:i/>
      <w:iCs/>
      <w:color w:val="0F4761" w:themeColor="accent1" w:themeShade="BF"/>
    </w:rPr>
  </w:style>
  <w:style w:type="paragraph" w:styleId="IntenseQuote">
    <w:name w:val="Intense Quote"/>
    <w:basedOn w:val="Normal"/>
    <w:next w:val="Normal"/>
    <w:link w:val="IntenseQuoteChar"/>
    <w:uiPriority w:val="30"/>
    <w:qFormat/>
    <w:rsid w:val="0090668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684"/>
    <w:rPr>
      <w:i/>
      <w:iCs/>
      <w:color w:val="0F4761" w:themeColor="accent1" w:themeShade="BF"/>
    </w:rPr>
  </w:style>
  <w:style w:type="character" w:styleId="IntenseReference">
    <w:name w:val="Intense Reference"/>
    <w:basedOn w:val="DefaultParagraphFont"/>
    <w:uiPriority w:val="32"/>
    <w:qFormat/>
    <w:rsid w:val="00906684"/>
    <w:rPr>
      <w:b/>
      <w:bCs/>
      <w:smallCaps/>
      <w:color w:val="0F4761" w:themeColor="accent1" w:themeShade="BF"/>
      <w:spacing w:val="5"/>
    </w:rPr>
  </w:style>
  <w:style w:type="paragraph" w:styleId="Header">
    <w:name w:val="header"/>
    <w:basedOn w:val="Normal"/>
    <w:link w:val="HeaderChar"/>
    <w:uiPriority w:val="99"/>
    <w:unhideWhenUsed/>
    <w:rsid w:val="00906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684"/>
  </w:style>
  <w:style w:type="paragraph" w:styleId="Footer">
    <w:name w:val="footer"/>
    <w:basedOn w:val="Normal"/>
    <w:link w:val="FooterChar"/>
    <w:uiPriority w:val="99"/>
    <w:unhideWhenUsed/>
    <w:rsid w:val="00906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684"/>
  </w:style>
  <w:style w:type="paragraph" w:styleId="TOCHeading">
    <w:name w:val="TOC Heading"/>
    <w:basedOn w:val="Heading1"/>
    <w:next w:val="Normal"/>
    <w:uiPriority w:val="39"/>
    <w:unhideWhenUsed/>
    <w:qFormat/>
    <w:rsid w:val="000047EB"/>
    <w:pPr>
      <w:outlineLvl w:val="9"/>
    </w:pPr>
    <w:rPr>
      <w:kern w:val="0"/>
      <w:lang w:val="en-US"/>
      <w14:ligatures w14:val="none"/>
    </w:rPr>
  </w:style>
  <w:style w:type="paragraph" w:styleId="TOC1">
    <w:name w:val="toc 1"/>
    <w:basedOn w:val="Normal"/>
    <w:next w:val="Normal"/>
    <w:autoRedefine/>
    <w:uiPriority w:val="39"/>
    <w:unhideWhenUsed/>
    <w:rsid w:val="000047EB"/>
    <w:pPr>
      <w:spacing w:after="100"/>
    </w:pPr>
  </w:style>
  <w:style w:type="character" w:styleId="Hyperlink">
    <w:name w:val="Hyperlink"/>
    <w:basedOn w:val="DefaultParagraphFont"/>
    <w:uiPriority w:val="99"/>
    <w:unhideWhenUsed/>
    <w:rsid w:val="000047EB"/>
    <w:rPr>
      <w:color w:val="467886" w:themeColor="hyperlink"/>
      <w:u w:val="single"/>
    </w:rPr>
  </w:style>
  <w:style w:type="paragraph" w:styleId="NormalWeb">
    <w:name w:val="Normal (Web)"/>
    <w:basedOn w:val="Normal"/>
    <w:uiPriority w:val="99"/>
    <w:semiHidden/>
    <w:unhideWhenUsed/>
    <w:rsid w:val="000047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93C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3344">
      <w:bodyDiv w:val="1"/>
      <w:marLeft w:val="0"/>
      <w:marRight w:val="0"/>
      <w:marTop w:val="0"/>
      <w:marBottom w:val="0"/>
      <w:divBdr>
        <w:top w:val="none" w:sz="0" w:space="0" w:color="auto"/>
        <w:left w:val="none" w:sz="0" w:space="0" w:color="auto"/>
        <w:bottom w:val="none" w:sz="0" w:space="0" w:color="auto"/>
        <w:right w:val="none" w:sz="0" w:space="0" w:color="auto"/>
      </w:divBdr>
    </w:div>
    <w:div w:id="285698638">
      <w:bodyDiv w:val="1"/>
      <w:marLeft w:val="0"/>
      <w:marRight w:val="0"/>
      <w:marTop w:val="0"/>
      <w:marBottom w:val="0"/>
      <w:divBdr>
        <w:top w:val="none" w:sz="0" w:space="0" w:color="auto"/>
        <w:left w:val="none" w:sz="0" w:space="0" w:color="auto"/>
        <w:bottom w:val="none" w:sz="0" w:space="0" w:color="auto"/>
        <w:right w:val="none" w:sz="0" w:space="0" w:color="auto"/>
      </w:divBdr>
    </w:div>
    <w:div w:id="299386445">
      <w:bodyDiv w:val="1"/>
      <w:marLeft w:val="0"/>
      <w:marRight w:val="0"/>
      <w:marTop w:val="0"/>
      <w:marBottom w:val="0"/>
      <w:divBdr>
        <w:top w:val="none" w:sz="0" w:space="0" w:color="auto"/>
        <w:left w:val="none" w:sz="0" w:space="0" w:color="auto"/>
        <w:bottom w:val="none" w:sz="0" w:space="0" w:color="auto"/>
        <w:right w:val="none" w:sz="0" w:space="0" w:color="auto"/>
      </w:divBdr>
    </w:div>
    <w:div w:id="330908416">
      <w:bodyDiv w:val="1"/>
      <w:marLeft w:val="0"/>
      <w:marRight w:val="0"/>
      <w:marTop w:val="0"/>
      <w:marBottom w:val="0"/>
      <w:divBdr>
        <w:top w:val="none" w:sz="0" w:space="0" w:color="auto"/>
        <w:left w:val="none" w:sz="0" w:space="0" w:color="auto"/>
        <w:bottom w:val="none" w:sz="0" w:space="0" w:color="auto"/>
        <w:right w:val="none" w:sz="0" w:space="0" w:color="auto"/>
      </w:divBdr>
    </w:div>
    <w:div w:id="523983703">
      <w:bodyDiv w:val="1"/>
      <w:marLeft w:val="0"/>
      <w:marRight w:val="0"/>
      <w:marTop w:val="0"/>
      <w:marBottom w:val="0"/>
      <w:divBdr>
        <w:top w:val="none" w:sz="0" w:space="0" w:color="auto"/>
        <w:left w:val="none" w:sz="0" w:space="0" w:color="auto"/>
        <w:bottom w:val="none" w:sz="0" w:space="0" w:color="auto"/>
        <w:right w:val="none" w:sz="0" w:space="0" w:color="auto"/>
      </w:divBdr>
    </w:div>
    <w:div w:id="546337837">
      <w:bodyDiv w:val="1"/>
      <w:marLeft w:val="0"/>
      <w:marRight w:val="0"/>
      <w:marTop w:val="0"/>
      <w:marBottom w:val="0"/>
      <w:divBdr>
        <w:top w:val="none" w:sz="0" w:space="0" w:color="auto"/>
        <w:left w:val="none" w:sz="0" w:space="0" w:color="auto"/>
        <w:bottom w:val="none" w:sz="0" w:space="0" w:color="auto"/>
        <w:right w:val="none" w:sz="0" w:space="0" w:color="auto"/>
      </w:divBdr>
    </w:div>
    <w:div w:id="788475006">
      <w:bodyDiv w:val="1"/>
      <w:marLeft w:val="0"/>
      <w:marRight w:val="0"/>
      <w:marTop w:val="0"/>
      <w:marBottom w:val="0"/>
      <w:divBdr>
        <w:top w:val="none" w:sz="0" w:space="0" w:color="auto"/>
        <w:left w:val="none" w:sz="0" w:space="0" w:color="auto"/>
        <w:bottom w:val="none" w:sz="0" w:space="0" w:color="auto"/>
        <w:right w:val="none" w:sz="0" w:space="0" w:color="auto"/>
      </w:divBdr>
    </w:div>
    <w:div w:id="869494393">
      <w:bodyDiv w:val="1"/>
      <w:marLeft w:val="0"/>
      <w:marRight w:val="0"/>
      <w:marTop w:val="0"/>
      <w:marBottom w:val="0"/>
      <w:divBdr>
        <w:top w:val="none" w:sz="0" w:space="0" w:color="auto"/>
        <w:left w:val="none" w:sz="0" w:space="0" w:color="auto"/>
        <w:bottom w:val="none" w:sz="0" w:space="0" w:color="auto"/>
        <w:right w:val="none" w:sz="0" w:space="0" w:color="auto"/>
      </w:divBdr>
    </w:div>
    <w:div w:id="911038332">
      <w:bodyDiv w:val="1"/>
      <w:marLeft w:val="0"/>
      <w:marRight w:val="0"/>
      <w:marTop w:val="0"/>
      <w:marBottom w:val="0"/>
      <w:divBdr>
        <w:top w:val="none" w:sz="0" w:space="0" w:color="auto"/>
        <w:left w:val="none" w:sz="0" w:space="0" w:color="auto"/>
        <w:bottom w:val="none" w:sz="0" w:space="0" w:color="auto"/>
        <w:right w:val="none" w:sz="0" w:space="0" w:color="auto"/>
      </w:divBdr>
    </w:div>
    <w:div w:id="1009989861">
      <w:bodyDiv w:val="1"/>
      <w:marLeft w:val="0"/>
      <w:marRight w:val="0"/>
      <w:marTop w:val="0"/>
      <w:marBottom w:val="0"/>
      <w:divBdr>
        <w:top w:val="none" w:sz="0" w:space="0" w:color="auto"/>
        <w:left w:val="none" w:sz="0" w:space="0" w:color="auto"/>
        <w:bottom w:val="none" w:sz="0" w:space="0" w:color="auto"/>
        <w:right w:val="none" w:sz="0" w:space="0" w:color="auto"/>
      </w:divBdr>
    </w:div>
    <w:div w:id="1020467479">
      <w:bodyDiv w:val="1"/>
      <w:marLeft w:val="0"/>
      <w:marRight w:val="0"/>
      <w:marTop w:val="0"/>
      <w:marBottom w:val="0"/>
      <w:divBdr>
        <w:top w:val="none" w:sz="0" w:space="0" w:color="auto"/>
        <w:left w:val="none" w:sz="0" w:space="0" w:color="auto"/>
        <w:bottom w:val="none" w:sz="0" w:space="0" w:color="auto"/>
        <w:right w:val="none" w:sz="0" w:space="0" w:color="auto"/>
      </w:divBdr>
    </w:div>
    <w:div w:id="1026515734">
      <w:bodyDiv w:val="1"/>
      <w:marLeft w:val="0"/>
      <w:marRight w:val="0"/>
      <w:marTop w:val="0"/>
      <w:marBottom w:val="0"/>
      <w:divBdr>
        <w:top w:val="none" w:sz="0" w:space="0" w:color="auto"/>
        <w:left w:val="none" w:sz="0" w:space="0" w:color="auto"/>
        <w:bottom w:val="none" w:sz="0" w:space="0" w:color="auto"/>
        <w:right w:val="none" w:sz="0" w:space="0" w:color="auto"/>
      </w:divBdr>
    </w:div>
    <w:div w:id="1046560651">
      <w:bodyDiv w:val="1"/>
      <w:marLeft w:val="0"/>
      <w:marRight w:val="0"/>
      <w:marTop w:val="0"/>
      <w:marBottom w:val="0"/>
      <w:divBdr>
        <w:top w:val="none" w:sz="0" w:space="0" w:color="auto"/>
        <w:left w:val="none" w:sz="0" w:space="0" w:color="auto"/>
        <w:bottom w:val="none" w:sz="0" w:space="0" w:color="auto"/>
        <w:right w:val="none" w:sz="0" w:space="0" w:color="auto"/>
      </w:divBdr>
    </w:div>
    <w:div w:id="1070687097">
      <w:bodyDiv w:val="1"/>
      <w:marLeft w:val="0"/>
      <w:marRight w:val="0"/>
      <w:marTop w:val="0"/>
      <w:marBottom w:val="0"/>
      <w:divBdr>
        <w:top w:val="none" w:sz="0" w:space="0" w:color="auto"/>
        <w:left w:val="none" w:sz="0" w:space="0" w:color="auto"/>
        <w:bottom w:val="none" w:sz="0" w:space="0" w:color="auto"/>
        <w:right w:val="none" w:sz="0" w:space="0" w:color="auto"/>
      </w:divBdr>
    </w:div>
    <w:div w:id="1155530951">
      <w:bodyDiv w:val="1"/>
      <w:marLeft w:val="0"/>
      <w:marRight w:val="0"/>
      <w:marTop w:val="0"/>
      <w:marBottom w:val="0"/>
      <w:divBdr>
        <w:top w:val="none" w:sz="0" w:space="0" w:color="auto"/>
        <w:left w:val="none" w:sz="0" w:space="0" w:color="auto"/>
        <w:bottom w:val="none" w:sz="0" w:space="0" w:color="auto"/>
        <w:right w:val="none" w:sz="0" w:space="0" w:color="auto"/>
      </w:divBdr>
    </w:div>
    <w:div w:id="1166242322">
      <w:bodyDiv w:val="1"/>
      <w:marLeft w:val="0"/>
      <w:marRight w:val="0"/>
      <w:marTop w:val="0"/>
      <w:marBottom w:val="0"/>
      <w:divBdr>
        <w:top w:val="none" w:sz="0" w:space="0" w:color="auto"/>
        <w:left w:val="none" w:sz="0" w:space="0" w:color="auto"/>
        <w:bottom w:val="none" w:sz="0" w:space="0" w:color="auto"/>
        <w:right w:val="none" w:sz="0" w:space="0" w:color="auto"/>
      </w:divBdr>
    </w:div>
    <w:div w:id="1333334741">
      <w:bodyDiv w:val="1"/>
      <w:marLeft w:val="0"/>
      <w:marRight w:val="0"/>
      <w:marTop w:val="0"/>
      <w:marBottom w:val="0"/>
      <w:divBdr>
        <w:top w:val="none" w:sz="0" w:space="0" w:color="auto"/>
        <w:left w:val="none" w:sz="0" w:space="0" w:color="auto"/>
        <w:bottom w:val="none" w:sz="0" w:space="0" w:color="auto"/>
        <w:right w:val="none" w:sz="0" w:space="0" w:color="auto"/>
      </w:divBdr>
    </w:div>
    <w:div w:id="1340893367">
      <w:bodyDiv w:val="1"/>
      <w:marLeft w:val="0"/>
      <w:marRight w:val="0"/>
      <w:marTop w:val="0"/>
      <w:marBottom w:val="0"/>
      <w:divBdr>
        <w:top w:val="none" w:sz="0" w:space="0" w:color="auto"/>
        <w:left w:val="none" w:sz="0" w:space="0" w:color="auto"/>
        <w:bottom w:val="none" w:sz="0" w:space="0" w:color="auto"/>
        <w:right w:val="none" w:sz="0" w:space="0" w:color="auto"/>
      </w:divBdr>
    </w:div>
    <w:div w:id="1344864523">
      <w:bodyDiv w:val="1"/>
      <w:marLeft w:val="0"/>
      <w:marRight w:val="0"/>
      <w:marTop w:val="0"/>
      <w:marBottom w:val="0"/>
      <w:divBdr>
        <w:top w:val="none" w:sz="0" w:space="0" w:color="auto"/>
        <w:left w:val="none" w:sz="0" w:space="0" w:color="auto"/>
        <w:bottom w:val="none" w:sz="0" w:space="0" w:color="auto"/>
        <w:right w:val="none" w:sz="0" w:space="0" w:color="auto"/>
      </w:divBdr>
    </w:div>
    <w:div w:id="1347901970">
      <w:bodyDiv w:val="1"/>
      <w:marLeft w:val="0"/>
      <w:marRight w:val="0"/>
      <w:marTop w:val="0"/>
      <w:marBottom w:val="0"/>
      <w:divBdr>
        <w:top w:val="none" w:sz="0" w:space="0" w:color="auto"/>
        <w:left w:val="none" w:sz="0" w:space="0" w:color="auto"/>
        <w:bottom w:val="none" w:sz="0" w:space="0" w:color="auto"/>
        <w:right w:val="none" w:sz="0" w:space="0" w:color="auto"/>
      </w:divBdr>
    </w:div>
    <w:div w:id="1411194815">
      <w:bodyDiv w:val="1"/>
      <w:marLeft w:val="0"/>
      <w:marRight w:val="0"/>
      <w:marTop w:val="0"/>
      <w:marBottom w:val="0"/>
      <w:divBdr>
        <w:top w:val="none" w:sz="0" w:space="0" w:color="auto"/>
        <w:left w:val="none" w:sz="0" w:space="0" w:color="auto"/>
        <w:bottom w:val="none" w:sz="0" w:space="0" w:color="auto"/>
        <w:right w:val="none" w:sz="0" w:space="0" w:color="auto"/>
      </w:divBdr>
    </w:div>
    <w:div w:id="1426535715">
      <w:bodyDiv w:val="1"/>
      <w:marLeft w:val="0"/>
      <w:marRight w:val="0"/>
      <w:marTop w:val="0"/>
      <w:marBottom w:val="0"/>
      <w:divBdr>
        <w:top w:val="none" w:sz="0" w:space="0" w:color="auto"/>
        <w:left w:val="none" w:sz="0" w:space="0" w:color="auto"/>
        <w:bottom w:val="none" w:sz="0" w:space="0" w:color="auto"/>
        <w:right w:val="none" w:sz="0" w:space="0" w:color="auto"/>
      </w:divBdr>
    </w:div>
    <w:div w:id="1450271355">
      <w:bodyDiv w:val="1"/>
      <w:marLeft w:val="0"/>
      <w:marRight w:val="0"/>
      <w:marTop w:val="0"/>
      <w:marBottom w:val="0"/>
      <w:divBdr>
        <w:top w:val="none" w:sz="0" w:space="0" w:color="auto"/>
        <w:left w:val="none" w:sz="0" w:space="0" w:color="auto"/>
        <w:bottom w:val="none" w:sz="0" w:space="0" w:color="auto"/>
        <w:right w:val="none" w:sz="0" w:space="0" w:color="auto"/>
      </w:divBdr>
    </w:div>
    <w:div w:id="1475489062">
      <w:bodyDiv w:val="1"/>
      <w:marLeft w:val="0"/>
      <w:marRight w:val="0"/>
      <w:marTop w:val="0"/>
      <w:marBottom w:val="0"/>
      <w:divBdr>
        <w:top w:val="none" w:sz="0" w:space="0" w:color="auto"/>
        <w:left w:val="none" w:sz="0" w:space="0" w:color="auto"/>
        <w:bottom w:val="none" w:sz="0" w:space="0" w:color="auto"/>
        <w:right w:val="none" w:sz="0" w:space="0" w:color="auto"/>
      </w:divBdr>
    </w:div>
    <w:div w:id="1486509638">
      <w:bodyDiv w:val="1"/>
      <w:marLeft w:val="0"/>
      <w:marRight w:val="0"/>
      <w:marTop w:val="0"/>
      <w:marBottom w:val="0"/>
      <w:divBdr>
        <w:top w:val="none" w:sz="0" w:space="0" w:color="auto"/>
        <w:left w:val="none" w:sz="0" w:space="0" w:color="auto"/>
        <w:bottom w:val="none" w:sz="0" w:space="0" w:color="auto"/>
        <w:right w:val="none" w:sz="0" w:space="0" w:color="auto"/>
      </w:divBdr>
    </w:div>
    <w:div w:id="1552811665">
      <w:bodyDiv w:val="1"/>
      <w:marLeft w:val="0"/>
      <w:marRight w:val="0"/>
      <w:marTop w:val="0"/>
      <w:marBottom w:val="0"/>
      <w:divBdr>
        <w:top w:val="none" w:sz="0" w:space="0" w:color="auto"/>
        <w:left w:val="none" w:sz="0" w:space="0" w:color="auto"/>
        <w:bottom w:val="none" w:sz="0" w:space="0" w:color="auto"/>
        <w:right w:val="none" w:sz="0" w:space="0" w:color="auto"/>
      </w:divBdr>
    </w:div>
    <w:div w:id="1648170836">
      <w:bodyDiv w:val="1"/>
      <w:marLeft w:val="0"/>
      <w:marRight w:val="0"/>
      <w:marTop w:val="0"/>
      <w:marBottom w:val="0"/>
      <w:divBdr>
        <w:top w:val="none" w:sz="0" w:space="0" w:color="auto"/>
        <w:left w:val="none" w:sz="0" w:space="0" w:color="auto"/>
        <w:bottom w:val="none" w:sz="0" w:space="0" w:color="auto"/>
        <w:right w:val="none" w:sz="0" w:space="0" w:color="auto"/>
      </w:divBdr>
    </w:div>
    <w:div w:id="1659111514">
      <w:bodyDiv w:val="1"/>
      <w:marLeft w:val="0"/>
      <w:marRight w:val="0"/>
      <w:marTop w:val="0"/>
      <w:marBottom w:val="0"/>
      <w:divBdr>
        <w:top w:val="none" w:sz="0" w:space="0" w:color="auto"/>
        <w:left w:val="none" w:sz="0" w:space="0" w:color="auto"/>
        <w:bottom w:val="none" w:sz="0" w:space="0" w:color="auto"/>
        <w:right w:val="none" w:sz="0" w:space="0" w:color="auto"/>
      </w:divBdr>
    </w:div>
    <w:div w:id="1721393372">
      <w:bodyDiv w:val="1"/>
      <w:marLeft w:val="0"/>
      <w:marRight w:val="0"/>
      <w:marTop w:val="0"/>
      <w:marBottom w:val="0"/>
      <w:divBdr>
        <w:top w:val="none" w:sz="0" w:space="0" w:color="auto"/>
        <w:left w:val="none" w:sz="0" w:space="0" w:color="auto"/>
        <w:bottom w:val="none" w:sz="0" w:space="0" w:color="auto"/>
        <w:right w:val="none" w:sz="0" w:space="0" w:color="auto"/>
      </w:divBdr>
    </w:div>
    <w:div w:id="1749500052">
      <w:bodyDiv w:val="1"/>
      <w:marLeft w:val="0"/>
      <w:marRight w:val="0"/>
      <w:marTop w:val="0"/>
      <w:marBottom w:val="0"/>
      <w:divBdr>
        <w:top w:val="none" w:sz="0" w:space="0" w:color="auto"/>
        <w:left w:val="none" w:sz="0" w:space="0" w:color="auto"/>
        <w:bottom w:val="none" w:sz="0" w:space="0" w:color="auto"/>
        <w:right w:val="none" w:sz="0" w:space="0" w:color="auto"/>
      </w:divBdr>
    </w:div>
    <w:div w:id="1774593490">
      <w:bodyDiv w:val="1"/>
      <w:marLeft w:val="0"/>
      <w:marRight w:val="0"/>
      <w:marTop w:val="0"/>
      <w:marBottom w:val="0"/>
      <w:divBdr>
        <w:top w:val="none" w:sz="0" w:space="0" w:color="auto"/>
        <w:left w:val="none" w:sz="0" w:space="0" w:color="auto"/>
        <w:bottom w:val="none" w:sz="0" w:space="0" w:color="auto"/>
        <w:right w:val="none" w:sz="0" w:space="0" w:color="auto"/>
      </w:divBdr>
    </w:div>
    <w:div w:id="1822884822">
      <w:bodyDiv w:val="1"/>
      <w:marLeft w:val="0"/>
      <w:marRight w:val="0"/>
      <w:marTop w:val="0"/>
      <w:marBottom w:val="0"/>
      <w:divBdr>
        <w:top w:val="none" w:sz="0" w:space="0" w:color="auto"/>
        <w:left w:val="none" w:sz="0" w:space="0" w:color="auto"/>
        <w:bottom w:val="none" w:sz="0" w:space="0" w:color="auto"/>
        <w:right w:val="none" w:sz="0" w:space="0" w:color="auto"/>
      </w:divBdr>
    </w:div>
    <w:div w:id="1987934395">
      <w:bodyDiv w:val="1"/>
      <w:marLeft w:val="0"/>
      <w:marRight w:val="0"/>
      <w:marTop w:val="0"/>
      <w:marBottom w:val="0"/>
      <w:divBdr>
        <w:top w:val="none" w:sz="0" w:space="0" w:color="auto"/>
        <w:left w:val="none" w:sz="0" w:space="0" w:color="auto"/>
        <w:bottom w:val="none" w:sz="0" w:space="0" w:color="auto"/>
        <w:right w:val="none" w:sz="0" w:space="0" w:color="auto"/>
      </w:divBdr>
    </w:div>
    <w:div w:id="20213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ies.hilton.com/hist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cbi.nlm.nih.gov/pmc/articles/PMC918642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ons.gov.uk/employmentandlabourmarket/peopleinwork/employmentandemployeetypes/bulletins/uklabourmarket/february2024" TargetMode="External"/><Relationship Id="rId4" Type="http://schemas.openxmlformats.org/officeDocument/2006/relationships/webSettings" Target="webSettings.xml"/><Relationship Id="rId9" Type="http://schemas.openxmlformats.org/officeDocument/2006/relationships/hyperlink" Target="https://www.mckinsey.com/featured-insights/future-of-work/the-future-of-work-after-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12</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silvia canalos</cp:lastModifiedBy>
  <cp:revision>5</cp:revision>
  <dcterms:created xsi:type="dcterms:W3CDTF">2024-03-04T17:59:00Z</dcterms:created>
  <dcterms:modified xsi:type="dcterms:W3CDTF">2024-03-04T21:07:00Z</dcterms:modified>
</cp:coreProperties>
</file>