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3709E" w14:textId="77777777" w:rsidR="002726A4" w:rsidRDefault="002726A4" w:rsidP="002726A4">
      <w:pPr>
        <w:jc w:val="cente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rPr>
        <w:drawing>
          <wp:inline distT="0" distB="0" distL="0" distR="0" wp14:anchorId="535A5B1A" wp14:editId="4C65D254">
            <wp:extent cx="2301072" cy="1169101"/>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3977" cy="1195980"/>
                    </a:xfrm>
                    <a:prstGeom prst="rect">
                      <a:avLst/>
                    </a:prstGeom>
                    <a:noFill/>
                    <a:ln>
                      <a:noFill/>
                    </a:ln>
                  </pic:spPr>
                </pic:pic>
              </a:graphicData>
            </a:graphic>
          </wp:inline>
        </w:drawing>
      </w:r>
      <w:r>
        <w:fldChar w:fldCharType="end"/>
      </w:r>
    </w:p>
    <w:p w14:paraId="59444DDD" w14:textId="77777777" w:rsidR="002726A4" w:rsidRDefault="002726A4" w:rsidP="002726A4">
      <w:pPr>
        <w:jc w:val="center"/>
      </w:pPr>
    </w:p>
    <w:p w14:paraId="2C6C09DA" w14:textId="77777777" w:rsidR="002726A4" w:rsidRDefault="002726A4" w:rsidP="002726A4">
      <w:pPr>
        <w:jc w:val="center"/>
      </w:pPr>
    </w:p>
    <w:p w14:paraId="47C2BF9F" w14:textId="77777777" w:rsidR="002726A4" w:rsidRDefault="002726A4" w:rsidP="002726A4">
      <w:pPr>
        <w:jc w:val="center"/>
      </w:pPr>
    </w:p>
    <w:p w14:paraId="153DFEEC" w14:textId="77777777" w:rsidR="002726A4" w:rsidRDefault="002726A4" w:rsidP="002726A4">
      <w:pPr>
        <w:jc w:val="center"/>
      </w:pPr>
    </w:p>
    <w:p w14:paraId="06695424" w14:textId="77777777" w:rsidR="002726A4" w:rsidRDefault="002726A4" w:rsidP="002726A4">
      <w:pPr>
        <w:jc w:val="center"/>
      </w:pPr>
    </w:p>
    <w:p w14:paraId="11CDA998" w14:textId="0F562F22" w:rsidR="002726A4" w:rsidRPr="003B3CCF" w:rsidRDefault="002726A4" w:rsidP="002726A4">
      <w:pPr>
        <w:jc w:val="center"/>
        <w:rPr>
          <w:rFonts w:ascii="Arial" w:hAnsi="Arial" w:cs="Arial"/>
          <w:b/>
          <w:bCs/>
          <w:lang w:val="en-US"/>
        </w:rPr>
      </w:pPr>
      <w:r w:rsidRPr="00646406">
        <w:rPr>
          <w:rFonts w:ascii="Arial" w:hAnsi="Arial" w:cs="Arial"/>
          <w:b/>
          <w:bCs/>
        </w:rPr>
        <w:t>Student Name:</w:t>
      </w:r>
      <w:r>
        <w:rPr>
          <w:rFonts w:ascii="Arial" w:hAnsi="Arial" w:cs="Arial"/>
          <w:b/>
          <w:bCs/>
          <w:lang w:val="en-US"/>
        </w:rPr>
        <w:t xml:space="preserve"> </w:t>
      </w:r>
      <w:r w:rsidRPr="002726A4">
        <w:rPr>
          <w:rFonts w:ascii="Arial" w:hAnsi="Arial" w:cs="Arial"/>
          <w:b/>
          <w:bCs/>
        </w:rPr>
        <w:t>Nusrat Jahan Onameka</w:t>
      </w:r>
    </w:p>
    <w:p w14:paraId="19EFEEC2" w14:textId="77777777" w:rsidR="002726A4" w:rsidRPr="00646406" w:rsidRDefault="002726A4" w:rsidP="002726A4">
      <w:pPr>
        <w:jc w:val="center"/>
        <w:rPr>
          <w:rFonts w:ascii="Arial" w:hAnsi="Arial" w:cs="Arial"/>
          <w:b/>
          <w:bCs/>
        </w:rPr>
      </w:pPr>
    </w:p>
    <w:p w14:paraId="24A74758" w14:textId="0EEDB187" w:rsidR="002726A4" w:rsidRPr="003B3CCF" w:rsidRDefault="002726A4" w:rsidP="002726A4">
      <w:pPr>
        <w:jc w:val="center"/>
        <w:rPr>
          <w:rFonts w:ascii="Arial" w:hAnsi="Arial" w:cs="Arial"/>
          <w:b/>
          <w:bCs/>
          <w:lang w:val="en-US"/>
        </w:rPr>
      </w:pPr>
      <w:r w:rsidRPr="00646406">
        <w:rPr>
          <w:rFonts w:ascii="Arial" w:hAnsi="Arial" w:cs="Arial"/>
          <w:b/>
          <w:bCs/>
        </w:rPr>
        <w:t>Student ID:</w:t>
      </w:r>
      <w:r w:rsidRPr="003B3CCF">
        <w:rPr>
          <w:rFonts w:ascii="Arial" w:hAnsi="Arial" w:cs="Arial"/>
          <w:b/>
          <w:bCs/>
          <w:lang w:val="en-US"/>
        </w:rPr>
        <w:t xml:space="preserve"> </w:t>
      </w:r>
      <w:r w:rsidRPr="002726A4">
        <w:rPr>
          <w:rFonts w:ascii="Arial" w:hAnsi="Arial" w:cs="Arial"/>
          <w:b/>
          <w:bCs/>
        </w:rPr>
        <w:t>2422956</w:t>
      </w:r>
    </w:p>
    <w:p w14:paraId="4068BDA8" w14:textId="77777777" w:rsidR="002726A4" w:rsidRPr="00646406" w:rsidRDefault="002726A4" w:rsidP="002726A4">
      <w:pPr>
        <w:jc w:val="center"/>
        <w:rPr>
          <w:rFonts w:ascii="Arial" w:hAnsi="Arial" w:cs="Arial"/>
        </w:rPr>
      </w:pPr>
    </w:p>
    <w:p w14:paraId="0D40A2D6" w14:textId="77777777" w:rsidR="002726A4" w:rsidRPr="00646406" w:rsidRDefault="002726A4" w:rsidP="002726A4">
      <w:pPr>
        <w:jc w:val="center"/>
        <w:rPr>
          <w:rFonts w:ascii="Arial" w:hAnsi="Arial" w:cs="Arial"/>
        </w:rPr>
      </w:pPr>
    </w:p>
    <w:p w14:paraId="03B3A631" w14:textId="77777777" w:rsidR="002726A4" w:rsidRPr="00646406" w:rsidRDefault="002726A4" w:rsidP="002726A4">
      <w:pPr>
        <w:jc w:val="center"/>
        <w:rPr>
          <w:rFonts w:ascii="Arial" w:hAnsi="Arial" w:cs="Arial"/>
          <w:b/>
          <w:bCs/>
        </w:rPr>
      </w:pPr>
      <w:r w:rsidRPr="00646406">
        <w:rPr>
          <w:rFonts w:ascii="Arial" w:hAnsi="Arial" w:cs="Arial"/>
          <w:b/>
          <w:bCs/>
        </w:rPr>
        <w:t>Module Name: Marketing Management</w:t>
      </w:r>
    </w:p>
    <w:p w14:paraId="1DFB4CFE" w14:textId="77777777" w:rsidR="002726A4" w:rsidRPr="00646406" w:rsidRDefault="002726A4" w:rsidP="002726A4">
      <w:pPr>
        <w:jc w:val="center"/>
        <w:rPr>
          <w:rFonts w:ascii="Arial" w:hAnsi="Arial" w:cs="Arial"/>
          <w:b/>
          <w:bCs/>
        </w:rPr>
      </w:pPr>
    </w:p>
    <w:p w14:paraId="4CC55FAC" w14:textId="77777777" w:rsidR="002726A4" w:rsidRPr="00646406" w:rsidRDefault="002726A4" w:rsidP="002726A4">
      <w:pPr>
        <w:jc w:val="center"/>
        <w:rPr>
          <w:rFonts w:ascii="Arial" w:hAnsi="Arial" w:cs="Arial"/>
          <w:b/>
          <w:bCs/>
        </w:rPr>
      </w:pPr>
      <w:r w:rsidRPr="00646406">
        <w:rPr>
          <w:rFonts w:ascii="Arial" w:hAnsi="Arial" w:cs="Arial"/>
          <w:b/>
          <w:bCs/>
        </w:rPr>
        <w:t>Module Code: LCMB7024</w:t>
      </w:r>
    </w:p>
    <w:p w14:paraId="4AF43A8D" w14:textId="77777777" w:rsidR="002726A4" w:rsidRPr="00646406" w:rsidRDefault="002726A4" w:rsidP="002726A4">
      <w:pPr>
        <w:jc w:val="center"/>
        <w:rPr>
          <w:rFonts w:ascii="Arial" w:hAnsi="Arial" w:cs="Arial"/>
          <w:b/>
          <w:bCs/>
        </w:rPr>
      </w:pPr>
    </w:p>
    <w:p w14:paraId="167710BC" w14:textId="77777777" w:rsidR="002726A4" w:rsidRPr="00646406" w:rsidRDefault="002726A4" w:rsidP="002726A4">
      <w:pPr>
        <w:jc w:val="center"/>
        <w:rPr>
          <w:rFonts w:ascii="Arial" w:hAnsi="Arial" w:cs="Arial"/>
          <w:b/>
          <w:bCs/>
        </w:rPr>
      </w:pPr>
    </w:p>
    <w:p w14:paraId="70C9CA25" w14:textId="77777777" w:rsidR="002726A4" w:rsidRPr="00646406" w:rsidRDefault="002726A4" w:rsidP="002726A4">
      <w:pPr>
        <w:jc w:val="center"/>
        <w:rPr>
          <w:rFonts w:ascii="Arial" w:hAnsi="Arial" w:cs="Arial"/>
          <w:b/>
          <w:bCs/>
        </w:rPr>
      </w:pPr>
    </w:p>
    <w:p w14:paraId="085CE315" w14:textId="77777777" w:rsidR="002726A4" w:rsidRPr="00646406" w:rsidRDefault="002726A4" w:rsidP="002726A4">
      <w:pPr>
        <w:jc w:val="center"/>
        <w:rPr>
          <w:rFonts w:ascii="Arial" w:hAnsi="Arial" w:cs="Arial"/>
          <w:b/>
          <w:bCs/>
        </w:rPr>
      </w:pPr>
    </w:p>
    <w:p w14:paraId="6E8056FF" w14:textId="24D0D00A" w:rsidR="002726A4" w:rsidRPr="003B3CCF" w:rsidRDefault="00AC712B" w:rsidP="00AC712B">
      <w:pPr>
        <w:tabs>
          <w:tab w:val="center" w:pos="10944"/>
          <w:tab w:val="left" w:pos="13668"/>
        </w:tabs>
        <w:jc w:val="left"/>
        <w:rPr>
          <w:rFonts w:ascii="Arial" w:hAnsi="Arial" w:cs="Arial"/>
          <w:b/>
          <w:bCs/>
          <w:lang w:val="en-US"/>
        </w:rPr>
      </w:pPr>
      <w:r>
        <w:rPr>
          <w:rFonts w:ascii="Arial" w:hAnsi="Arial" w:cs="Arial"/>
          <w:b/>
          <w:bCs/>
        </w:rPr>
        <w:tab/>
      </w:r>
      <w:r w:rsidR="002726A4" w:rsidRPr="00646406">
        <w:rPr>
          <w:rFonts w:ascii="Arial" w:hAnsi="Arial" w:cs="Arial"/>
          <w:b/>
          <w:bCs/>
        </w:rPr>
        <w:t>Lecturer’s Name:</w:t>
      </w:r>
      <w:r w:rsidR="002726A4">
        <w:rPr>
          <w:rFonts w:ascii="Arial" w:hAnsi="Arial" w:cs="Arial"/>
          <w:b/>
          <w:bCs/>
          <w:lang w:val="en-US"/>
        </w:rPr>
        <w:t xml:space="preserve"> </w:t>
      </w:r>
      <w:r>
        <w:rPr>
          <w:rFonts w:ascii="Arial" w:hAnsi="Arial" w:cs="Arial"/>
          <w:b/>
          <w:bCs/>
          <w:lang w:val="en-US"/>
        </w:rPr>
        <w:t>Dr</w:t>
      </w:r>
      <w:r w:rsidR="00D53275">
        <w:rPr>
          <w:rFonts w:ascii="Arial" w:hAnsi="Arial" w:cs="Arial"/>
          <w:b/>
          <w:bCs/>
          <w:lang w:val="en-US"/>
        </w:rPr>
        <w:t>.</w:t>
      </w:r>
      <w:r w:rsidR="00C66071">
        <w:rPr>
          <w:rFonts w:ascii="Arial" w:hAnsi="Arial" w:cs="Arial"/>
          <w:b/>
          <w:bCs/>
          <w:lang w:val="en-US"/>
        </w:rPr>
        <w:t xml:space="preserve"> </w:t>
      </w:r>
      <w:r>
        <w:rPr>
          <w:rFonts w:ascii="Arial" w:hAnsi="Arial" w:cs="Arial"/>
          <w:b/>
          <w:bCs/>
          <w:lang w:val="en-US"/>
        </w:rPr>
        <w:t>Jaya Gopalkrishnan</w:t>
      </w:r>
    </w:p>
    <w:p w14:paraId="4C966195" w14:textId="77777777" w:rsidR="002726A4" w:rsidRPr="00646406" w:rsidRDefault="002726A4" w:rsidP="002726A4">
      <w:pPr>
        <w:jc w:val="center"/>
        <w:rPr>
          <w:rFonts w:ascii="Arial" w:hAnsi="Arial" w:cs="Arial"/>
          <w:b/>
          <w:bCs/>
        </w:rPr>
      </w:pPr>
    </w:p>
    <w:p w14:paraId="402A6F2A" w14:textId="77777777" w:rsidR="002726A4" w:rsidRPr="00646406" w:rsidRDefault="002726A4" w:rsidP="002726A4">
      <w:pPr>
        <w:jc w:val="center"/>
        <w:rPr>
          <w:rFonts w:ascii="Arial" w:hAnsi="Arial" w:cs="Arial"/>
          <w:b/>
          <w:bCs/>
        </w:rPr>
      </w:pPr>
    </w:p>
    <w:p w14:paraId="36F77686" w14:textId="77777777" w:rsidR="002726A4" w:rsidRPr="00646406" w:rsidRDefault="002726A4" w:rsidP="002726A4">
      <w:pPr>
        <w:rPr>
          <w:rFonts w:ascii="Arial" w:hAnsi="Arial" w:cs="Arial"/>
          <w:b/>
          <w:bCs/>
        </w:rPr>
      </w:pPr>
    </w:p>
    <w:p w14:paraId="081B9FAC" w14:textId="3D282438" w:rsidR="00AC712B" w:rsidRDefault="002726A4" w:rsidP="00AC712B">
      <w:pPr>
        <w:jc w:val="center"/>
        <w:rPr>
          <w:rFonts w:ascii="Arial" w:hAnsi="Arial" w:cs="Arial"/>
          <w:b/>
          <w:bCs/>
          <w:lang w:val="en-US"/>
        </w:rPr>
      </w:pPr>
      <w:r w:rsidRPr="00646406">
        <w:rPr>
          <w:rFonts w:ascii="Arial" w:hAnsi="Arial" w:cs="Arial"/>
          <w:b/>
          <w:bCs/>
        </w:rPr>
        <w:t>Work Count:</w:t>
      </w:r>
      <w:r>
        <w:rPr>
          <w:rFonts w:ascii="Arial" w:hAnsi="Arial" w:cs="Arial"/>
          <w:b/>
          <w:bCs/>
          <w:lang w:val="en-US"/>
        </w:rPr>
        <w:t xml:space="preserve"> </w:t>
      </w:r>
      <w:r w:rsidR="005516E2">
        <w:rPr>
          <w:rFonts w:ascii="Arial" w:hAnsi="Arial" w:cs="Arial"/>
          <w:b/>
          <w:bCs/>
          <w:lang w:val="en-US"/>
        </w:rPr>
        <w:t>2439</w:t>
      </w:r>
    </w:p>
    <w:p w14:paraId="1AEF9412" w14:textId="37BB9BEC" w:rsidR="00AC712B" w:rsidRPr="00C66071" w:rsidRDefault="00AC712B" w:rsidP="00AC712B">
      <w:pPr>
        <w:jc w:val="center"/>
        <w:rPr>
          <w:rFonts w:ascii="Arial" w:hAnsi="Arial" w:cs="Arial"/>
          <w:b/>
          <w:bCs/>
        </w:rPr>
      </w:pPr>
      <w:r>
        <w:rPr>
          <w:rFonts w:ascii="Arial" w:hAnsi="Arial" w:cs="Arial"/>
          <w:b/>
          <w:bCs/>
          <w:lang w:val="en-US"/>
        </w:rPr>
        <w:t>Date of Submission:27.03.25</w:t>
      </w:r>
    </w:p>
    <w:p w14:paraId="3DAC9DCD" w14:textId="77777777" w:rsidR="002726A4" w:rsidRPr="00646406" w:rsidRDefault="002726A4" w:rsidP="002726A4">
      <w:pPr>
        <w:jc w:val="center"/>
        <w:rPr>
          <w:rFonts w:ascii="Arial" w:hAnsi="Arial" w:cs="Arial"/>
          <w:b/>
          <w:bCs/>
        </w:rPr>
      </w:pPr>
    </w:p>
    <w:p w14:paraId="0643031E" w14:textId="1BC4167F" w:rsidR="002726A4" w:rsidRDefault="002726A4" w:rsidP="002726A4">
      <w:pPr>
        <w:rPr>
          <w:rFonts w:ascii="Arial" w:hAnsi="Arial" w:cs="Arial"/>
          <w:b/>
          <w:bCs/>
        </w:rPr>
      </w:pPr>
    </w:p>
    <w:p w14:paraId="4C9FBE2D" w14:textId="77777777" w:rsidR="002726A4" w:rsidRDefault="002726A4" w:rsidP="002726A4">
      <w:pPr>
        <w:rPr>
          <w:rFonts w:ascii="Arial" w:hAnsi="Arial" w:cs="Arial"/>
          <w:b/>
          <w:bCs/>
        </w:rPr>
      </w:pPr>
    </w:p>
    <w:p w14:paraId="53DB4F84" w14:textId="77777777" w:rsidR="002726A4" w:rsidRDefault="002726A4" w:rsidP="002726A4">
      <w:pPr>
        <w:jc w:val="center"/>
        <w:rPr>
          <w:rFonts w:ascii="Arial" w:hAnsi="Arial" w:cs="Arial"/>
          <w:b/>
          <w:bCs/>
        </w:rPr>
      </w:pPr>
    </w:p>
    <w:p w14:paraId="1F866EF2" w14:textId="77777777" w:rsidR="002726A4" w:rsidRPr="00646406" w:rsidRDefault="002726A4" w:rsidP="002726A4">
      <w:pPr>
        <w:jc w:val="center"/>
        <w:rPr>
          <w:rFonts w:ascii="Arial" w:hAnsi="Arial" w:cs="Arial"/>
          <w:b/>
          <w:bCs/>
        </w:rPr>
      </w:pPr>
      <w:r w:rsidRPr="00646406">
        <w:rPr>
          <w:rFonts w:ascii="Arial" w:hAnsi="Arial" w:cs="Arial"/>
          <w:b/>
          <w:bCs/>
        </w:rPr>
        <w:t>Term 1</w:t>
      </w:r>
    </w:p>
    <w:p w14:paraId="3E0176DC" w14:textId="010E46F0" w:rsidR="002726A4" w:rsidRPr="002726A4" w:rsidRDefault="002726A4" w:rsidP="002726A4">
      <w:pPr>
        <w:rPr>
          <w:b/>
          <w:bCs/>
        </w:rPr>
      </w:pPr>
      <w:r>
        <w:rPr>
          <w:rFonts w:ascii="Arial" w:hAnsi="Arial" w:cs="Arial"/>
        </w:rPr>
        <w:br w:type="page"/>
      </w:r>
    </w:p>
    <w:sdt>
      <w:sdtPr>
        <w:rPr>
          <w:rFonts w:cs="Times New Roman"/>
          <w:b w:val="0"/>
          <w:sz w:val="24"/>
          <w:szCs w:val="24"/>
          <w:lang w:val="en-GB" w:eastAsia="en-GB" w:bidi="bn-IN"/>
        </w:rPr>
        <w:id w:val="1555739583"/>
        <w:docPartObj>
          <w:docPartGallery w:val="Table of Contents"/>
          <w:docPartUnique/>
        </w:docPartObj>
      </w:sdtPr>
      <w:sdtEndPr>
        <w:rPr>
          <w:bCs/>
          <w:noProof/>
        </w:rPr>
      </w:sdtEndPr>
      <w:sdtContent>
        <w:p w14:paraId="1736097F" w14:textId="266290E7" w:rsidR="002726A4" w:rsidRDefault="002726A4">
          <w:pPr>
            <w:pStyle w:val="TOCHeading"/>
          </w:pPr>
          <w:r>
            <w:t>Table of Contents</w:t>
          </w:r>
        </w:p>
        <w:p w14:paraId="1065044B" w14:textId="70BC0A95" w:rsidR="002726A4" w:rsidRPr="002726A4" w:rsidRDefault="002726A4">
          <w:pPr>
            <w:pStyle w:val="TOC1"/>
            <w:tabs>
              <w:tab w:val="right" w:leader="dot" w:pos="9010"/>
            </w:tabs>
            <w:rPr>
              <w:rFonts w:ascii="Arial" w:eastAsiaTheme="minorEastAsia" w:hAnsi="Arial" w:cs="Arial"/>
              <w:b w:val="0"/>
              <w:bCs w:val="0"/>
              <w:i w:val="0"/>
              <w:iCs w:val="0"/>
              <w:noProof/>
            </w:rPr>
          </w:pPr>
          <w:r w:rsidRPr="002726A4">
            <w:rPr>
              <w:rFonts w:ascii="Arial" w:hAnsi="Arial" w:cs="Arial"/>
              <w:b w:val="0"/>
              <w:bCs w:val="0"/>
              <w:i w:val="0"/>
              <w:iCs w:val="0"/>
            </w:rPr>
            <w:fldChar w:fldCharType="begin"/>
          </w:r>
          <w:r w:rsidRPr="002726A4">
            <w:rPr>
              <w:rFonts w:ascii="Arial" w:hAnsi="Arial" w:cs="Arial"/>
              <w:b w:val="0"/>
              <w:bCs w:val="0"/>
              <w:i w:val="0"/>
              <w:iCs w:val="0"/>
            </w:rPr>
            <w:instrText xml:space="preserve"> TOC \o "1-3" \h \z \u </w:instrText>
          </w:r>
          <w:r w:rsidRPr="002726A4">
            <w:rPr>
              <w:rFonts w:ascii="Arial" w:hAnsi="Arial" w:cs="Arial"/>
              <w:b w:val="0"/>
              <w:bCs w:val="0"/>
              <w:i w:val="0"/>
              <w:iCs w:val="0"/>
            </w:rPr>
            <w:fldChar w:fldCharType="separate"/>
          </w:r>
          <w:hyperlink w:anchor="_Toc193163790" w:history="1">
            <w:r w:rsidRPr="002726A4">
              <w:rPr>
                <w:rStyle w:val="Hyperlink"/>
                <w:rFonts w:ascii="Arial" w:hAnsi="Arial" w:cs="Arial"/>
                <w:b w:val="0"/>
                <w:bCs w:val="0"/>
                <w:i w:val="0"/>
                <w:iCs w:val="0"/>
                <w:noProof/>
              </w:rPr>
              <w:t>Introduction</w:t>
            </w:r>
            <w:r w:rsidRPr="002726A4">
              <w:rPr>
                <w:rFonts w:ascii="Arial" w:hAnsi="Arial" w:cs="Arial"/>
                <w:b w:val="0"/>
                <w:bCs w:val="0"/>
                <w:i w:val="0"/>
                <w:iCs w:val="0"/>
                <w:noProof/>
                <w:webHidden/>
              </w:rPr>
              <w:tab/>
            </w:r>
            <w:r w:rsidRPr="002726A4">
              <w:rPr>
                <w:rFonts w:ascii="Arial" w:hAnsi="Arial" w:cs="Arial"/>
                <w:b w:val="0"/>
                <w:bCs w:val="0"/>
                <w:i w:val="0"/>
                <w:iCs w:val="0"/>
                <w:noProof/>
                <w:webHidden/>
              </w:rPr>
              <w:fldChar w:fldCharType="begin"/>
            </w:r>
            <w:r w:rsidRPr="002726A4">
              <w:rPr>
                <w:rFonts w:ascii="Arial" w:hAnsi="Arial" w:cs="Arial"/>
                <w:b w:val="0"/>
                <w:bCs w:val="0"/>
                <w:i w:val="0"/>
                <w:iCs w:val="0"/>
                <w:noProof/>
                <w:webHidden/>
              </w:rPr>
              <w:instrText xml:space="preserve"> PAGEREF _Toc193163790 \h </w:instrText>
            </w:r>
            <w:r w:rsidRPr="002726A4">
              <w:rPr>
                <w:rFonts w:ascii="Arial" w:hAnsi="Arial" w:cs="Arial"/>
                <w:b w:val="0"/>
                <w:bCs w:val="0"/>
                <w:i w:val="0"/>
                <w:iCs w:val="0"/>
                <w:noProof/>
                <w:webHidden/>
              </w:rPr>
            </w:r>
            <w:r w:rsidRPr="002726A4">
              <w:rPr>
                <w:rFonts w:ascii="Arial" w:hAnsi="Arial" w:cs="Arial"/>
                <w:b w:val="0"/>
                <w:bCs w:val="0"/>
                <w:i w:val="0"/>
                <w:iCs w:val="0"/>
                <w:noProof/>
                <w:webHidden/>
              </w:rPr>
              <w:fldChar w:fldCharType="separate"/>
            </w:r>
            <w:r w:rsidRPr="002726A4">
              <w:rPr>
                <w:rFonts w:ascii="Arial" w:hAnsi="Arial" w:cs="Arial"/>
                <w:b w:val="0"/>
                <w:bCs w:val="0"/>
                <w:i w:val="0"/>
                <w:iCs w:val="0"/>
                <w:noProof/>
                <w:webHidden/>
              </w:rPr>
              <w:t>3</w:t>
            </w:r>
            <w:r w:rsidRPr="002726A4">
              <w:rPr>
                <w:rFonts w:ascii="Arial" w:hAnsi="Arial" w:cs="Arial"/>
                <w:b w:val="0"/>
                <w:bCs w:val="0"/>
                <w:i w:val="0"/>
                <w:iCs w:val="0"/>
                <w:noProof/>
                <w:webHidden/>
              </w:rPr>
              <w:fldChar w:fldCharType="end"/>
            </w:r>
          </w:hyperlink>
        </w:p>
        <w:p w14:paraId="0E6278F5" w14:textId="12785268" w:rsidR="002726A4" w:rsidRPr="002726A4" w:rsidRDefault="002726A4">
          <w:pPr>
            <w:pStyle w:val="TOC1"/>
            <w:tabs>
              <w:tab w:val="right" w:leader="dot" w:pos="9010"/>
            </w:tabs>
            <w:rPr>
              <w:rFonts w:ascii="Arial" w:eastAsiaTheme="minorEastAsia" w:hAnsi="Arial" w:cs="Arial"/>
              <w:b w:val="0"/>
              <w:bCs w:val="0"/>
              <w:i w:val="0"/>
              <w:iCs w:val="0"/>
              <w:noProof/>
            </w:rPr>
          </w:pPr>
          <w:hyperlink w:anchor="_Toc193163791" w:history="1">
            <w:r w:rsidRPr="002726A4">
              <w:rPr>
                <w:rStyle w:val="Hyperlink"/>
                <w:rFonts w:ascii="Arial" w:hAnsi="Arial" w:cs="Arial"/>
                <w:b w:val="0"/>
                <w:bCs w:val="0"/>
                <w:i w:val="0"/>
                <w:iCs w:val="0"/>
                <w:noProof/>
              </w:rPr>
              <w:t>Advantages of Pioneer Companies</w:t>
            </w:r>
            <w:r w:rsidRPr="002726A4">
              <w:rPr>
                <w:rFonts w:ascii="Arial" w:hAnsi="Arial" w:cs="Arial"/>
                <w:b w:val="0"/>
                <w:bCs w:val="0"/>
                <w:i w:val="0"/>
                <w:iCs w:val="0"/>
                <w:noProof/>
                <w:webHidden/>
              </w:rPr>
              <w:tab/>
            </w:r>
            <w:r w:rsidRPr="002726A4">
              <w:rPr>
                <w:rFonts w:ascii="Arial" w:hAnsi="Arial" w:cs="Arial"/>
                <w:b w:val="0"/>
                <w:bCs w:val="0"/>
                <w:i w:val="0"/>
                <w:iCs w:val="0"/>
                <w:noProof/>
                <w:webHidden/>
              </w:rPr>
              <w:fldChar w:fldCharType="begin"/>
            </w:r>
            <w:r w:rsidRPr="002726A4">
              <w:rPr>
                <w:rFonts w:ascii="Arial" w:hAnsi="Arial" w:cs="Arial"/>
                <w:b w:val="0"/>
                <w:bCs w:val="0"/>
                <w:i w:val="0"/>
                <w:iCs w:val="0"/>
                <w:noProof/>
                <w:webHidden/>
              </w:rPr>
              <w:instrText xml:space="preserve"> PAGEREF _Toc193163791 \h </w:instrText>
            </w:r>
            <w:r w:rsidRPr="002726A4">
              <w:rPr>
                <w:rFonts w:ascii="Arial" w:hAnsi="Arial" w:cs="Arial"/>
                <w:b w:val="0"/>
                <w:bCs w:val="0"/>
                <w:i w:val="0"/>
                <w:iCs w:val="0"/>
                <w:noProof/>
                <w:webHidden/>
              </w:rPr>
            </w:r>
            <w:r w:rsidRPr="002726A4">
              <w:rPr>
                <w:rFonts w:ascii="Arial" w:hAnsi="Arial" w:cs="Arial"/>
                <w:b w:val="0"/>
                <w:bCs w:val="0"/>
                <w:i w:val="0"/>
                <w:iCs w:val="0"/>
                <w:noProof/>
                <w:webHidden/>
              </w:rPr>
              <w:fldChar w:fldCharType="separate"/>
            </w:r>
            <w:r w:rsidRPr="002726A4">
              <w:rPr>
                <w:rFonts w:ascii="Arial" w:hAnsi="Arial" w:cs="Arial"/>
                <w:b w:val="0"/>
                <w:bCs w:val="0"/>
                <w:i w:val="0"/>
                <w:iCs w:val="0"/>
                <w:noProof/>
                <w:webHidden/>
              </w:rPr>
              <w:t>3</w:t>
            </w:r>
            <w:r w:rsidRPr="002726A4">
              <w:rPr>
                <w:rFonts w:ascii="Arial" w:hAnsi="Arial" w:cs="Arial"/>
                <w:b w:val="0"/>
                <w:bCs w:val="0"/>
                <w:i w:val="0"/>
                <w:iCs w:val="0"/>
                <w:noProof/>
                <w:webHidden/>
              </w:rPr>
              <w:fldChar w:fldCharType="end"/>
            </w:r>
          </w:hyperlink>
        </w:p>
        <w:p w14:paraId="72C6FBF5" w14:textId="0CAD13AB" w:rsidR="002726A4" w:rsidRPr="002726A4" w:rsidRDefault="002726A4">
          <w:pPr>
            <w:pStyle w:val="TOC1"/>
            <w:tabs>
              <w:tab w:val="right" w:leader="dot" w:pos="9010"/>
            </w:tabs>
            <w:rPr>
              <w:rFonts w:ascii="Arial" w:eastAsiaTheme="minorEastAsia" w:hAnsi="Arial" w:cs="Arial"/>
              <w:b w:val="0"/>
              <w:bCs w:val="0"/>
              <w:i w:val="0"/>
              <w:iCs w:val="0"/>
              <w:noProof/>
            </w:rPr>
          </w:pPr>
          <w:hyperlink w:anchor="_Toc193163792" w:history="1">
            <w:r w:rsidRPr="002726A4">
              <w:rPr>
                <w:rStyle w:val="Hyperlink"/>
                <w:rFonts w:ascii="Arial" w:hAnsi="Arial" w:cs="Arial"/>
                <w:b w:val="0"/>
                <w:bCs w:val="0"/>
                <w:i w:val="0"/>
                <w:iCs w:val="0"/>
                <w:noProof/>
              </w:rPr>
              <w:t>Advantages of Follower Companies</w:t>
            </w:r>
            <w:r w:rsidRPr="002726A4">
              <w:rPr>
                <w:rFonts w:ascii="Arial" w:hAnsi="Arial" w:cs="Arial"/>
                <w:b w:val="0"/>
                <w:bCs w:val="0"/>
                <w:i w:val="0"/>
                <w:iCs w:val="0"/>
                <w:noProof/>
                <w:webHidden/>
              </w:rPr>
              <w:tab/>
            </w:r>
            <w:r w:rsidRPr="002726A4">
              <w:rPr>
                <w:rFonts w:ascii="Arial" w:hAnsi="Arial" w:cs="Arial"/>
                <w:b w:val="0"/>
                <w:bCs w:val="0"/>
                <w:i w:val="0"/>
                <w:iCs w:val="0"/>
                <w:noProof/>
                <w:webHidden/>
              </w:rPr>
              <w:fldChar w:fldCharType="begin"/>
            </w:r>
            <w:r w:rsidRPr="002726A4">
              <w:rPr>
                <w:rFonts w:ascii="Arial" w:hAnsi="Arial" w:cs="Arial"/>
                <w:b w:val="0"/>
                <w:bCs w:val="0"/>
                <w:i w:val="0"/>
                <w:iCs w:val="0"/>
                <w:noProof/>
                <w:webHidden/>
              </w:rPr>
              <w:instrText xml:space="preserve"> PAGEREF _Toc193163792 \h </w:instrText>
            </w:r>
            <w:r w:rsidRPr="002726A4">
              <w:rPr>
                <w:rFonts w:ascii="Arial" w:hAnsi="Arial" w:cs="Arial"/>
                <w:b w:val="0"/>
                <w:bCs w:val="0"/>
                <w:i w:val="0"/>
                <w:iCs w:val="0"/>
                <w:noProof/>
                <w:webHidden/>
              </w:rPr>
            </w:r>
            <w:r w:rsidRPr="002726A4">
              <w:rPr>
                <w:rFonts w:ascii="Arial" w:hAnsi="Arial" w:cs="Arial"/>
                <w:b w:val="0"/>
                <w:bCs w:val="0"/>
                <w:i w:val="0"/>
                <w:iCs w:val="0"/>
                <w:noProof/>
                <w:webHidden/>
              </w:rPr>
              <w:fldChar w:fldCharType="separate"/>
            </w:r>
            <w:r w:rsidRPr="002726A4">
              <w:rPr>
                <w:rFonts w:ascii="Arial" w:hAnsi="Arial" w:cs="Arial"/>
                <w:b w:val="0"/>
                <w:bCs w:val="0"/>
                <w:i w:val="0"/>
                <w:iCs w:val="0"/>
                <w:noProof/>
                <w:webHidden/>
              </w:rPr>
              <w:t>5</w:t>
            </w:r>
            <w:r w:rsidRPr="002726A4">
              <w:rPr>
                <w:rFonts w:ascii="Arial" w:hAnsi="Arial" w:cs="Arial"/>
                <w:b w:val="0"/>
                <w:bCs w:val="0"/>
                <w:i w:val="0"/>
                <w:iCs w:val="0"/>
                <w:noProof/>
                <w:webHidden/>
              </w:rPr>
              <w:fldChar w:fldCharType="end"/>
            </w:r>
          </w:hyperlink>
        </w:p>
        <w:p w14:paraId="56BCE59B" w14:textId="52C87993" w:rsidR="002726A4" w:rsidRPr="002726A4" w:rsidRDefault="002726A4">
          <w:pPr>
            <w:pStyle w:val="TOC1"/>
            <w:tabs>
              <w:tab w:val="right" w:leader="dot" w:pos="9010"/>
            </w:tabs>
            <w:rPr>
              <w:rFonts w:ascii="Arial" w:eastAsiaTheme="minorEastAsia" w:hAnsi="Arial" w:cs="Arial"/>
              <w:b w:val="0"/>
              <w:bCs w:val="0"/>
              <w:i w:val="0"/>
              <w:iCs w:val="0"/>
              <w:noProof/>
            </w:rPr>
          </w:pPr>
          <w:hyperlink w:anchor="_Toc193163793" w:history="1">
            <w:r w:rsidRPr="002726A4">
              <w:rPr>
                <w:rStyle w:val="Hyperlink"/>
                <w:rFonts w:ascii="Arial" w:hAnsi="Arial" w:cs="Arial"/>
                <w:b w:val="0"/>
                <w:bCs w:val="0"/>
                <w:i w:val="0"/>
                <w:iCs w:val="0"/>
                <w:noProof/>
              </w:rPr>
              <w:t>Product Life Cycle (PLC) Strategies in Growth and Maturity Stages</w:t>
            </w:r>
            <w:r w:rsidRPr="002726A4">
              <w:rPr>
                <w:rFonts w:ascii="Arial" w:hAnsi="Arial" w:cs="Arial"/>
                <w:b w:val="0"/>
                <w:bCs w:val="0"/>
                <w:i w:val="0"/>
                <w:iCs w:val="0"/>
                <w:noProof/>
                <w:webHidden/>
              </w:rPr>
              <w:tab/>
            </w:r>
            <w:r w:rsidRPr="002726A4">
              <w:rPr>
                <w:rFonts w:ascii="Arial" w:hAnsi="Arial" w:cs="Arial"/>
                <w:b w:val="0"/>
                <w:bCs w:val="0"/>
                <w:i w:val="0"/>
                <w:iCs w:val="0"/>
                <w:noProof/>
                <w:webHidden/>
              </w:rPr>
              <w:fldChar w:fldCharType="begin"/>
            </w:r>
            <w:r w:rsidRPr="002726A4">
              <w:rPr>
                <w:rFonts w:ascii="Arial" w:hAnsi="Arial" w:cs="Arial"/>
                <w:b w:val="0"/>
                <w:bCs w:val="0"/>
                <w:i w:val="0"/>
                <w:iCs w:val="0"/>
                <w:noProof/>
                <w:webHidden/>
              </w:rPr>
              <w:instrText xml:space="preserve"> PAGEREF _Toc193163793 \h </w:instrText>
            </w:r>
            <w:r w:rsidRPr="002726A4">
              <w:rPr>
                <w:rFonts w:ascii="Arial" w:hAnsi="Arial" w:cs="Arial"/>
                <w:b w:val="0"/>
                <w:bCs w:val="0"/>
                <w:i w:val="0"/>
                <w:iCs w:val="0"/>
                <w:noProof/>
                <w:webHidden/>
              </w:rPr>
            </w:r>
            <w:r w:rsidRPr="002726A4">
              <w:rPr>
                <w:rFonts w:ascii="Arial" w:hAnsi="Arial" w:cs="Arial"/>
                <w:b w:val="0"/>
                <w:bCs w:val="0"/>
                <w:i w:val="0"/>
                <w:iCs w:val="0"/>
                <w:noProof/>
                <w:webHidden/>
              </w:rPr>
              <w:fldChar w:fldCharType="separate"/>
            </w:r>
            <w:r w:rsidRPr="002726A4">
              <w:rPr>
                <w:rFonts w:ascii="Arial" w:hAnsi="Arial" w:cs="Arial"/>
                <w:b w:val="0"/>
                <w:bCs w:val="0"/>
                <w:i w:val="0"/>
                <w:iCs w:val="0"/>
                <w:noProof/>
                <w:webHidden/>
              </w:rPr>
              <w:t>7</w:t>
            </w:r>
            <w:r w:rsidRPr="002726A4">
              <w:rPr>
                <w:rFonts w:ascii="Arial" w:hAnsi="Arial" w:cs="Arial"/>
                <w:b w:val="0"/>
                <w:bCs w:val="0"/>
                <w:i w:val="0"/>
                <w:iCs w:val="0"/>
                <w:noProof/>
                <w:webHidden/>
              </w:rPr>
              <w:fldChar w:fldCharType="end"/>
            </w:r>
          </w:hyperlink>
        </w:p>
        <w:p w14:paraId="27C15209" w14:textId="6C0FC865" w:rsidR="002726A4" w:rsidRPr="002726A4" w:rsidRDefault="002726A4">
          <w:pPr>
            <w:pStyle w:val="TOC2"/>
            <w:tabs>
              <w:tab w:val="right" w:leader="dot" w:pos="9010"/>
            </w:tabs>
            <w:rPr>
              <w:rFonts w:ascii="Arial" w:eastAsiaTheme="minorEastAsia" w:hAnsi="Arial" w:cs="Arial"/>
              <w:b w:val="0"/>
              <w:bCs w:val="0"/>
              <w:noProof/>
              <w:sz w:val="24"/>
              <w:szCs w:val="24"/>
            </w:rPr>
          </w:pPr>
          <w:hyperlink w:anchor="_Toc193163794" w:history="1">
            <w:r w:rsidRPr="002726A4">
              <w:rPr>
                <w:rStyle w:val="Hyperlink"/>
                <w:rFonts w:ascii="Arial" w:hAnsi="Arial" w:cs="Arial"/>
                <w:b w:val="0"/>
                <w:bCs w:val="0"/>
                <w:noProof/>
                <w:sz w:val="24"/>
                <w:szCs w:val="24"/>
              </w:rPr>
              <w:t>Growth Stage Strategies</w:t>
            </w:r>
            <w:r w:rsidRPr="002726A4">
              <w:rPr>
                <w:rFonts w:ascii="Arial" w:hAnsi="Arial" w:cs="Arial"/>
                <w:b w:val="0"/>
                <w:bCs w:val="0"/>
                <w:noProof/>
                <w:webHidden/>
                <w:sz w:val="24"/>
                <w:szCs w:val="24"/>
              </w:rPr>
              <w:tab/>
            </w:r>
            <w:r w:rsidRPr="002726A4">
              <w:rPr>
                <w:rFonts w:ascii="Arial" w:hAnsi="Arial" w:cs="Arial"/>
                <w:b w:val="0"/>
                <w:bCs w:val="0"/>
                <w:noProof/>
                <w:webHidden/>
                <w:sz w:val="24"/>
                <w:szCs w:val="24"/>
              </w:rPr>
              <w:fldChar w:fldCharType="begin"/>
            </w:r>
            <w:r w:rsidRPr="002726A4">
              <w:rPr>
                <w:rFonts w:ascii="Arial" w:hAnsi="Arial" w:cs="Arial"/>
                <w:b w:val="0"/>
                <w:bCs w:val="0"/>
                <w:noProof/>
                <w:webHidden/>
                <w:sz w:val="24"/>
                <w:szCs w:val="24"/>
              </w:rPr>
              <w:instrText xml:space="preserve"> PAGEREF _Toc193163794 \h </w:instrText>
            </w:r>
            <w:r w:rsidRPr="002726A4">
              <w:rPr>
                <w:rFonts w:ascii="Arial" w:hAnsi="Arial" w:cs="Arial"/>
                <w:b w:val="0"/>
                <w:bCs w:val="0"/>
                <w:noProof/>
                <w:webHidden/>
                <w:sz w:val="24"/>
                <w:szCs w:val="24"/>
              </w:rPr>
            </w:r>
            <w:r w:rsidRPr="002726A4">
              <w:rPr>
                <w:rFonts w:ascii="Arial" w:hAnsi="Arial" w:cs="Arial"/>
                <w:b w:val="0"/>
                <w:bCs w:val="0"/>
                <w:noProof/>
                <w:webHidden/>
                <w:sz w:val="24"/>
                <w:szCs w:val="24"/>
              </w:rPr>
              <w:fldChar w:fldCharType="separate"/>
            </w:r>
            <w:r w:rsidRPr="002726A4">
              <w:rPr>
                <w:rFonts w:ascii="Arial" w:hAnsi="Arial" w:cs="Arial"/>
                <w:b w:val="0"/>
                <w:bCs w:val="0"/>
                <w:noProof/>
                <w:webHidden/>
                <w:sz w:val="24"/>
                <w:szCs w:val="24"/>
              </w:rPr>
              <w:t>7</w:t>
            </w:r>
            <w:r w:rsidRPr="002726A4">
              <w:rPr>
                <w:rFonts w:ascii="Arial" w:hAnsi="Arial" w:cs="Arial"/>
                <w:b w:val="0"/>
                <w:bCs w:val="0"/>
                <w:noProof/>
                <w:webHidden/>
                <w:sz w:val="24"/>
                <w:szCs w:val="24"/>
              </w:rPr>
              <w:fldChar w:fldCharType="end"/>
            </w:r>
          </w:hyperlink>
        </w:p>
        <w:p w14:paraId="3E74FE3C" w14:textId="58FE5299" w:rsidR="002726A4" w:rsidRPr="002726A4" w:rsidRDefault="002726A4">
          <w:pPr>
            <w:pStyle w:val="TOC2"/>
            <w:tabs>
              <w:tab w:val="right" w:leader="dot" w:pos="9010"/>
            </w:tabs>
            <w:rPr>
              <w:rFonts w:ascii="Arial" w:eastAsiaTheme="minorEastAsia" w:hAnsi="Arial" w:cs="Arial"/>
              <w:b w:val="0"/>
              <w:bCs w:val="0"/>
              <w:noProof/>
              <w:sz w:val="24"/>
              <w:szCs w:val="24"/>
            </w:rPr>
          </w:pPr>
          <w:hyperlink w:anchor="_Toc193163795" w:history="1">
            <w:r w:rsidRPr="002726A4">
              <w:rPr>
                <w:rStyle w:val="Hyperlink"/>
                <w:rFonts w:ascii="Arial" w:hAnsi="Arial" w:cs="Arial"/>
                <w:b w:val="0"/>
                <w:bCs w:val="0"/>
                <w:noProof/>
                <w:sz w:val="24"/>
                <w:szCs w:val="24"/>
              </w:rPr>
              <w:t>Maturity Stage Strategies</w:t>
            </w:r>
            <w:r w:rsidRPr="002726A4">
              <w:rPr>
                <w:rFonts w:ascii="Arial" w:hAnsi="Arial" w:cs="Arial"/>
                <w:b w:val="0"/>
                <w:bCs w:val="0"/>
                <w:noProof/>
                <w:webHidden/>
                <w:sz w:val="24"/>
                <w:szCs w:val="24"/>
              </w:rPr>
              <w:tab/>
            </w:r>
            <w:r w:rsidRPr="002726A4">
              <w:rPr>
                <w:rFonts w:ascii="Arial" w:hAnsi="Arial" w:cs="Arial"/>
                <w:b w:val="0"/>
                <w:bCs w:val="0"/>
                <w:noProof/>
                <w:webHidden/>
                <w:sz w:val="24"/>
                <w:szCs w:val="24"/>
              </w:rPr>
              <w:fldChar w:fldCharType="begin"/>
            </w:r>
            <w:r w:rsidRPr="002726A4">
              <w:rPr>
                <w:rFonts w:ascii="Arial" w:hAnsi="Arial" w:cs="Arial"/>
                <w:b w:val="0"/>
                <w:bCs w:val="0"/>
                <w:noProof/>
                <w:webHidden/>
                <w:sz w:val="24"/>
                <w:szCs w:val="24"/>
              </w:rPr>
              <w:instrText xml:space="preserve"> PAGEREF _Toc193163795 \h </w:instrText>
            </w:r>
            <w:r w:rsidRPr="002726A4">
              <w:rPr>
                <w:rFonts w:ascii="Arial" w:hAnsi="Arial" w:cs="Arial"/>
                <w:b w:val="0"/>
                <w:bCs w:val="0"/>
                <w:noProof/>
                <w:webHidden/>
                <w:sz w:val="24"/>
                <w:szCs w:val="24"/>
              </w:rPr>
            </w:r>
            <w:r w:rsidRPr="002726A4">
              <w:rPr>
                <w:rFonts w:ascii="Arial" w:hAnsi="Arial" w:cs="Arial"/>
                <w:b w:val="0"/>
                <w:bCs w:val="0"/>
                <w:noProof/>
                <w:webHidden/>
                <w:sz w:val="24"/>
                <w:szCs w:val="24"/>
              </w:rPr>
              <w:fldChar w:fldCharType="separate"/>
            </w:r>
            <w:r w:rsidRPr="002726A4">
              <w:rPr>
                <w:rFonts w:ascii="Arial" w:hAnsi="Arial" w:cs="Arial"/>
                <w:b w:val="0"/>
                <w:bCs w:val="0"/>
                <w:noProof/>
                <w:webHidden/>
                <w:sz w:val="24"/>
                <w:szCs w:val="24"/>
              </w:rPr>
              <w:t>8</w:t>
            </w:r>
            <w:r w:rsidRPr="002726A4">
              <w:rPr>
                <w:rFonts w:ascii="Arial" w:hAnsi="Arial" w:cs="Arial"/>
                <w:b w:val="0"/>
                <w:bCs w:val="0"/>
                <w:noProof/>
                <w:webHidden/>
                <w:sz w:val="24"/>
                <w:szCs w:val="24"/>
              </w:rPr>
              <w:fldChar w:fldCharType="end"/>
            </w:r>
          </w:hyperlink>
        </w:p>
        <w:p w14:paraId="294A0AE8" w14:textId="79E794F2" w:rsidR="002726A4" w:rsidRPr="002726A4" w:rsidRDefault="002726A4">
          <w:pPr>
            <w:pStyle w:val="TOC1"/>
            <w:tabs>
              <w:tab w:val="right" w:leader="dot" w:pos="9010"/>
            </w:tabs>
            <w:rPr>
              <w:rFonts w:ascii="Arial" w:eastAsiaTheme="minorEastAsia" w:hAnsi="Arial" w:cs="Arial"/>
              <w:b w:val="0"/>
              <w:bCs w:val="0"/>
              <w:i w:val="0"/>
              <w:iCs w:val="0"/>
              <w:noProof/>
            </w:rPr>
          </w:pPr>
          <w:hyperlink w:anchor="_Toc193163796" w:history="1">
            <w:r w:rsidRPr="002726A4">
              <w:rPr>
                <w:rStyle w:val="Hyperlink"/>
                <w:rFonts w:ascii="Arial" w:hAnsi="Arial" w:cs="Arial"/>
                <w:b w:val="0"/>
                <w:bCs w:val="0"/>
                <w:i w:val="0"/>
                <w:iCs w:val="0"/>
                <w:noProof/>
              </w:rPr>
              <w:t>Conclusion</w:t>
            </w:r>
            <w:r w:rsidRPr="002726A4">
              <w:rPr>
                <w:rFonts w:ascii="Arial" w:hAnsi="Arial" w:cs="Arial"/>
                <w:b w:val="0"/>
                <w:bCs w:val="0"/>
                <w:i w:val="0"/>
                <w:iCs w:val="0"/>
                <w:noProof/>
                <w:webHidden/>
              </w:rPr>
              <w:tab/>
            </w:r>
            <w:r w:rsidRPr="002726A4">
              <w:rPr>
                <w:rFonts w:ascii="Arial" w:hAnsi="Arial" w:cs="Arial"/>
                <w:b w:val="0"/>
                <w:bCs w:val="0"/>
                <w:i w:val="0"/>
                <w:iCs w:val="0"/>
                <w:noProof/>
                <w:webHidden/>
              </w:rPr>
              <w:fldChar w:fldCharType="begin"/>
            </w:r>
            <w:r w:rsidRPr="002726A4">
              <w:rPr>
                <w:rFonts w:ascii="Arial" w:hAnsi="Arial" w:cs="Arial"/>
                <w:b w:val="0"/>
                <w:bCs w:val="0"/>
                <w:i w:val="0"/>
                <w:iCs w:val="0"/>
                <w:noProof/>
                <w:webHidden/>
              </w:rPr>
              <w:instrText xml:space="preserve"> PAGEREF _Toc193163796 \h </w:instrText>
            </w:r>
            <w:r w:rsidRPr="002726A4">
              <w:rPr>
                <w:rFonts w:ascii="Arial" w:hAnsi="Arial" w:cs="Arial"/>
                <w:b w:val="0"/>
                <w:bCs w:val="0"/>
                <w:i w:val="0"/>
                <w:iCs w:val="0"/>
                <w:noProof/>
                <w:webHidden/>
              </w:rPr>
            </w:r>
            <w:r w:rsidRPr="002726A4">
              <w:rPr>
                <w:rFonts w:ascii="Arial" w:hAnsi="Arial" w:cs="Arial"/>
                <w:b w:val="0"/>
                <w:bCs w:val="0"/>
                <w:i w:val="0"/>
                <w:iCs w:val="0"/>
                <w:noProof/>
                <w:webHidden/>
              </w:rPr>
              <w:fldChar w:fldCharType="separate"/>
            </w:r>
            <w:r w:rsidRPr="002726A4">
              <w:rPr>
                <w:rFonts w:ascii="Arial" w:hAnsi="Arial" w:cs="Arial"/>
                <w:b w:val="0"/>
                <w:bCs w:val="0"/>
                <w:i w:val="0"/>
                <w:iCs w:val="0"/>
                <w:noProof/>
                <w:webHidden/>
              </w:rPr>
              <w:t>10</w:t>
            </w:r>
            <w:r w:rsidRPr="002726A4">
              <w:rPr>
                <w:rFonts w:ascii="Arial" w:hAnsi="Arial" w:cs="Arial"/>
                <w:b w:val="0"/>
                <w:bCs w:val="0"/>
                <w:i w:val="0"/>
                <w:iCs w:val="0"/>
                <w:noProof/>
                <w:webHidden/>
              </w:rPr>
              <w:fldChar w:fldCharType="end"/>
            </w:r>
          </w:hyperlink>
        </w:p>
        <w:p w14:paraId="18912839" w14:textId="13461487" w:rsidR="002726A4" w:rsidRPr="002726A4" w:rsidRDefault="002726A4">
          <w:pPr>
            <w:pStyle w:val="TOC1"/>
            <w:tabs>
              <w:tab w:val="right" w:leader="dot" w:pos="9010"/>
            </w:tabs>
            <w:rPr>
              <w:rFonts w:ascii="Arial" w:eastAsiaTheme="minorEastAsia" w:hAnsi="Arial" w:cs="Arial"/>
              <w:b w:val="0"/>
              <w:bCs w:val="0"/>
              <w:i w:val="0"/>
              <w:iCs w:val="0"/>
              <w:noProof/>
            </w:rPr>
          </w:pPr>
          <w:hyperlink w:anchor="_Toc193163797" w:history="1">
            <w:r w:rsidRPr="002726A4">
              <w:rPr>
                <w:rStyle w:val="Hyperlink"/>
                <w:rFonts w:ascii="Arial" w:hAnsi="Arial" w:cs="Arial"/>
                <w:b w:val="0"/>
                <w:bCs w:val="0"/>
                <w:i w:val="0"/>
                <w:iCs w:val="0"/>
                <w:noProof/>
              </w:rPr>
              <w:t>Reference</w:t>
            </w:r>
            <w:r w:rsidRPr="002726A4">
              <w:rPr>
                <w:rFonts w:ascii="Arial" w:hAnsi="Arial" w:cs="Arial"/>
                <w:b w:val="0"/>
                <w:bCs w:val="0"/>
                <w:i w:val="0"/>
                <w:iCs w:val="0"/>
                <w:noProof/>
                <w:webHidden/>
              </w:rPr>
              <w:tab/>
            </w:r>
            <w:r w:rsidRPr="002726A4">
              <w:rPr>
                <w:rFonts w:ascii="Arial" w:hAnsi="Arial" w:cs="Arial"/>
                <w:b w:val="0"/>
                <w:bCs w:val="0"/>
                <w:i w:val="0"/>
                <w:iCs w:val="0"/>
                <w:noProof/>
                <w:webHidden/>
              </w:rPr>
              <w:fldChar w:fldCharType="begin"/>
            </w:r>
            <w:r w:rsidRPr="002726A4">
              <w:rPr>
                <w:rFonts w:ascii="Arial" w:hAnsi="Arial" w:cs="Arial"/>
                <w:b w:val="0"/>
                <w:bCs w:val="0"/>
                <w:i w:val="0"/>
                <w:iCs w:val="0"/>
                <w:noProof/>
                <w:webHidden/>
              </w:rPr>
              <w:instrText xml:space="preserve"> PAGEREF _Toc193163797 \h </w:instrText>
            </w:r>
            <w:r w:rsidRPr="002726A4">
              <w:rPr>
                <w:rFonts w:ascii="Arial" w:hAnsi="Arial" w:cs="Arial"/>
                <w:b w:val="0"/>
                <w:bCs w:val="0"/>
                <w:i w:val="0"/>
                <w:iCs w:val="0"/>
                <w:noProof/>
                <w:webHidden/>
              </w:rPr>
            </w:r>
            <w:r w:rsidRPr="002726A4">
              <w:rPr>
                <w:rFonts w:ascii="Arial" w:hAnsi="Arial" w:cs="Arial"/>
                <w:b w:val="0"/>
                <w:bCs w:val="0"/>
                <w:i w:val="0"/>
                <w:iCs w:val="0"/>
                <w:noProof/>
                <w:webHidden/>
              </w:rPr>
              <w:fldChar w:fldCharType="separate"/>
            </w:r>
            <w:r w:rsidRPr="002726A4">
              <w:rPr>
                <w:rFonts w:ascii="Arial" w:hAnsi="Arial" w:cs="Arial"/>
                <w:b w:val="0"/>
                <w:bCs w:val="0"/>
                <w:i w:val="0"/>
                <w:iCs w:val="0"/>
                <w:noProof/>
                <w:webHidden/>
              </w:rPr>
              <w:t>11</w:t>
            </w:r>
            <w:r w:rsidRPr="002726A4">
              <w:rPr>
                <w:rFonts w:ascii="Arial" w:hAnsi="Arial" w:cs="Arial"/>
                <w:b w:val="0"/>
                <w:bCs w:val="0"/>
                <w:i w:val="0"/>
                <w:iCs w:val="0"/>
                <w:noProof/>
                <w:webHidden/>
              </w:rPr>
              <w:fldChar w:fldCharType="end"/>
            </w:r>
          </w:hyperlink>
        </w:p>
        <w:p w14:paraId="0F171BF7" w14:textId="028E410F" w:rsidR="002726A4" w:rsidRDefault="002726A4">
          <w:r w:rsidRPr="002726A4">
            <w:rPr>
              <w:rFonts w:ascii="Arial" w:hAnsi="Arial" w:cs="Arial"/>
              <w:noProof/>
            </w:rPr>
            <w:fldChar w:fldCharType="end"/>
          </w:r>
        </w:p>
      </w:sdtContent>
    </w:sdt>
    <w:p w14:paraId="53BE7F03" w14:textId="79A159DD" w:rsidR="002726A4" w:rsidRPr="002726A4" w:rsidRDefault="002726A4" w:rsidP="002726A4">
      <w:pPr>
        <w:rPr>
          <w:rFonts w:ascii="Arial" w:hAnsi="Arial" w:cs="Arial"/>
        </w:rPr>
      </w:pPr>
      <w:r w:rsidRPr="002726A4">
        <w:rPr>
          <w:rFonts w:ascii="Arial" w:hAnsi="Arial" w:cs="Arial"/>
        </w:rPr>
        <w:br w:type="page"/>
      </w:r>
    </w:p>
    <w:p w14:paraId="3EA7D791" w14:textId="77777777" w:rsidR="002726A4" w:rsidRPr="002726A4" w:rsidRDefault="002726A4" w:rsidP="002726A4">
      <w:pPr>
        <w:pStyle w:val="Heading1"/>
      </w:pPr>
      <w:bookmarkStart w:id="0" w:name="_Toc193163790"/>
      <w:r w:rsidRPr="002726A4">
        <w:t>Introduction</w:t>
      </w:r>
      <w:bookmarkEnd w:id="0"/>
    </w:p>
    <w:p w14:paraId="4805A33A" w14:textId="77777777" w:rsidR="002726A4" w:rsidRPr="002726A4" w:rsidRDefault="002726A4" w:rsidP="002726A4">
      <w:pPr>
        <w:rPr>
          <w:rFonts w:ascii="Arial" w:hAnsi="Arial" w:cs="Arial"/>
        </w:rPr>
      </w:pPr>
      <w:r w:rsidRPr="002726A4">
        <w:rPr>
          <w:rFonts w:ascii="Arial" w:hAnsi="Arial" w:cs="Arial"/>
          <w:color w:val="000000"/>
        </w:rPr>
        <w:t>Nowadays businesses must decide between pioneering new products and markets rather than entering later due to market conditions. There are advantages for first-movers who gain market control but followers can benefit from overcoming the errors of initial entry by implementing disruptive changes effectively. The article examines both the benefits and drawbacks of pioneering compared to following through the real-world implementation of Standard Chartered Bank alongside Jaguar Cars and Sage Group as pioneers as well as Virgin Atlantic Airways with Greggs and Morrisons as follower companies. The essay relies on three progressive strategic models to establish a comprehensive analysis (Galiano, Rodríguez &amp; Saco, 2022). The Product Life Cycle (PLC) Model will direct our analysis of business strategies through the development period as well as the maturity stage. Dynamic Capabilities Theory helps organisations understand their ability to adjust together with their capacity to create innovations which maintain competitive dominance in changing market conditions (Stock &amp; Seliger, 2019). The theory of Disruptive Innovation will disclose how followers intentionally undercut pioneering organisations through novel value delivery methods. This paper unites these models to create an extensive view of startup and follower businesses that succeed based on their innovation capacities and capacity to modify and fit their strategies to changing market environments.</w:t>
      </w:r>
    </w:p>
    <w:p w14:paraId="773FF971" w14:textId="4CDE7974" w:rsidR="002726A4" w:rsidRPr="002726A4" w:rsidRDefault="002726A4" w:rsidP="002726A4">
      <w:pPr>
        <w:pStyle w:val="Heading1"/>
      </w:pPr>
      <w:bookmarkStart w:id="1" w:name="_Toc193163791"/>
      <w:r w:rsidRPr="002726A4">
        <w:t>Advantages of Pioneer Companies</w:t>
      </w:r>
      <w:bookmarkEnd w:id="1"/>
    </w:p>
    <w:p w14:paraId="6C5167EC" w14:textId="77777777" w:rsidR="002726A4" w:rsidRPr="002726A4" w:rsidRDefault="002726A4" w:rsidP="002726A4">
      <w:pPr>
        <w:rPr>
          <w:rFonts w:ascii="Arial" w:hAnsi="Arial" w:cs="Arial"/>
        </w:rPr>
      </w:pPr>
      <w:r w:rsidRPr="002726A4">
        <w:rPr>
          <w:rFonts w:ascii="Arial" w:hAnsi="Arial" w:cs="Arial"/>
          <w:color w:val="000000"/>
        </w:rPr>
        <w:t>Business success sometimes comes from being the first to market with novel offerings and services, even before competitors get wind of them. Launching initial items helps organisations become favoured brands, control early market sales, and influence customer preferences. Firms that keep their advantages rely on their Dynamic Capabilities, which allow them to identify opportunities and restructure and grasp resources to adapt to environmental changes (Lynn, Morone &amp; Paulson, 2020). Without dynamic capabilities, organisations lose first-mover advantages to competitive market entrance by succeeding competitors that provide higher consumer value. The Product Life Cycle (PLC) concept shows that market pioneers steer expansion from introduction to early growth to create a solid market position. Setting industry standards helps pioneering enterprises evaluate market needs (Birou, Fawcett &amp; Magnan, 2022). Standard Chartered was an early mover among UK large banks by entering new regions in Asia, Africa, and the Middle East, giving it access to local regulatory standards and consumer needs. Entering the market first allowed Standard Chartered to build strong government relationships and consumer trust, which prevented competitors from overtaking them. Standard Chartered has to learn to adapt to regulatory changes and use customer-driven digital banking technology to stay ahead. Failure to adapt would diminish first-mower rewards as fintech disruptors and new banking competitors battle existing financial institutions.</w:t>
      </w:r>
    </w:p>
    <w:p w14:paraId="0A0CBCF4" w14:textId="77777777" w:rsidR="002726A4" w:rsidRPr="002726A4" w:rsidRDefault="002726A4" w:rsidP="002726A4">
      <w:pPr>
        <w:rPr>
          <w:rFonts w:ascii="Arial" w:hAnsi="Arial" w:cs="Arial"/>
        </w:rPr>
      </w:pPr>
      <w:r w:rsidRPr="002726A4">
        <w:rPr>
          <w:rFonts w:ascii="Arial" w:hAnsi="Arial" w:cs="Arial"/>
          <w:color w:val="000000"/>
        </w:rPr>
        <w:t>Jaguar created its brand identity and consumer loyalty by positioning itself as a premium automobile manufacturer with high performance. The revolutionary mix of luxurious features with engineering performance prowess helped Jaguar enter the premium car market. Jaguar established industry standards for quality and creativity with its superior technology and unique design. Established automotive firms are threatened by the automotive industry's shift to electric automobiles and green mobility (Anderson &amp; Zeithaml, 2020). Jaguar's I-PACE electric SUV showed its ability to anticipate and respond to market changes. Pioneer enterprises demonstrate the necessity for continual transformation via Dynamic Capabilities Theory because new Product Life Cycle stages boost market rivalry from growth to maturity. Sage Group shows how pioneering may lead to early market dominance in technology and software. Sage exploited a market disregarded by big vendors that concentrated on business customers by entering first with account software solutions for small and medium firms. Sage created enduring corporate partnerships in the UK via early market penetration with its product introduction. Sage's software became a basic business solution for SMEs, protecting its early market lead (Phillips, Chang &amp; Buzzell, 2021). Xero and QuickBooks released cloud-based accounting systems, forcing Sage to create new features to compete. To adapt to changing market demands, Sage migrated its software to Sage Business Cloud cloud platforms and offered subscription-based services. Sage required its resource-rebuilding strategy to remain ahead in the market since pioneers must adapt.</w:t>
      </w:r>
    </w:p>
    <w:p w14:paraId="25B985A1" w14:textId="77777777" w:rsidR="002726A4" w:rsidRPr="002726A4" w:rsidRDefault="002726A4" w:rsidP="002726A4">
      <w:pPr>
        <w:rPr>
          <w:rFonts w:ascii="Arial" w:hAnsi="Arial" w:cs="Arial"/>
        </w:rPr>
      </w:pPr>
      <w:r w:rsidRPr="002726A4">
        <w:rPr>
          <w:rFonts w:ascii="Arial" w:hAnsi="Arial" w:cs="Arial"/>
          <w:color w:val="000000"/>
        </w:rPr>
        <w:t>When customers have trouble switching, pioneer enterprises build lifelong ties. Sage or Standard Chartered's early client connections prevent consumers from moving to rivals due to switching costs, devotion, and security threats. In the early and expansion stages of the Product Life Cycle, client inertia gives pioneer enterprises an edge. Maintaining market leadership allows these organisations to launch supplementary items via client connections. The first enterprises to dominate distribution networks and negotiate with suppliers have a competitive advantage. In its early years, Jaguar partnered with premium component suppliers and luxury dealers to have exclusive access to premium materials and luxury sales networks, making it difficult for new rivals to compete (Carpenter &amp; Nakamoto, 2024). Pioneer enterprises are powerful in marketplaces that value customer experiences and brand reputation, such as luxury cars. The benefits are ephemeral, therefore stakeholders must weigh them. vitam Dynamic Capability To sustain leadership, pioneers must adapt and reconfigure their resources, according to theories. Non-adapting companies will be overtaken by developing competition. Jaguar and Sage should constantly innovate, improve technology, and engage customers to be relevant throughout their industries' PLC lifetime development and maturity.</w:t>
      </w:r>
    </w:p>
    <w:p w14:paraId="41CCF1BC" w14:textId="0561C663" w:rsidR="002726A4" w:rsidRPr="002726A4" w:rsidRDefault="002726A4" w:rsidP="002726A4">
      <w:pPr>
        <w:pStyle w:val="Heading1"/>
      </w:pPr>
      <w:bookmarkStart w:id="2" w:name="_Toc193163792"/>
      <w:r w:rsidRPr="002726A4">
        <w:t>Advantages of Follower Companies</w:t>
      </w:r>
      <w:bookmarkEnd w:id="2"/>
    </w:p>
    <w:p w14:paraId="6E629FCC" w14:textId="77777777" w:rsidR="002726A4" w:rsidRPr="002726A4" w:rsidRDefault="002726A4" w:rsidP="002726A4">
      <w:pPr>
        <w:rPr>
          <w:rFonts w:ascii="Arial" w:hAnsi="Arial" w:cs="Arial"/>
        </w:rPr>
      </w:pPr>
      <w:r w:rsidRPr="002726A4">
        <w:rPr>
          <w:rFonts w:ascii="Arial" w:hAnsi="Arial" w:cs="Arial"/>
          <w:color w:val="000000"/>
        </w:rPr>
        <w:t>Organisations that enter product or service markets after pioneering companies have already established the infrastructure are said to be "followers" in the business world. Follower enterprises benefit when organisations study early market players and avoid their errors to utilise new technology and business techniques. According to the Disruptive Innovation Theory, followers might succeed by offering simple, affordable, or unique items to new customer groups that major corporations ignore. Market followers gain from entering markets in the growth or maturity phases of a Product Life Cycle (PLC) because consumer preferences become more defined and demand and risk factors are reduced (Bloch, 2021). One of the follower firms' benefits is their capacity to observe and learn from pioneer mistakes. This model requires pioneers to pay for market establishment, consumer education, and early R&amp;D. Following organisations profit by researching pioneer market offers to uncover shortcomings and create better, cheaper products. Virgin Atlantic focused on customer issues with basic flight amenities from British Airways (BA) to enter an established airline business (Kerin, Varadarajan &amp; Peterson, 2024). Virgin Atlantic revolutionised its market sector by offering customers more than basic travel alternatives with specialised entertainment activities, great support, and bespoke customer trips. Virgin used disruptive techniques to develop its distinctive market identity and attract loyal consumers who would be required to start a new market.</w:t>
      </w:r>
    </w:p>
    <w:p w14:paraId="58994188" w14:textId="77777777" w:rsidR="002726A4" w:rsidRPr="002726A4" w:rsidRDefault="002726A4" w:rsidP="002726A4">
      <w:pPr>
        <w:rPr>
          <w:rFonts w:ascii="Arial" w:hAnsi="Arial" w:cs="Arial"/>
        </w:rPr>
      </w:pPr>
      <w:r w:rsidRPr="002726A4">
        <w:rPr>
          <w:rFonts w:ascii="Arial" w:hAnsi="Arial" w:cs="Arial"/>
          <w:color w:val="000000"/>
        </w:rPr>
        <w:t>Follower enterprises gain from more efficient technical systems that allow them to use sophisticated supply and distribution networks at cheaper prices. Greggs entered the fast-food sector, led by McDonald's and Burger King, and succeeded. Greggs introduced affordable, healthful products since larger rivals had left this market unexplored. In response to customer awareness, Gregg introduced low-calorie meals and vegan sausage rolls. This example illustrates Disruptive Innovation Theory by showing how a startup targets customers disregarded by industry leaders (Kerin, Varadarajan &amp; Peterson, 2024). Greggs joined the industry at its growth and early maturity PLC phases to profit from high demand and an established client base while avoiding market development expenditures. After Tesco and Sainsbury's developed digital platforms and customer delivery, Morrisons joined the online grocery business as a follower. Morrisons used Amazon's logistical network and e-commerce skills instead of building its own. Morrisons partnered with Amazon to provide faster, cheaper online grocery delivery, enhancing consumer satisfaction over traditional cost structures. The organisation enhanced its service platform by studying industry leaders' experiences and client input to meet consumer requests. Morrisons entered the PLC's development and maturity phases to gain market share and improve customer satisfaction rather than entering an uncharted market.</w:t>
      </w:r>
    </w:p>
    <w:p w14:paraId="0A73D1F4" w14:textId="77777777" w:rsidR="002726A4" w:rsidRPr="002726A4" w:rsidRDefault="002726A4" w:rsidP="002726A4">
      <w:pPr>
        <w:rPr>
          <w:rFonts w:ascii="Arial" w:hAnsi="Arial" w:cs="Arial"/>
        </w:rPr>
      </w:pPr>
      <w:r w:rsidRPr="002726A4">
        <w:rPr>
          <w:rFonts w:ascii="Arial" w:hAnsi="Arial" w:cs="Arial"/>
          <w:color w:val="000000"/>
        </w:rPr>
        <w:t>The following companies may benefit from strategic agility and responsiveness. Followers may create simplified company models that meet market needs since they are free from pioneers' system restrictions. Virgin Atlantic entered the market with a customer-focused service experience strategy that allows for stronger market response and outperforms conventional carriers. Greggs's flexibility to create seasonal items and adapt to culinary trends helps them to meet shifting customer preferences (Shim &amp; Lee, 2023). Followers face lower market entrance risks and costs. Strategic investments in successful products are made by followers who wait until market demand is established. Morrisons' late entry into online groceries helped them avoid Tesco and Sainsbury's hefty start-up expenses and operational challenges in the early days. Morrisons partnered with third-party platforms to decrease costs, simplify processes, and reach more customers. Followers' risk management method works when they join markets following predictable buying patterns. Changing client expectations during market maturity enables subsequent entrants to find product gaps (Thietart &amp; Vivas, 2024). Customers at the PLC maturity level desire reduced pricing, better service, and personalised experiences. Consumer preference changes enabled Greggs and Virgin Atlantic to produce unique services that helped them acquire market share from established rivals. The Disruptive Innovation Theory helps follower businesses identify market demands that pioneers miss to disrupt dominant sectors and gain market advantage.</w:t>
      </w:r>
    </w:p>
    <w:p w14:paraId="184A456D" w14:textId="77777777" w:rsidR="002726A4" w:rsidRPr="002726A4" w:rsidRDefault="002726A4" w:rsidP="002726A4">
      <w:pPr>
        <w:pStyle w:val="Heading1"/>
      </w:pPr>
      <w:bookmarkStart w:id="3" w:name="_Toc193163793"/>
      <w:r w:rsidRPr="002726A4">
        <w:t>Product Life Cycle (PLC) Strategies in Growth and Maturity Stages</w:t>
      </w:r>
      <w:bookmarkEnd w:id="3"/>
    </w:p>
    <w:p w14:paraId="74561A85" w14:textId="0F4081B4" w:rsidR="002726A4" w:rsidRDefault="002726A4" w:rsidP="002726A4">
      <w:pPr>
        <w:rPr>
          <w:rFonts w:ascii="Arial" w:hAnsi="Arial" w:cs="Arial"/>
          <w:color w:val="000000"/>
        </w:rPr>
      </w:pPr>
      <w:r w:rsidRPr="002726A4">
        <w:rPr>
          <w:rFonts w:ascii="Arial" w:hAnsi="Arial" w:cs="Arial"/>
          <w:color w:val="000000"/>
        </w:rPr>
        <w:t>Through its Product Life Cycle (PLC) model products and services move sequentially across four stages that start with Introduction then proceed to Growth after that they reach Maturity and finally end in Decline. In this essay, we analyse the Growth and Maturity stages since companies in these periods need strategic plans to keep their competitiveness and market share. Multiple opportunities with distinct challenges exist for leaders and imitators during different stages of product development (Mayer &amp; Vambery, 2023). Strategies within these phases require pioneers to adopt dynamic capabilities whereas followers should implement disruptive innovation.</w:t>
      </w:r>
    </w:p>
    <w:p w14:paraId="012EB534" w14:textId="77777777" w:rsidR="005516E2" w:rsidRDefault="005516E2" w:rsidP="005516E2">
      <w:pPr>
        <w:keepNext/>
        <w:jc w:val="center"/>
      </w:pPr>
      <w:r>
        <w:fldChar w:fldCharType="begin"/>
      </w:r>
      <w:r>
        <w:instrText xml:space="preserve"> INCLUDEPICTURE "https://files.oaiusercontent.com/file-XtiQqX51LDKfTKdNquxP3C?se=2025-03-17T22%3A28%3A01Z&amp;sp=r&amp;sv=2024-08-04&amp;sr=b&amp;rscc=max-age%3D299%2C%20immutable%2C%20private&amp;rscd=attachment%3B%20filename%3Dc9a6c9d0-c7e5-42e2-8841-475762137a13&amp;sig=uxcCQa/Eee5BA6501NmVIb8rNTmWPQQCDjyyjc%2B9tn0%3D" \* MERGEFORMATINET </w:instrText>
      </w:r>
      <w:r>
        <w:fldChar w:fldCharType="separate"/>
      </w:r>
      <w:r>
        <w:rPr>
          <w:noProof/>
        </w:rPr>
        <w:drawing>
          <wp:inline distT="0" distB="0" distL="0" distR="0" wp14:anchorId="2F46C2EE" wp14:editId="1B1896F9">
            <wp:extent cx="4692580" cy="3063183"/>
            <wp:effectExtent l="0" t="0" r="0" b="0"/>
            <wp:docPr id="1162382761"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10400" cy="3074815"/>
                    </a:xfrm>
                    <a:prstGeom prst="rect">
                      <a:avLst/>
                    </a:prstGeom>
                    <a:noFill/>
                    <a:ln>
                      <a:noFill/>
                    </a:ln>
                  </pic:spPr>
                </pic:pic>
              </a:graphicData>
            </a:graphic>
          </wp:inline>
        </w:drawing>
      </w:r>
      <w:r>
        <w:fldChar w:fldCharType="end"/>
      </w:r>
    </w:p>
    <w:p w14:paraId="38BC9063" w14:textId="04798412" w:rsidR="005516E2" w:rsidRPr="005516E2" w:rsidRDefault="005516E2" w:rsidP="005516E2">
      <w:pPr>
        <w:pStyle w:val="Caption"/>
        <w:rPr>
          <w:rFonts w:ascii="Arial" w:hAnsi="Arial" w:cs="Arial"/>
        </w:rPr>
      </w:pPr>
      <w:r w:rsidRPr="005516E2">
        <w:rPr>
          <w:rFonts w:ascii="Arial" w:hAnsi="Arial" w:cs="Arial"/>
        </w:rPr>
        <w:t xml:space="preserve">Figure </w:t>
      </w:r>
      <w:r w:rsidRPr="005516E2">
        <w:rPr>
          <w:rFonts w:ascii="Arial" w:hAnsi="Arial" w:cs="Arial"/>
        </w:rPr>
        <w:fldChar w:fldCharType="begin"/>
      </w:r>
      <w:r w:rsidRPr="005516E2">
        <w:rPr>
          <w:rFonts w:ascii="Arial" w:hAnsi="Arial" w:cs="Arial"/>
        </w:rPr>
        <w:instrText xml:space="preserve"> SEQ Figure \* ARABIC </w:instrText>
      </w:r>
      <w:r w:rsidRPr="005516E2">
        <w:rPr>
          <w:rFonts w:ascii="Arial" w:hAnsi="Arial" w:cs="Arial"/>
        </w:rPr>
        <w:fldChar w:fldCharType="separate"/>
      </w:r>
      <w:r w:rsidRPr="005516E2">
        <w:rPr>
          <w:rFonts w:ascii="Arial" w:hAnsi="Arial" w:cs="Arial"/>
          <w:noProof/>
        </w:rPr>
        <w:t>1</w:t>
      </w:r>
      <w:r w:rsidRPr="005516E2">
        <w:rPr>
          <w:rFonts w:ascii="Arial" w:hAnsi="Arial" w:cs="Arial"/>
        </w:rPr>
        <w:fldChar w:fldCharType="end"/>
      </w:r>
      <w:r w:rsidRPr="005516E2">
        <w:rPr>
          <w:rFonts w:ascii="Arial" w:hAnsi="Arial" w:cs="Arial"/>
          <w:lang w:val="en-US"/>
        </w:rPr>
        <w:t xml:space="preserve">: </w:t>
      </w:r>
      <w:r w:rsidRPr="005516E2">
        <w:rPr>
          <w:rFonts w:ascii="Arial" w:hAnsi="Arial" w:cs="Arial"/>
        </w:rPr>
        <w:t>Product Life Cycle (PLC) Diagram</w:t>
      </w:r>
    </w:p>
    <w:p w14:paraId="5B8F656D" w14:textId="4442C51C" w:rsidR="005516E2" w:rsidRDefault="005516E2" w:rsidP="005516E2">
      <w:pPr>
        <w:jc w:val="center"/>
      </w:pPr>
    </w:p>
    <w:p w14:paraId="50908987" w14:textId="1974682C" w:rsidR="005516E2" w:rsidRDefault="005516E2" w:rsidP="005516E2">
      <w:pPr>
        <w:rPr>
          <w:rFonts w:ascii="Arial" w:hAnsi="Arial" w:cs="Arial"/>
        </w:rPr>
      </w:pPr>
      <w:r w:rsidRPr="005516E2">
        <w:rPr>
          <w:rFonts w:ascii="Arial" w:hAnsi="Arial" w:cs="Arial"/>
        </w:rPr>
        <w:t>Products and services progress consecutively over four stages—Introduction, Growth, Maturity, and Decline—starting with Introduction, then moving under its Product Life Cycle (PLC) paradigm. Since businesses in both eras need strategic strategies to maintain their competitiveness and market share, in this article we examine the Growth and Maturity stages.</w:t>
      </w:r>
    </w:p>
    <w:p w14:paraId="21CD0FF1" w14:textId="77777777" w:rsidR="005516E2" w:rsidRPr="002726A4" w:rsidRDefault="005516E2" w:rsidP="005516E2">
      <w:pPr>
        <w:rPr>
          <w:rFonts w:ascii="Arial" w:hAnsi="Arial" w:cs="Arial"/>
        </w:rPr>
      </w:pPr>
    </w:p>
    <w:p w14:paraId="26445BCD" w14:textId="77777777" w:rsidR="002726A4" w:rsidRPr="002726A4" w:rsidRDefault="002726A4" w:rsidP="002726A4">
      <w:pPr>
        <w:pStyle w:val="Heading2"/>
      </w:pPr>
      <w:bookmarkStart w:id="4" w:name="_Toc193163794"/>
      <w:r w:rsidRPr="002726A4">
        <w:t>Growth Stage Strategies</w:t>
      </w:r>
      <w:bookmarkEnd w:id="4"/>
    </w:p>
    <w:p w14:paraId="27828823" w14:textId="77777777" w:rsidR="002726A4" w:rsidRPr="002726A4" w:rsidRDefault="002726A4" w:rsidP="002726A4">
      <w:pPr>
        <w:rPr>
          <w:rFonts w:ascii="Arial" w:hAnsi="Arial" w:cs="Arial"/>
        </w:rPr>
      </w:pPr>
      <w:r w:rsidRPr="002726A4">
        <w:rPr>
          <w:rFonts w:ascii="Arial" w:hAnsi="Arial" w:cs="Arial"/>
          <w:color w:val="000000"/>
        </w:rPr>
        <w:t>The growth stage results in increased market demand but the competition level grows stronger because new firms enter the market. The market creator pioneer firms must build new customer sections while improving their products and enlarging their production facilities to stay market leaders. The firm depends on Dynamic Capabilities Theory at this point to adjust its assets while dealing with fast market developments.</w:t>
      </w:r>
    </w:p>
    <w:p w14:paraId="55AD7730" w14:textId="77777777" w:rsidR="002726A4" w:rsidRPr="002726A4" w:rsidRDefault="002726A4" w:rsidP="002726A4">
      <w:pPr>
        <w:rPr>
          <w:rFonts w:ascii="Arial" w:hAnsi="Arial" w:cs="Arial"/>
        </w:rPr>
      </w:pPr>
      <w:r w:rsidRPr="002726A4">
        <w:rPr>
          <w:rFonts w:ascii="Arial" w:hAnsi="Arial" w:cs="Arial"/>
          <w:color w:val="000000"/>
        </w:rPr>
        <w:t>Jaguar revealed itself as a founder of luxury and performance cars who needed to shift their business toward electric vehicles during the growing phase of the EV market sector. Jaguar used its dynamic capabilities to produce the I-PACE electric SUV which met increasing market demand for sustainable vehicles (Hart &amp; Milstein, 2023). Through its investments in electric vehicle technology combined with luxury design principles, Jaguar wanted to keep its pioneer leadership position in addition to attracting environmentally responsible clients. The organisation pairs market trend forecasting with its innovative capability to navigate the growth stage which features high market growth yet increasing levels of competition.</w:t>
      </w:r>
    </w:p>
    <w:p w14:paraId="7AC2496C" w14:textId="77777777" w:rsidR="002726A4" w:rsidRPr="002726A4" w:rsidRDefault="002726A4" w:rsidP="002726A4">
      <w:pPr>
        <w:rPr>
          <w:rFonts w:ascii="Arial" w:hAnsi="Arial" w:cs="Arial"/>
        </w:rPr>
      </w:pPr>
      <w:r w:rsidRPr="002726A4">
        <w:rPr>
          <w:rFonts w:ascii="Arial" w:hAnsi="Arial" w:cs="Arial"/>
          <w:color w:val="000000"/>
        </w:rPr>
        <w:t>Standard Chartered built growth-stage strategies through increasing its operations in emerging markets. Standard Chartered maintains its initial market entry through ongoing investments in digital banking for Asia and Africa where the customer base consists of people with digital literacy (Shankar, 2020). Digital transformation acts as a versatile capability to help the bank maintain market competitiveness when fintech companies enter standard operating areas. Standard Chartered depends on three fundamental expansion methods including product development, market penetration and personalised service delivery to avoid losing its market standing as consumer demand expands.</w:t>
      </w:r>
    </w:p>
    <w:p w14:paraId="0A879E09" w14:textId="77777777" w:rsidR="002726A4" w:rsidRPr="002726A4" w:rsidRDefault="002726A4" w:rsidP="002726A4">
      <w:pPr>
        <w:rPr>
          <w:rFonts w:ascii="Arial" w:hAnsi="Arial" w:cs="Arial"/>
        </w:rPr>
      </w:pPr>
      <w:r w:rsidRPr="002726A4">
        <w:rPr>
          <w:rFonts w:ascii="Arial" w:hAnsi="Arial" w:cs="Arial"/>
          <w:color w:val="000000"/>
        </w:rPr>
        <w:t>Companies which join in the late growth stage tend to launch disruptive innovations against current market leaders. The fast-food market growth attracted health-conscious consumers so Greggs introduced vegan and low-calorie choices as its disruptive innovation to serve the untapped market segment that traditional fast-food giants had missed (Lehman &amp; Wickham, 2022). The identification of consumer needs that did not have solutions enabled Greggs to apply disruptive innovation and achieve quick expansion within its competitive market.</w:t>
      </w:r>
    </w:p>
    <w:p w14:paraId="4DEA3B81" w14:textId="77777777" w:rsidR="002726A4" w:rsidRPr="002726A4" w:rsidRDefault="002726A4" w:rsidP="002726A4">
      <w:pPr>
        <w:pStyle w:val="Heading2"/>
      </w:pPr>
      <w:bookmarkStart w:id="5" w:name="_Toc193163795"/>
      <w:r w:rsidRPr="002726A4">
        <w:t>Maturity Stage Strategies</w:t>
      </w:r>
      <w:bookmarkEnd w:id="5"/>
    </w:p>
    <w:p w14:paraId="2DF99529" w14:textId="77777777" w:rsidR="002726A4" w:rsidRPr="002726A4" w:rsidRDefault="002726A4" w:rsidP="002726A4">
      <w:pPr>
        <w:rPr>
          <w:rFonts w:ascii="Arial" w:hAnsi="Arial" w:cs="Arial"/>
        </w:rPr>
      </w:pPr>
      <w:r w:rsidRPr="002726A4">
        <w:rPr>
          <w:rFonts w:ascii="Arial" w:hAnsi="Arial" w:cs="Arial"/>
          <w:color w:val="000000"/>
        </w:rPr>
        <w:t>Market expansion reduces its pace during the maturity stage when competition reaches its highest point. Businesses must work to protect their current market position by streamlining operations while delivering unique products to prevent market decline. Pioneers depend specifically on dynamic capabilities to update their cost-effective propositions.</w:t>
      </w:r>
    </w:p>
    <w:p w14:paraId="5ADC22CE" w14:textId="77777777" w:rsidR="002726A4" w:rsidRPr="002726A4" w:rsidRDefault="002726A4" w:rsidP="002726A4">
      <w:pPr>
        <w:rPr>
          <w:rFonts w:ascii="Arial" w:hAnsi="Arial" w:cs="Arial"/>
        </w:rPr>
      </w:pPr>
      <w:r w:rsidRPr="002726A4">
        <w:rPr>
          <w:rFonts w:ascii="Arial" w:hAnsi="Arial" w:cs="Arial"/>
          <w:color w:val="000000"/>
        </w:rPr>
        <w:t>Sage Group struggled to compete against cloud-based disruption from Xero and QuickBooks while maintaining its position as the first supplier of SME accounting software. The maturity phase required Sage to use its dynamic capabilities to create Sage Business Cloud which transitioned its traditional software to cloud-based solutions (Teece, Pisano &amp; Shuen, 2021). By adopting new technologies Sage Group simultaneously updated its product line and met market needs for mobile adaptable accounting solutions which served as the foundation for its sustainability in the evolving market sector.</w:t>
      </w:r>
    </w:p>
    <w:p w14:paraId="4A301BAB" w14:textId="77777777" w:rsidR="002726A4" w:rsidRPr="002726A4" w:rsidRDefault="002726A4" w:rsidP="002726A4">
      <w:pPr>
        <w:rPr>
          <w:rFonts w:ascii="Arial" w:hAnsi="Arial" w:cs="Arial"/>
        </w:rPr>
      </w:pPr>
      <w:r w:rsidRPr="002726A4">
        <w:rPr>
          <w:rFonts w:ascii="Arial" w:hAnsi="Arial" w:cs="Arial"/>
          <w:color w:val="000000"/>
        </w:rPr>
        <w:t>In contrast, follower companies like Morrisons focus on cost leadership and strategic partnerships during the maturity stage. Through its entrance into the online grocery market after early competitors Morrisons tapped into Amazon's operations to present swift and competitive delivery services to customers. Through its disruptive approach, Morrisons successfully entered the market against Tesco and Sainsbury’s despite their costly retail structures (Ernes, 2019). The utilisation of Amazon's technological platform enabled Morrisons to decrease operational complexity and satisfy changing consumer demands regarding fast and flexible grocery delivery through effective disruptive innovation in a mature market. The airline sector has not deterred Virgin Atlantic from advancing new company innovations by providing premium experiences and establishing partnership schemes with loyalty programmes (Robinson, 2022). Virgin maintains its competitive advantage by delivering unique services to customers while keeping visitors engaged to preserve its position despite overall industry development constraints.</w:t>
      </w:r>
    </w:p>
    <w:p w14:paraId="44B0F452" w14:textId="77777777" w:rsidR="002726A4" w:rsidRDefault="002726A4">
      <w:pPr>
        <w:spacing w:after="160" w:line="259" w:lineRule="auto"/>
        <w:jc w:val="left"/>
        <w:rPr>
          <w:rFonts w:ascii="Arial" w:hAnsi="Arial" w:cs="Arial"/>
        </w:rPr>
      </w:pPr>
      <w:r>
        <w:rPr>
          <w:rFonts w:ascii="Arial" w:hAnsi="Arial" w:cs="Arial"/>
        </w:rPr>
        <w:br w:type="page"/>
      </w:r>
    </w:p>
    <w:p w14:paraId="14719297" w14:textId="780A782B" w:rsidR="002726A4" w:rsidRPr="002726A4" w:rsidRDefault="002726A4" w:rsidP="002726A4">
      <w:pPr>
        <w:pStyle w:val="Heading1"/>
      </w:pPr>
      <w:bookmarkStart w:id="6" w:name="_Toc193163796"/>
      <w:r w:rsidRPr="002726A4">
        <w:t>Conclusion</w:t>
      </w:r>
      <w:bookmarkEnd w:id="6"/>
    </w:p>
    <w:p w14:paraId="6411594F" w14:textId="77777777" w:rsidR="002726A4" w:rsidRPr="002726A4" w:rsidRDefault="002726A4" w:rsidP="002726A4">
      <w:pPr>
        <w:rPr>
          <w:rFonts w:ascii="Arial" w:hAnsi="Arial" w:cs="Arial"/>
        </w:rPr>
      </w:pPr>
      <w:r w:rsidRPr="002726A4">
        <w:rPr>
          <w:rFonts w:ascii="Arial" w:hAnsi="Arial" w:cs="Arial"/>
          <w:color w:val="000000"/>
        </w:rPr>
        <w:t>A well-suited strategic alignment with market conditions and organisational capabilities leads pioneer and follower companies to substantial success. Early market entry gives pioneers like Standard Chartered along with Jaguar and Sage Group the advantage to achieve strong brand leadership while developing loyal customers. The prolonged competitive advantage of pioneers depends on their ability to leverage Dynamic Capabilities to adapt and innovate their strategies throughout the Product Life Cycle (PLC), especially in its growth and maturity phases (Barney, 2023). Later market entry has proven beneficial for Virgin Atlantic, Greggs, and Morrisons because they have succeeded with Disruptive Innovation approaches. Introducing simple customer-oriented and cost-effective solutions allows followers to challenge pioneers effectively and ultimately surpass them when pioneers fail to evolve (Stock &amp; Seliger, 2019). A business secures success through its continuous innovation and strategic adaptations that keep pace with transforming market conditions. A first or second entry does not always lead to success. The application of PLC and Dynamic Capabilities theory together with Disruptive Innovation theory provides organisations with an integrated model to maintain their competitive edge during different market development phases.</w:t>
      </w:r>
    </w:p>
    <w:p w14:paraId="089C1D38" w14:textId="77777777" w:rsidR="002726A4" w:rsidRPr="002726A4" w:rsidRDefault="002726A4" w:rsidP="002726A4">
      <w:pPr>
        <w:rPr>
          <w:rFonts w:ascii="Arial" w:hAnsi="Arial" w:cs="Arial"/>
        </w:rPr>
      </w:pPr>
    </w:p>
    <w:p w14:paraId="4EA8E6CB" w14:textId="77777777" w:rsidR="002726A4" w:rsidRDefault="002726A4">
      <w:pPr>
        <w:spacing w:after="160" w:line="259" w:lineRule="auto"/>
        <w:jc w:val="left"/>
        <w:rPr>
          <w:rFonts w:ascii="Arial" w:hAnsi="Arial" w:cs="Arial"/>
          <w:color w:val="000000"/>
        </w:rPr>
      </w:pPr>
      <w:r>
        <w:rPr>
          <w:rFonts w:ascii="Arial" w:hAnsi="Arial" w:cs="Arial"/>
          <w:color w:val="000000"/>
        </w:rPr>
        <w:br w:type="page"/>
      </w:r>
    </w:p>
    <w:p w14:paraId="6819A7F0" w14:textId="0FF1E9F4" w:rsidR="002726A4" w:rsidRPr="002726A4" w:rsidRDefault="002726A4" w:rsidP="002726A4">
      <w:pPr>
        <w:pStyle w:val="Heading1"/>
      </w:pPr>
      <w:bookmarkStart w:id="7" w:name="_Toc193163797"/>
      <w:r w:rsidRPr="002726A4">
        <w:t>Reference</w:t>
      </w:r>
      <w:bookmarkEnd w:id="7"/>
    </w:p>
    <w:p w14:paraId="3B4C7DAD" w14:textId="77777777" w:rsidR="002726A4" w:rsidRPr="002726A4" w:rsidRDefault="002726A4" w:rsidP="002726A4">
      <w:pPr>
        <w:rPr>
          <w:rFonts w:ascii="Arial" w:hAnsi="Arial" w:cs="Arial"/>
        </w:rPr>
      </w:pPr>
      <w:r w:rsidRPr="002726A4">
        <w:rPr>
          <w:rFonts w:ascii="Arial" w:hAnsi="Arial" w:cs="Arial"/>
          <w:color w:val="000000"/>
        </w:rPr>
        <w:t xml:space="preserve">Anderson, C.R. &amp; Zeithaml, C.P. (2020) ‘Stage of the product life cycle, business strategy, and business performance,’ </w:t>
      </w:r>
      <w:r w:rsidRPr="002726A4">
        <w:rPr>
          <w:rFonts w:ascii="Arial" w:hAnsi="Arial" w:cs="Arial"/>
          <w:i/>
          <w:iCs/>
          <w:color w:val="000000"/>
        </w:rPr>
        <w:t>Academy of Management Journal</w:t>
      </w:r>
      <w:r w:rsidRPr="002726A4">
        <w:rPr>
          <w:rFonts w:ascii="Arial" w:hAnsi="Arial" w:cs="Arial"/>
          <w:color w:val="000000"/>
        </w:rPr>
        <w:t xml:space="preserve">, 27(1), pp. 5–24. </w:t>
      </w:r>
      <w:hyperlink r:id="rId10" w:history="1">
        <w:r w:rsidRPr="002726A4">
          <w:rPr>
            <w:rStyle w:val="Hyperlink"/>
            <w:rFonts w:ascii="Arial" w:hAnsi="Arial" w:cs="Arial"/>
            <w:color w:val="1155CC"/>
          </w:rPr>
          <w:t>https://doi.org/10.5465/255954</w:t>
        </w:r>
      </w:hyperlink>
    </w:p>
    <w:p w14:paraId="007E2760" w14:textId="77777777" w:rsidR="002726A4" w:rsidRPr="002726A4" w:rsidRDefault="002726A4" w:rsidP="002726A4">
      <w:pPr>
        <w:rPr>
          <w:rFonts w:ascii="Arial" w:hAnsi="Arial" w:cs="Arial"/>
        </w:rPr>
      </w:pPr>
      <w:r w:rsidRPr="002726A4">
        <w:rPr>
          <w:rFonts w:ascii="Arial" w:hAnsi="Arial" w:cs="Arial"/>
          <w:color w:val="000000"/>
        </w:rPr>
        <w:t xml:space="preserve">Barney, J.B. (2023) ‘Firm resources and sustained competitive advantage,’ in </w:t>
      </w:r>
      <w:r w:rsidRPr="002726A4">
        <w:rPr>
          <w:rFonts w:ascii="Arial" w:hAnsi="Arial" w:cs="Arial"/>
          <w:i/>
          <w:iCs/>
          <w:color w:val="000000"/>
        </w:rPr>
        <w:t>Advances in strategic management</w:t>
      </w:r>
      <w:r w:rsidRPr="002726A4">
        <w:rPr>
          <w:rFonts w:ascii="Arial" w:hAnsi="Arial" w:cs="Arial"/>
          <w:color w:val="000000"/>
        </w:rPr>
        <w:t xml:space="preserve">, pp. 203–227. </w:t>
      </w:r>
      <w:hyperlink r:id="rId11" w:history="1">
        <w:r w:rsidRPr="002726A4">
          <w:rPr>
            <w:rStyle w:val="Hyperlink"/>
            <w:rFonts w:ascii="Arial" w:hAnsi="Arial" w:cs="Arial"/>
            <w:color w:val="1155CC"/>
          </w:rPr>
          <w:t>https://doi.org/10.1016/s0742-3322(00)17018-4</w:t>
        </w:r>
      </w:hyperlink>
    </w:p>
    <w:p w14:paraId="02B932F8" w14:textId="77777777" w:rsidR="002726A4" w:rsidRPr="002726A4" w:rsidRDefault="002726A4" w:rsidP="002726A4">
      <w:pPr>
        <w:rPr>
          <w:rFonts w:ascii="Arial" w:hAnsi="Arial" w:cs="Arial"/>
        </w:rPr>
      </w:pPr>
      <w:r w:rsidRPr="002726A4">
        <w:rPr>
          <w:rFonts w:ascii="Arial" w:hAnsi="Arial" w:cs="Arial"/>
          <w:color w:val="000000"/>
        </w:rPr>
        <w:t xml:space="preserve">Birou, L.M., Fawcett, S.E. &amp; Magnan, G.M. (2022) ‘The Product Life Cycle: a tool for functional strategic alignment,’ </w:t>
      </w:r>
      <w:r w:rsidRPr="002726A4">
        <w:rPr>
          <w:rFonts w:ascii="Arial" w:hAnsi="Arial" w:cs="Arial"/>
          <w:i/>
          <w:iCs/>
          <w:color w:val="000000"/>
        </w:rPr>
        <w:t>International Journal of Purchasing and Materials Management</w:t>
      </w:r>
      <w:r w:rsidRPr="002726A4">
        <w:rPr>
          <w:rFonts w:ascii="Arial" w:hAnsi="Arial" w:cs="Arial"/>
          <w:color w:val="000000"/>
        </w:rPr>
        <w:t xml:space="preserve">, 34(1), pp. 37–52. </w:t>
      </w:r>
      <w:hyperlink r:id="rId12" w:history="1">
        <w:r w:rsidRPr="002726A4">
          <w:rPr>
            <w:rStyle w:val="Hyperlink"/>
            <w:rFonts w:ascii="Arial" w:hAnsi="Arial" w:cs="Arial"/>
            <w:color w:val="1155CC"/>
          </w:rPr>
          <w:t>https://doi.org/10.1111/j.1745-493x.1998.tb00047.x</w:t>
        </w:r>
      </w:hyperlink>
    </w:p>
    <w:p w14:paraId="15E50434" w14:textId="77777777" w:rsidR="002726A4" w:rsidRPr="002726A4" w:rsidRDefault="002726A4" w:rsidP="002726A4">
      <w:pPr>
        <w:rPr>
          <w:rFonts w:ascii="Arial" w:hAnsi="Arial" w:cs="Arial"/>
        </w:rPr>
      </w:pPr>
      <w:r w:rsidRPr="002726A4">
        <w:rPr>
          <w:rFonts w:ascii="Arial" w:hAnsi="Arial" w:cs="Arial"/>
          <w:color w:val="000000"/>
        </w:rPr>
        <w:t xml:space="preserve">Bloch, P.H. (2021a) ‘Seeking the ideal form: product design and consumer response,’ </w:t>
      </w:r>
      <w:r w:rsidRPr="002726A4">
        <w:rPr>
          <w:rFonts w:ascii="Arial" w:hAnsi="Arial" w:cs="Arial"/>
          <w:i/>
          <w:iCs/>
          <w:color w:val="000000"/>
        </w:rPr>
        <w:t>Journal of Marketing</w:t>
      </w:r>
      <w:r w:rsidRPr="002726A4">
        <w:rPr>
          <w:rFonts w:ascii="Arial" w:hAnsi="Arial" w:cs="Arial"/>
          <w:color w:val="000000"/>
        </w:rPr>
        <w:t xml:space="preserve">, 59(3), p. 16. </w:t>
      </w:r>
      <w:hyperlink r:id="rId13" w:history="1">
        <w:r w:rsidRPr="002726A4">
          <w:rPr>
            <w:rStyle w:val="Hyperlink"/>
            <w:rFonts w:ascii="Arial" w:hAnsi="Arial" w:cs="Arial"/>
            <w:color w:val="1155CC"/>
          </w:rPr>
          <w:t>https://doi.org/10.2307/1252116</w:t>
        </w:r>
      </w:hyperlink>
    </w:p>
    <w:p w14:paraId="0DDEEF08" w14:textId="77777777" w:rsidR="002726A4" w:rsidRPr="002726A4" w:rsidRDefault="002726A4" w:rsidP="002726A4">
      <w:pPr>
        <w:rPr>
          <w:rFonts w:ascii="Arial" w:hAnsi="Arial" w:cs="Arial"/>
        </w:rPr>
      </w:pPr>
      <w:r w:rsidRPr="002726A4">
        <w:rPr>
          <w:rFonts w:ascii="Arial" w:hAnsi="Arial" w:cs="Arial"/>
          <w:color w:val="000000"/>
        </w:rPr>
        <w:t xml:space="preserve">Bloch, P.H. (2021b) ‘Seeking the ideal form: product design and consumer response,’ </w:t>
      </w:r>
      <w:r w:rsidRPr="002726A4">
        <w:rPr>
          <w:rFonts w:ascii="Arial" w:hAnsi="Arial" w:cs="Arial"/>
          <w:i/>
          <w:iCs/>
          <w:color w:val="000000"/>
        </w:rPr>
        <w:t>Journal of Marketing</w:t>
      </w:r>
      <w:r w:rsidRPr="002726A4">
        <w:rPr>
          <w:rFonts w:ascii="Arial" w:hAnsi="Arial" w:cs="Arial"/>
          <w:color w:val="000000"/>
        </w:rPr>
        <w:t xml:space="preserve">, 59(3), p. 16. </w:t>
      </w:r>
      <w:hyperlink r:id="rId14" w:history="1">
        <w:r w:rsidRPr="002726A4">
          <w:rPr>
            <w:rStyle w:val="Hyperlink"/>
            <w:rFonts w:ascii="Arial" w:hAnsi="Arial" w:cs="Arial"/>
            <w:color w:val="1155CC"/>
          </w:rPr>
          <w:t>https://doi.org/10.2307/1252116</w:t>
        </w:r>
      </w:hyperlink>
    </w:p>
    <w:p w14:paraId="3C84D093" w14:textId="77777777" w:rsidR="002726A4" w:rsidRPr="002726A4" w:rsidRDefault="002726A4" w:rsidP="002726A4">
      <w:pPr>
        <w:rPr>
          <w:rFonts w:ascii="Arial" w:hAnsi="Arial" w:cs="Arial"/>
        </w:rPr>
      </w:pPr>
      <w:r w:rsidRPr="002726A4">
        <w:rPr>
          <w:rFonts w:ascii="Arial" w:hAnsi="Arial" w:cs="Arial"/>
          <w:color w:val="000000"/>
        </w:rPr>
        <w:t xml:space="preserve">Carpenter, G.S. &amp; Nakamoto, K. (2024) ‘Consumer preference formation and pioneering advantage,’ </w:t>
      </w:r>
      <w:r w:rsidRPr="002726A4">
        <w:rPr>
          <w:rFonts w:ascii="Arial" w:hAnsi="Arial" w:cs="Arial"/>
          <w:i/>
          <w:iCs/>
          <w:color w:val="000000"/>
        </w:rPr>
        <w:t>Journal of Marketing Research</w:t>
      </w:r>
      <w:r w:rsidRPr="002726A4">
        <w:rPr>
          <w:rFonts w:ascii="Arial" w:hAnsi="Arial" w:cs="Arial"/>
          <w:color w:val="000000"/>
        </w:rPr>
        <w:t xml:space="preserve">, 26(3), p. 285. </w:t>
      </w:r>
      <w:hyperlink r:id="rId15" w:history="1">
        <w:r w:rsidRPr="002726A4">
          <w:rPr>
            <w:rStyle w:val="Hyperlink"/>
            <w:rFonts w:ascii="Arial" w:hAnsi="Arial" w:cs="Arial"/>
            <w:color w:val="1155CC"/>
          </w:rPr>
          <w:t>https://doi.org/10.2307/3172901</w:t>
        </w:r>
      </w:hyperlink>
    </w:p>
    <w:p w14:paraId="4E425E3F" w14:textId="77777777" w:rsidR="002726A4" w:rsidRPr="002726A4" w:rsidRDefault="002726A4" w:rsidP="002726A4">
      <w:pPr>
        <w:rPr>
          <w:rFonts w:ascii="Arial" w:hAnsi="Arial" w:cs="Arial"/>
        </w:rPr>
      </w:pPr>
      <w:r w:rsidRPr="002726A4">
        <w:rPr>
          <w:rFonts w:ascii="Arial" w:hAnsi="Arial" w:cs="Arial"/>
          <w:color w:val="000000"/>
        </w:rPr>
        <w:t xml:space="preserve">Ernes, J. (2019) ‘Market entry strategies and competitive advantages in Poland,’ in </w:t>
      </w:r>
      <w:r w:rsidRPr="002726A4">
        <w:rPr>
          <w:rFonts w:ascii="Arial" w:hAnsi="Arial" w:cs="Arial"/>
          <w:i/>
          <w:iCs/>
          <w:color w:val="000000"/>
        </w:rPr>
        <w:t>Palgrave Macmillan UK eBooks</w:t>
      </w:r>
      <w:r w:rsidRPr="002726A4">
        <w:rPr>
          <w:rFonts w:ascii="Arial" w:hAnsi="Arial" w:cs="Arial"/>
          <w:color w:val="000000"/>
        </w:rPr>
        <w:t xml:space="preserve">, pp. 153–175. </w:t>
      </w:r>
      <w:hyperlink r:id="rId16" w:history="1">
        <w:r w:rsidRPr="002726A4">
          <w:rPr>
            <w:rStyle w:val="Hyperlink"/>
            <w:rFonts w:ascii="Arial" w:hAnsi="Arial" w:cs="Arial"/>
            <w:color w:val="1155CC"/>
          </w:rPr>
          <w:t>https://doi.org/10.1057/9781403937841_8</w:t>
        </w:r>
      </w:hyperlink>
    </w:p>
    <w:p w14:paraId="632679F1" w14:textId="77777777" w:rsidR="002726A4" w:rsidRPr="002726A4" w:rsidRDefault="002726A4" w:rsidP="002726A4">
      <w:pPr>
        <w:rPr>
          <w:rFonts w:ascii="Arial" w:hAnsi="Arial" w:cs="Arial"/>
        </w:rPr>
      </w:pPr>
      <w:r w:rsidRPr="002726A4">
        <w:rPr>
          <w:rFonts w:ascii="Arial" w:hAnsi="Arial" w:cs="Arial"/>
          <w:color w:val="000000"/>
        </w:rPr>
        <w:t xml:space="preserve">Galiano, A., Rodríguez, V. &amp; Saco, M. (2022) ‘Analysis of the behaviour of the clients assisted and sales variables in the different phases of the product life cycle,’ </w:t>
      </w:r>
      <w:r w:rsidRPr="002726A4">
        <w:rPr>
          <w:rFonts w:ascii="Arial" w:hAnsi="Arial" w:cs="Arial"/>
          <w:i/>
          <w:iCs/>
          <w:color w:val="000000"/>
        </w:rPr>
        <w:t>European Journal of Management and Business Economics</w:t>
      </w:r>
      <w:r w:rsidRPr="002726A4">
        <w:rPr>
          <w:rFonts w:ascii="Arial" w:hAnsi="Arial" w:cs="Arial"/>
          <w:color w:val="000000"/>
        </w:rPr>
        <w:t xml:space="preserve">, 27(3), pp. 266–284. </w:t>
      </w:r>
      <w:hyperlink r:id="rId17" w:history="1">
        <w:r w:rsidRPr="002726A4">
          <w:rPr>
            <w:rStyle w:val="Hyperlink"/>
            <w:rFonts w:ascii="Arial" w:hAnsi="Arial" w:cs="Arial"/>
            <w:color w:val="1155CC"/>
          </w:rPr>
          <w:t>https://doi.org/10.1108/ejmbe-01-2018-0005</w:t>
        </w:r>
      </w:hyperlink>
    </w:p>
    <w:p w14:paraId="5620F156" w14:textId="77777777" w:rsidR="002726A4" w:rsidRPr="002726A4" w:rsidRDefault="002726A4" w:rsidP="002726A4">
      <w:pPr>
        <w:rPr>
          <w:rFonts w:ascii="Arial" w:hAnsi="Arial" w:cs="Arial"/>
        </w:rPr>
      </w:pPr>
      <w:r w:rsidRPr="002726A4">
        <w:rPr>
          <w:rFonts w:ascii="Arial" w:hAnsi="Arial" w:cs="Arial"/>
          <w:color w:val="000000"/>
        </w:rPr>
        <w:t xml:space="preserve">Hart, S.L. &amp; Milstein, M.B. (2023) ‘Creating sustainable value,’ </w:t>
      </w:r>
      <w:r w:rsidRPr="002726A4">
        <w:rPr>
          <w:rFonts w:ascii="Arial" w:hAnsi="Arial" w:cs="Arial"/>
          <w:i/>
          <w:iCs/>
          <w:color w:val="000000"/>
        </w:rPr>
        <w:t>Academy of Management Perspectives</w:t>
      </w:r>
      <w:r w:rsidRPr="002726A4">
        <w:rPr>
          <w:rFonts w:ascii="Arial" w:hAnsi="Arial" w:cs="Arial"/>
          <w:color w:val="000000"/>
        </w:rPr>
        <w:t xml:space="preserve">, 17(2), pp. 56–67. </w:t>
      </w:r>
      <w:hyperlink r:id="rId18" w:history="1">
        <w:r w:rsidRPr="002726A4">
          <w:rPr>
            <w:rStyle w:val="Hyperlink"/>
            <w:rFonts w:ascii="Arial" w:hAnsi="Arial" w:cs="Arial"/>
            <w:color w:val="1155CC"/>
          </w:rPr>
          <w:t>https://doi.org/10.5465/ame.2003.10025194</w:t>
        </w:r>
      </w:hyperlink>
    </w:p>
    <w:p w14:paraId="48D74177" w14:textId="77777777" w:rsidR="002726A4" w:rsidRPr="002726A4" w:rsidRDefault="002726A4" w:rsidP="002726A4">
      <w:pPr>
        <w:rPr>
          <w:rFonts w:ascii="Arial" w:hAnsi="Arial" w:cs="Arial"/>
        </w:rPr>
      </w:pPr>
      <w:r w:rsidRPr="002726A4">
        <w:rPr>
          <w:rFonts w:ascii="Arial" w:hAnsi="Arial" w:cs="Arial"/>
          <w:color w:val="000000"/>
        </w:rPr>
        <w:t xml:space="preserve">Kerin, R.A., Varadarajan, P.R. &amp; Peterson, R.A. (2024) ‘First-Mover advantage: a synthesis, conceptual framework, and research propositions,’ </w:t>
      </w:r>
      <w:r w:rsidRPr="002726A4">
        <w:rPr>
          <w:rFonts w:ascii="Arial" w:hAnsi="Arial" w:cs="Arial"/>
          <w:i/>
          <w:iCs/>
          <w:color w:val="000000"/>
        </w:rPr>
        <w:t>Journal of Marketing</w:t>
      </w:r>
      <w:r w:rsidRPr="002726A4">
        <w:rPr>
          <w:rFonts w:ascii="Arial" w:hAnsi="Arial" w:cs="Arial"/>
          <w:color w:val="000000"/>
        </w:rPr>
        <w:t xml:space="preserve">, 56(4), pp. 33–52. </w:t>
      </w:r>
      <w:hyperlink r:id="rId19" w:history="1">
        <w:r w:rsidRPr="002726A4">
          <w:rPr>
            <w:rStyle w:val="Hyperlink"/>
            <w:rFonts w:ascii="Arial" w:hAnsi="Arial" w:cs="Arial"/>
            <w:color w:val="1155CC"/>
          </w:rPr>
          <w:t>https://doi.org/10.1177/002224299205600404</w:t>
        </w:r>
      </w:hyperlink>
    </w:p>
    <w:p w14:paraId="04F7482D" w14:textId="77777777" w:rsidR="002726A4" w:rsidRPr="002726A4" w:rsidRDefault="002726A4" w:rsidP="002726A4">
      <w:pPr>
        <w:rPr>
          <w:rFonts w:ascii="Arial" w:hAnsi="Arial" w:cs="Arial"/>
        </w:rPr>
      </w:pPr>
      <w:r w:rsidRPr="002726A4">
        <w:rPr>
          <w:rFonts w:ascii="Arial" w:hAnsi="Arial" w:cs="Arial"/>
          <w:color w:val="000000"/>
        </w:rPr>
        <w:t xml:space="preserve">Lehman, K. &amp; Wickham, M. (2022) ‘Marketing orientation and activities in the arts-marketing context: Introducing a Visual Artists’ Marketing Trajectory model,’ </w:t>
      </w:r>
      <w:r w:rsidRPr="002726A4">
        <w:rPr>
          <w:rFonts w:ascii="Arial" w:hAnsi="Arial" w:cs="Arial"/>
          <w:i/>
          <w:iCs/>
          <w:color w:val="000000"/>
        </w:rPr>
        <w:t>Journal of Marketing Management</w:t>
      </w:r>
      <w:r w:rsidRPr="002726A4">
        <w:rPr>
          <w:rFonts w:ascii="Arial" w:hAnsi="Arial" w:cs="Arial"/>
          <w:color w:val="000000"/>
        </w:rPr>
        <w:t xml:space="preserve">, 30(7–8), pp. 664–696. </w:t>
      </w:r>
      <w:hyperlink r:id="rId20" w:history="1">
        <w:r w:rsidRPr="002726A4">
          <w:rPr>
            <w:rStyle w:val="Hyperlink"/>
            <w:rFonts w:ascii="Arial" w:hAnsi="Arial" w:cs="Arial"/>
            <w:color w:val="1155CC"/>
          </w:rPr>
          <w:t>https://doi.org/10.1080/0267257x.2013.838987</w:t>
        </w:r>
      </w:hyperlink>
    </w:p>
    <w:p w14:paraId="1D98A6F0" w14:textId="77777777" w:rsidR="002726A4" w:rsidRPr="002726A4" w:rsidRDefault="002726A4" w:rsidP="002726A4">
      <w:pPr>
        <w:rPr>
          <w:rFonts w:ascii="Arial" w:hAnsi="Arial" w:cs="Arial"/>
        </w:rPr>
      </w:pPr>
      <w:r w:rsidRPr="002726A4">
        <w:rPr>
          <w:rFonts w:ascii="Arial" w:hAnsi="Arial" w:cs="Arial"/>
          <w:color w:val="000000"/>
        </w:rPr>
        <w:t xml:space="preserve">Lynn, G.S., Morone, J.G. &amp; Paulson, A.S. (2020) ‘Marketing and Discontinuous Innovation: the probe and learn process,’ </w:t>
      </w:r>
      <w:r w:rsidRPr="002726A4">
        <w:rPr>
          <w:rFonts w:ascii="Arial" w:hAnsi="Arial" w:cs="Arial"/>
          <w:i/>
          <w:iCs/>
          <w:color w:val="000000"/>
        </w:rPr>
        <w:t>California Management Review</w:t>
      </w:r>
      <w:r w:rsidRPr="002726A4">
        <w:rPr>
          <w:rFonts w:ascii="Arial" w:hAnsi="Arial" w:cs="Arial"/>
          <w:color w:val="000000"/>
        </w:rPr>
        <w:t xml:space="preserve">, 38(3), pp. 8–37. </w:t>
      </w:r>
      <w:hyperlink r:id="rId21" w:history="1">
        <w:r w:rsidRPr="002726A4">
          <w:rPr>
            <w:rStyle w:val="Hyperlink"/>
            <w:rFonts w:ascii="Arial" w:hAnsi="Arial" w:cs="Arial"/>
            <w:color w:val="1155CC"/>
          </w:rPr>
          <w:t>https://doi.org/10.2307/41165841</w:t>
        </w:r>
      </w:hyperlink>
    </w:p>
    <w:p w14:paraId="04490EB2" w14:textId="77777777" w:rsidR="002726A4" w:rsidRPr="002726A4" w:rsidRDefault="002726A4" w:rsidP="002726A4">
      <w:pPr>
        <w:rPr>
          <w:rFonts w:ascii="Arial" w:hAnsi="Arial" w:cs="Arial"/>
        </w:rPr>
      </w:pPr>
      <w:r w:rsidRPr="002726A4">
        <w:rPr>
          <w:rFonts w:ascii="Arial" w:hAnsi="Arial" w:cs="Arial"/>
          <w:color w:val="000000"/>
        </w:rPr>
        <w:t xml:space="preserve">Mayer, P. &amp; Vambery, R.G. (2023) ‘Aligning Global Business Strategy Planning Models with Accelerating Change,’ </w:t>
      </w:r>
      <w:r w:rsidRPr="002726A4">
        <w:rPr>
          <w:rFonts w:ascii="Arial" w:hAnsi="Arial" w:cs="Arial"/>
          <w:i/>
          <w:iCs/>
          <w:color w:val="000000"/>
        </w:rPr>
        <w:t>Journal of Global Business and Technology</w:t>
      </w:r>
      <w:r w:rsidRPr="002726A4">
        <w:rPr>
          <w:rFonts w:ascii="Arial" w:hAnsi="Arial" w:cs="Arial"/>
          <w:color w:val="000000"/>
        </w:rPr>
        <w:t xml:space="preserve">, 4(1), p. 31. </w:t>
      </w:r>
      <w:hyperlink r:id="rId22" w:history="1">
        <w:r w:rsidRPr="002726A4">
          <w:rPr>
            <w:rStyle w:val="Hyperlink"/>
            <w:rFonts w:ascii="Arial" w:hAnsi="Arial" w:cs="Arial"/>
            <w:color w:val="1155CC"/>
          </w:rPr>
          <w:t>https://www.questia.com/library/journal/1P3-1524926851/aligning-global-business-strategy-planning-models</w:t>
        </w:r>
      </w:hyperlink>
    </w:p>
    <w:p w14:paraId="01C57D69" w14:textId="77777777" w:rsidR="002726A4" w:rsidRPr="002726A4" w:rsidRDefault="002726A4" w:rsidP="002726A4">
      <w:pPr>
        <w:rPr>
          <w:rFonts w:ascii="Arial" w:hAnsi="Arial" w:cs="Arial"/>
        </w:rPr>
      </w:pPr>
      <w:r w:rsidRPr="002726A4">
        <w:rPr>
          <w:rFonts w:ascii="Arial" w:hAnsi="Arial" w:cs="Arial"/>
          <w:color w:val="000000"/>
        </w:rPr>
        <w:t xml:space="preserve">Phillips, L.W., Chang, D.R. &amp; Buzzell, R.D. (2021) ‘Product quality, cost position and business performance: a test of some key hypotheses,’ </w:t>
      </w:r>
      <w:r w:rsidRPr="002726A4">
        <w:rPr>
          <w:rFonts w:ascii="Arial" w:hAnsi="Arial" w:cs="Arial"/>
          <w:i/>
          <w:iCs/>
          <w:color w:val="000000"/>
        </w:rPr>
        <w:t>Journal of Marketing</w:t>
      </w:r>
      <w:r w:rsidRPr="002726A4">
        <w:rPr>
          <w:rFonts w:ascii="Arial" w:hAnsi="Arial" w:cs="Arial"/>
          <w:color w:val="000000"/>
        </w:rPr>
        <w:t xml:space="preserve">, 47(2), p. 26. </w:t>
      </w:r>
      <w:hyperlink r:id="rId23" w:history="1">
        <w:r w:rsidRPr="002726A4">
          <w:rPr>
            <w:rStyle w:val="Hyperlink"/>
            <w:rFonts w:ascii="Arial" w:hAnsi="Arial" w:cs="Arial"/>
            <w:color w:val="1155CC"/>
          </w:rPr>
          <w:t>https://doi.org/10.2307/1251491</w:t>
        </w:r>
      </w:hyperlink>
    </w:p>
    <w:p w14:paraId="1068E835" w14:textId="77777777" w:rsidR="002726A4" w:rsidRPr="002726A4" w:rsidRDefault="002726A4" w:rsidP="002726A4">
      <w:pPr>
        <w:rPr>
          <w:rFonts w:ascii="Arial" w:hAnsi="Arial" w:cs="Arial"/>
        </w:rPr>
      </w:pPr>
      <w:r w:rsidRPr="002726A4">
        <w:rPr>
          <w:rFonts w:ascii="Arial" w:hAnsi="Arial" w:cs="Arial"/>
          <w:color w:val="000000"/>
        </w:rPr>
        <w:t xml:space="preserve">Robinson, W.T. (2022) ‘Sources of market pioneer advantages: the case of industrial goods industries,’ </w:t>
      </w:r>
      <w:r w:rsidRPr="002726A4">
        <w:rPr>
          <w:rFonts w:ascii="Arial" w:hAnsi="Arial" w:cs="Arial"/>
          <w:i/>
          <w:iCs/>
          <w:color w:val="000000"/>
        </w:rPr>
        <w:t>Journal of Marketing Research</w:t>
      </w:r>
      <w:r w:rsidRPr="002726A4">
        <w:rPr>
          <w:rFonts w:ascii="Arial" w:hAnsi="Arial" w:cs="Arial"/>
          <w:color w:val="000000"/>
        </w:rPr>
        <w:t xml:space="preserve">, 25(1), pp. 87–94. </w:t>
      </w:r>
      <w:hyperlink r:id="rId24" w:history="1">
        <w:r w:rsidRPr="002726A4">
          <w:rPr>
            <w:rStyle w:val="Hyperlink"/>
            <w:rFonts w:ascii="Arial" w:hAnsi="Arial" w:cs="Arial"/>
            <w:color w:val="1155CC"/>
          </w:rPr>
          <w:t>https://doi.org/10.1177/002224378802500109</w:t>
        </w:r>
      </w:hyperlink>
    </w:p>
    <w:p w14:paraId="23A1028A" w14:textId="77777777" w:rsidR="002726A4" w:rsidRPr="002726A4" w:rsidRDefault="002726A4" w:rsidP="002726A4">
      <w:pPr>
        <w:rPr>
          <w:rFonts w:ascii="Arial" w:hAnsi="Arial" w:cs="Arial"/>
        </w:rPr>
      </w:pPr>
      <w:r w:rsidRPr="002726A4">
        <w:rPr>
          <w:rFonts w:ascii="Arial" w:hAnsi="Arial" w:cs="Arial"/>
          <w:color w:val="000000"/>
        </w:rPr>
        <w:t xml:space="preserve">Shankar, V. (2020) ‘Pioneers’ marketing mix reactions to entry in different competitive game structures: theoretical analysis and empirical illustration,’ </w:t>
      </w:r>
      <w:r w:rsidRPr="002726A4">
        <w:rPr>
          <w:rFonts w:ascii="Arial" w:hAnsi="Arial" w:cs="Arial"/>
          <w:i/>
          <w:iCs/>
          <w:color w:val="000000"/>
        </w:rPr>
        <w:t>Marketing Science</w:t>
      </w:r>
      <w:r w:rsidRPr="002726A4">
        <w:rPr>
          <w:rFonts w:ascii="Arial" w:hAnsi="Arial" w:cs="Arial"/>
          <w:color w:val="000000"/>
        </w:rPr>
        <w:t xml:space="preserve">, 16(3), pp. 271–293. </w:t>
      </w:r>
      <w:hyperlink r:id="rId25" w:history="1">
        <w:r w:rsidRPr="002726A4">
          <w:rPr>
            <w:rStyle w:val="Hyperlink"/>
            <w:rFonts w:ascii="Arial" w:hAnsi="Arial" w:cs="Arial"/>
            <w:color w:val="1155CC"/>
          </w:rPr>
          <w:t>https://doi.org/10.1287/mksc.16.3.271</w:t>
        </w:r>
      </w:hyperlink>
    </w:p>
    <w:p w14:paraId="72EB24F9" w14:textId="77777777" w:rsidR="002726A4" w:rsidRPr="002726A4" w:rsidRDefault="002726A4" w:rsidP="002726A4">
      <w:pPr>
        <w:rPr>
          <w:rFonts w:ascii="Arial" w:hAnsi="Arial" w:cs="Arial"/>
        </w:rPr>
      </w:pPr>
      <w:r w:rsidRPr="002726A4">
        <w:rPr>
          <w:rFonts w:ascii="Arial" w:hAnsi="Arial" w:cs="Arial"/>
          <w:color w:val="000000"/>
        </w:rPr>
        <w:t xml:space="preserve">Shim, S. &amp; Lee, B. (2023) ‘Sustainable competitive advantage of a system goods innovator in a market with network effects and entry threats,’ </w:t>
      </w:r>
      <w:r w:rsidRPr="002726A4">
        <w:rPr>
          <w:rFonts w:ascii="Arial" w:hAnsi="Arial" w:cs="Arial"/>
          <w:i/>
          <w:iCs/>
          <w:color w:val="000000"/>
        </w:rPr>
        <w:t>Decision Support Systems</w:t>
      </w:r>
      <w:r w:rsidRPr="002726A4">
        <w:rPr>
          <w:rFonts w:ascii="Arial" w:hAnsi="Arial" w:cs="Arial"/>
          <w:color w:val="000000"/>
        </w:rPr>
        <w:t xml:space="preserve">, 52(2), pp. 308–317. </w:t>
      </w:r>
      <w:hyperlink r:id="rId26" w:history="1">
        <w:r w:rsidRPr="002726A4">
          <w:rPr>
            <w:rStyle w:val="Hyperlink"/>
            <w:rFonts w:ascii="Arial" w:hAnsi="Arial" w:cs="Arial"/>
            <w:color w:val="1155CC"/>
          </w:rPr>
          <w:t>https://doi.org/10.1016/j.dss.2011.08.007</w:t>
        </w:r>
      </w:hyperlink>
    </w:p>
    <w:p w14:paraId="41F6512E" w14:textId="77777777" w:rsidR="002726A4" w:rsidRPr="002726A4" w:rsidRDefault="002726A4" w:rsidP="002726A4">
      <w:pPr>
        <w:rPr>
          <w:rFonts w:ascii="Arial" w:hAnsi="Arial" w:cs="Arial"/>
        </w:rPr>
      </w:pPr>
      <w:r w:rsidRPr="002726A4">
        <w:rPr>
          <w:rFonts w:ascii="Arial" w:hAnsi="Arial" w:cs="Arial"/>
          <w:color w:val="000000"/>
        </w:rPr>
        <w:t xml:space="preserve">Stock, T. &amp; Seliger, G. (2019) ‘Opportunities of sustainable manufacturing in industry 4.0,’ </w:t>
      </w:r>
      <w:r w:rsidRPr="002726A4">
        <w:rPr>
          <w:rFonts w:ascii="Arial" w:hAnsi="Arial" w:cs="Arial"/>
          <w:i/>
          <w:iCs/>
          <w:color w:val="000000"/>
        </w:rPr>
        <w:t>Procedia CIRP</w:t>
      </w:r>
      <w:r w:rsidRPr="002726A4">
        <w:rPr>
          <w:rFonts w:ascii="Arial" w:hAnsi="Arial" w:cs="Arial"/>
          <w:color w:val="000000"/>
        </w:rPr>
        <w:t xml:space="preserve">, 40, pp. 536–541. </w:t>
      </w:r>
      <w:hyperlink r:id="rId27" w:history="1">
        <w:r w:rsidRPr="002726A4">
          <w:rPr>
            <w:rStyle w:val="Hyperlink"/>
            <w:rFonts w:ascii="Arial" w:hAnsi="Arial" w:cs="Arial"/>
            <w:color w:val="1155CC"/>
          </w:rPr>
          <w:t>https://doi.org/10.1016/j.procir.2016.01.129</w:t>
        </w:r>
      </w:hyperlink>
    </w:p>
    <w:p w14:paraId="21951AC5" w14:textId="77777777" w:rsidR="002726A4" w:rsidRPr="002726A4" w:rsidRDefault="002726A4" w:rsidP="002726A4">
      <w:pPr>
        <w:rPr>
          <w:rFonts w:ascii="Arial" w:hAnsi="Arial" w:cs="Arial"/>
        </w:rPr>
      </w:pPr>
      <w:r w:rsidRPr="002726A4">
        <w:rPr>
          <w:rFonts w:ascii="Arial" w:hAnsi="Arial" w:cs="Arial"/>
          <w:color w:val="000000"/>
        </w:rPr>
        <w:t xml:space="preserve">Teece, D.J., Pisano, G. &amp; Shuen, A. (2021) ‘Dynamic capabilities and strategic management,’ in </w:t>
      </w:r>
      <w:r w:rsidRPr="002726A4">
        <w:rPr>
          <w:rFonts w:ascii="Arial" w:hAnsi="Arial" w:cs="Arial"/>
          <w:i/>
          <w:iCs/>
          <w:color w:val="000000"/>
        </w:rPr>
        <w:t>Oxford University Press eBooks</w:t>
      </w:r>
      <w:r w:rsidRPr="002726A4">
        <w:rPr>
          <w:rFonts w:ascii="Arial" w:hAnsi="Arial" w:cs="Arial"/>
          <w:color w:val="000000"/>
        </w:rPr>
        <w:t xml:space="preserve">, pp. 268–285. </w:t>
      </w:r>
      <w:hyperlink r:id="rId28" w:history="1">
        <w:r w:rsidRPr="002726A4">
          <w:rPr>
            <w:rStyle w:val="Hyperlink"/>
            <w:rFonts w:ascii="Arial" w:hAnsi="Arial" w:cs="Arial"/>
            <w:color w:val="1155CC"/>
          </w:rPr>
          <w:t>https://doi.org/10.1093/oso/9780198781806.003.0019</w:t>
        </w:r>
      </w:hyperlink>
    </w:p>
    <w:p w14:paraId="7030AEDC" w14:textId="77777777" w:rsidR="002726A4" w:rsidRPr="002726A4" w:rsidRDefault="002726A4" w:rsidP="002726A4">
      <w:pPr>
        <w:rPr>
          <w:rFonts w:ascii="Arial" w:hAnsi="Arial" w:cs="Arial"/>
        </w:rPr>
      </w:pPr>
      <w:r w:rsidRPr="002726A4">
        <w:rPr>
          <w:rFonts w:ascii="Arial" w:hAnsi="Arial" w:cs="Arial"/>
          <w:color w:val="000000"/>
        </w:rPr>
        <w:t xml:space="preserve">Thietart, R.A. &amp; Vivas, R. (2024) ‘An empirical investigation of success strategies for businesses along the product life cycle,’ </w:t>
      </w:r>
      <w:r w:rsidRPr="002726A4">
        <w:rPr>
          <w:rFonts w:ascii="Arial" w:hAnsi="Arial" w:cs="Arial"/>
          <w:i/>
          <w:iCs/>
          <w:color w:val="000000"/>
        </w:rPr>
        <w:t>Management Science</w:t>
      </w:r>
      <w:r w:rsidRPr="002726A4">
        <w:rPr>
          <w:rFonts w:ascii="Arial" w:hAnsi="Arial" w:cs="Arial"/>
          <w:color w:val="000000"/>
        </w:rPr>
        <w:t xml:space="preserve">, 30(12), pp. 1405–1423. </w:t>
      </w:r>
      <w:hyperlink r:id="rId29" w:history="1">
        <w:r w:rsidRPr="002726A4">
          <w:rPr>
            <w:rStyle w:val="Hyperlink"/>
            <w:rFonts w:ascii="Arial" w:hAnsi="Arial" w:cs="Arial"/>
            <w:color w:val="1155CC"/>
          </w:rPr>
          <w:t>https://doi.org/10.1287/mnsc.30.12.1405</w:t>
        </w:r>
      </w:hyperlink>
    </w:p>
    <w:p w14:paraId="16B13013" w14:textId="77777777" w:rsidR="002726A4" w:rsidRPr="002726A4" w:rsidRDefault="002726A4" w:rsidP="002726A4">
      <w:pPr>
        <w:rPr>
          <w:rFonts w:ascii="Arial" w:hAnsi="Arial" w:cs="Arial"/>
        </w:rPr>
      </w:pPr>
    </w:p>
    <w:p w14:paraId="5BD40BB9" w14:textId="2BD2DEEA" w:rsidR="00562DF2" w:rsidRPr="002726A4" w:rsidRDefault="00562DF2" w:rsidP="002726A4">
      <w:pPr>
        <w:rPr>
          <w:rFonts w:ascii="Arial" w:hAnsi="Arial" w:cs="Arial"/>
        </w:rPr>
      </w:pPr>
      <w:r w:rsidRPr="002726A4">
        <w:rPr>
          <w:rFonts w:ascii="Arial" w:hAnsi="Arial" w:cs="Arial"/>
        </w:rPr>
        <w:br w:type="page"/>
      </w:r>
    </w:p>
    <w:p w14:paraId="17D55F27" w14:textId="77777777" w:rsidR="00CA0CC3" w:rsidRPr="002726A4" w:rsidRDefault="00CA0CC3" w:rsidP="002726A4">
      <w:pPr>
        <w:rPr>
          <w:rFonts w:ascii="Arial" w:hAnsi="Arial" w:cs="Arial"/>
        </w:rPr>
      </w:pPr>
    </w:p>
    <w:sectPr w:rsidR="00CA0CC3" w:rsidRPr="002726A4" w:rsidSect="00562DF2">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AE98B" w14:textId="77777777" w:rsidR="00F4593E" w:rsidRDefault="00F4593E" w:rsidP="00CD3D2B">
      <w:r>
        <w:separator/>
      </w:r>
    </w:p>
  </w:endnote>
  <w:endnote w:type="continuationSeparator" w:id="0">
    <w:p w14:paraId="0F13279D" w14:textId="77777777" w:rsidR="00F4593E" w:rsidRDefault="00F4593E"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D41A4" w14:textId="77777777" w:rsidR="00F4593E" w:rsidRDefault="00F4593E" w:rsidP="00CD3D2B">
      <w:r>
        <w:separator/>
      </w:r>
    </w:p>
  </w:footnote>
  <w:footnote w:type="continuationSeparator" w:id="0">
    <w:p w14:paraId="2561D8ED" w14:textId="77777777" w:rsidR="00F4593E" w:rsidRDefault="00F4593E"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961068">
    <w:abstractNumId w:val="14"/>
  </w:num>
  <w:num w:numId="2" w16cid:durableId="324431403">
    <w:abstractNumId w:val="8"/>
  </w:num>
  <w:num w:numId="3" w16cid:durableId="956839424">
    <w:abstractNumId w:val="0"/>
  </w:num>
  <w:num w:numId="4" w16cid:durableId="1001859281">
    <w:abstractNumId w:val="3"/>
  </w:num>
  <w:num w:numId="5" w16cid:durableId="209001002">
    <w:abstractNumId w:val="11"/>
  </w:num>
  <w:num w:numId="6" w16cid:durableId="1776167378">
    <w:abstractNumId w:val="6"/>
  </w:num>
  <w:num w:numId="7" w16cid:durableId="92746011">
    <w:abstractNumId w:val="7"/>
  </w:num>
  <w:num w:numId="8" w16cid:durableId="1221593074">
    <w:abstractNumId w:val="9"/>
  </w:num>
  <w:num w:numId="9" w16cid:durableId="312298643">
    <w:abstractNumId w:val="10"/>
  </w:num>
  <w:num w:numId="10" w16cid:durableId="1744252114">
    <w:abstractNumId w:val="5"/>
  </w:num>
  <w:num w:numId="11" w16cid:durableId="4720887">
    <w:abstractNumId w:val="1"/>
  </w:num>
  <w:num w:numId="12" w16cid:durableId="1589190609">
    <w:abstractNumId w:val="13"/>
  </w:num>
  <w:num w:numId="13" w16cid:durableId="1278490511">
    <w:abstractNumId w:val="12"/>
  </w:num>
  <w:num w:numId="14" w16cid:durableId="547956008">
    <w:abstractNumId w:val="2"/>
  </w:num>
  <w:num w:numId="15" w16cid:durableId="805044976">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3F8E"/>
    <w:rsid w:val="000F50A3"/>
    <w:rsid w:val="000F7992"/>
    <w:rsid w:val="00101CD4"/>
    <w:rsid w:val="00101D2F"/>
    <w:rsid w:val="00102F07"/>
    <w:rsid w:val="00104DC2"/>
    <w:rsid w:val="00105CC4"/>
    <w:rsid w:val="00107786"/>
    <w:rsid w:val="001127DF"/>
    <w:rsid w:val="0011301C"/>
    <w:rsid w:val="00115303"/>
    <w:rsid w:val="00120D5E"/>
    <w:rsid w:val="00121E0B"/>
    <w:rsid w:val="00125780"/>
    <w:rsid w:val="001274E4"/>
    <w:rsid w:val="00130B02"/>
    <w:rsid w:val="0013127F"/>
    <w:rsid w:val="001354AC"/>
    <w:rsid w:val="00136215"/>
    <w:rsid w:val="001518FD"/>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202B71"/>
    <w:rsid w:val="00210E8D"/>
    <w:rsid w:val="00212737"/>
    <w:rsid w:val="0021535A"/>
    <w:rsid w:val="00225125"/>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6A4"/>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DD"/>
    <w:rsid w:val="00314E36"/>
    <w:rsid w:val="0031529F"/>
    <w:rsid w:val="0031571E"/>
    <w:rsid w:val="00315A36"/>
    <w:rsid w:val="0032195E"/>
    <w:rsid w:val="00324CCB"/>
    <w:rsid w:val="003272FE"/>
    <w:rsid w:val="0032761B"/>
    <w:rsid w:val="003278B5"/>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D28"/>
    <w:rsid w:val="00394D70"/>
    <w:rsid w:val="00395796"/>
    <w:rsid w:val="003A1F52"/>
    <w:rsid w:val="003A3071"/>
    <w:rsid w:val="003A49BF"/>
    <w:rsid w:val="003A520E"/>
    <w:rsid w:val="003A54FF"/>
    <w:rsid w:val="003A65D7"/>
    <w:rsid w:val="003B03F0"/>
    <w:rsid w:val="003B1CFE"/>
    <w:rsid w:val="003B2DD5"/>
    <w:rsid w:val="003B3402"/>
    <w:rsid w:val="003B40F1"/>
    <w:rsid w:val="003B4D03"/>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642B1"/>
    <w:rsid w:val="00465015"/>
    <w:rsid w:val="00466DB2"/>
    <w:rsid w:val="00470982"/>
    <w:rsid w:val="00472709"/>
    <w:rsid w:val="004739CC"/>
    <w:rsid w:val="00474B8A"/>
    <w:rsid w:val="00476437"/>
    <w:rsid w:val="004765DC"/>
    <w:rsid w:val="004820E6"/>
    <w:rsid w:val="00484F71"/>
    <w:rsid w:val="004852DE"/>
    <w:rsid w:val="00485C56"/>
    <w:rsid w:val="00493AB3"/>
    <w:rsid w:val="00496048"/>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4792"/>
    <w:rsid w:val="0052611A"/>
    <w:rsid w:val="0053288A"/>
    <w:rsid w:val="00532D40"/>
    <w:rsid w:val="00534C02"/>
    <w:rsid w:val="00534C8E"/>
    <w:rsid w:val="00542737"/>
    <w:rsid w:val="00546AD7"/>
    <w:rsid w:val="00547D23"/>
    <w:rsid w:val="00547D57"/>
    <w:rsid w:val="005502EA"/>
    <w:rsid w:val="005516E2"/>
    <w:rsid w:val="0055274E"/>
    <w:rsid w:val="00553474"/>
    <w:rsid w:val="00553AE1"/>
    <w:rsid w:val="005551C8"/>
    <w:rsid w:val="00557A4D"/>
    <w:rsid w:val="00562DF2"/>
    <w:rsid w:val="005642A6"/>
    <w:rsid w:val="00567AAC"/>
    <w:rsid w:val="00570004"/>
    <w:rsid w:val="00570703"/>
    <w:rsid w:val="00572616"/>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0E98"/>
    <w:rsid w:val="0083155B"/>
    <w:rsid w:val="00834355"/>
    <w:rsid w:val="00841149"/>
    <w:rsid w:val="00841A43"/>
    <w:rsid w:val="008437D5"/>
    <w:rsid w:val="00846A78"/>
    <w:rsid w:val="00850122"/>
    <w:rsid w:val="00850F09"/>
    <w:rsid w:val="00851A85"/>
    <w:rsid w:val="00852B2A"/>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A6D"/>
    <w:rsid w:val="009B047E"/>
    <w:rsid w:val="009B0BD2"/>
    <w:rsid w:val="009B12A6"/>
    <w:rsid w:val="009B5442"/>
    <w:rsid w:val="009C37CE"/>
    <w:rsid w:val="009C3EC2"/>
    <w:rsid w:val="009D13AA"/>
    <w:rsid w:val="009D4EBF"/>
    <w:rsid w:val="009D79DC"/>
    <w:rsid w:val="009E0BB0"/>
    <w:rsid w:val="009E29EF"/>
    <w:rsid w:val="009E34A7"/>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76C5"/>
    <w:rsid w:val="00A71DC1"/>
    <w:rsid w:val="00A74763"/>
    <w:rsid w:val="00A8106D"/>
    <w:rsid w:val="00A81911"/>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6E55"/>
    <w:rsid w:val="00AC16FD"/>
    <w:rsid w:val="00AC3C86"/>
    <w:rsid w:val="00AC6FF6"/>
    <w:rsid w:val="00AC712B"/>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1A73"/>
    <w:rsid w:val="00B31CFF"/>
    <w:rsid w:val="00B41166"/>
    <w:rsid w:val="00B4179B"/>
    <w:rsid w:val="00B435C3"/>
    <w:rsid w:val="00B46620"/>
    <w:rsid w:val="00B52E21"/>
    <w:rsid w:val="00B555C4"/>
    <w:rsid w:val="00B55873"/>
    <w:rsid w:val="00B57F1F"/>
    <w:rsid w:val="00B60C75"/>
    <w:rsid w:val="00B60E56"/>
    <w:rsid w:val="00B643CD"/>
    <w:rsid w:val="00B650C1"/>
    <w:rsid w:val="00B67033"/>
    <w:rsid w:val="00B7573B"/>
    <w:rsid w:val="00B764E7"/>
    <w:rsid w:val="00B77682"/>
    <w:rsid w:val="00B84D5D"/>
    <w:rsid w:val="00B85515"/>
    <w:rsid w:val="00B87777"/>
    <w:rsid w:val="00B926C4"/>
    <w:rsid w:val="00B93933"/>
    <w:rsid w:val="00B93961"/>
    <w:rsid w:val="00B940C9"/>
    <w:rsid w:val="00BA08B9"/>
    <w:rsid w:val="00BA172D"/>
    <w:rsid w:val="00BA289F"/>
    <w:rsid w:val="00BA3A44"/>
    <w:rsid w:val="00BA40A9"/>
    <w:rsid w:val="00BA5D9F"/>
    <w:rsid w:val="00BB234E"/>
    <w:rsid w:val="00BB321B"/>
    <w:rsid w:val="00BB381E"/>
    <w:rsid w:val="00BB42C2"/>
    <w:rsid w:val="00BB77A3"/>
    <w:rsid w:val="00BB7DB9"/>
    <w:rsid w:val="00BC0716"/>
    <w:rsid w:val="00BC47A3"/>
    <w:rsid w:val="00BC686C"/>
    <w:rsid w:val="00BC7246"/>
    <w:rsid w:val="00BD1A25"/>
    <w:rsid w:val="00BD2013"/>
    <w:rsid w:val="00BD221F"/>
    <w:rsid w:val="00BD3DC5"/>
    <w:rsid w:val="00BD48F4"/>
    <w:rsid w:val="00BD49B3"/>
    <w:rsid w:val="00BD5D06"/>
    <w:rsid w:val="00BD737D"/>
    <w:rsid w:val="00BE2943"/>
    <w:rsid w:val="00BE30F2"/>
    <w:rsid w:val="00BE3DA9"/>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2B60"/>
    <w:rsid w:val="00C32F67"/>
    <w:rsid w:val="00C333D1"/>
    <w:rsid w:val="00C34E2B"/>
    <w:rsid w:val="00C353E5"/>
    <w:rsid w:val="00C36E91"/>
    <w:rsid w:val="00C4010E"/>
    <w:rsid w:val="00C40B40"/>
    <w:rsid w:val="00C4115F"/>
    <w:rsid w:val="00C42B4A"/>
    <w:rsid w:val="00C43091"/>
    <w:rsid w:val="00C54814"/>
    <w:rsid w:val="00C555A6"/>
    <w:rsid w:val="00C5712E"/>
    <w:rsid w:val="00C57A23"/>
    <w:rsid w:val="00C57B90"/>
    <w:rsid w:val="00C57E63"/>
    <w:rsid w:val="00C63BD1"/>
    <w:rsid w:val="00C6529F"/>
    <w:rsid w:val="00C66071"/>
    <w:rsid w:val="00C8004A"/>
    <w:rsid w:val="00C8082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56EF"/>
    <w:rsid w:val="00CC609F"/>
    <w:rsid w:val="00CC7D6A"/>
    <w:rsid w:val="00CD37C0"/>
    <w:rsid w:val="00CD3D2B"/>
    <w:rsid w:val="00CD44AD"/>
    <w:rsid w:val="00CD54B1"/>
    <w:rsid w:val="00CD6EC7"/>
    <w:rsid w:val="00CE23B6"/>
    <w:rsid w:val="00CE3C7D"/>
    <w:rsid w:val="00CE6659"/>
    <w:rsid w:val="00D02624"/>
    <w:rsid w:val="00D04575"/>
    <w:rsid w:val="00D10545"/>
    <w:rsid w:val="00D1368A"/>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4096B"/>
    <w:rsid w:val="00D4243C"/>
    <w:rsid w:val="00D43D1E"/>
    <w:rsid w:val="00D441E5"/>
    <w:rsid w:val="00D44743"/>
    <w:rsid w:val="00D44AAD"/>
    <w:rsid w:val="00D44D25"/>
    <w:rsid w:val="00D50E86"/>
    <w:rsid w:val="00D53275"/>
    <w:rsid w:val="00D53FC3"/>
    <w:rsid w:val="00D555EE"/>
    <w:rsid w:val="00D5585D"/>
    <w:rsid w:val="00D5678C"/>
    <w:rsid w:val="00D60014"/>
    <w:rsid w:val="00D61D58"/>
    <w:rsid w:val="00D656D2"/>
    <w:rsid w:val="00D65FC2"/>
    <w:rsid w:val="00D7245B"/>
    <w:rsid w:val="00D72C06"/>
    <w:rsid w:val="00D735D9"/>
    <w:rsid w:val="00D74165"/>
    <w:rsid w:val="00D77858"/>
    <w:rsid w:val="00D84F3D"/>
    <w:rsid w:val="00D85FA7"/>
    <w:rsid w:val="00D86F52"/>
    <w:rsid w:val="00D877F2"/>
    <w:rsid w:val="00D9341C"/>
    <w:rsid w:val="00D97BFB"/>
    <w:rsid w:val="00DA1316"/>
    <w:rsid w:val="00DA13FF"/>
    <w:rsid w:val="00DA2A01"/>
    <w:rsid w:val="00DA2AFA"/>
    <w:rsid w:val="00DA3E17"/>
    <w:rsid w:val="00DA5C78"/>
    <w:rsid w:val="00DA6578"/>
    <w:rsid w:val="00DA6949"/>
    <w:rsid w:val="00DB0C9C"/>
    <w:rsid w:val="00DB267B"/>
    <w:rsid w:val="00DB3078"/>
    <w:rsid w:val="00DB39F4"/>
    <w:rsid w:val="00DB3DA6"/>
    <w:rsid w:val="00DB5695"/>
    <w:rsid w:val="00DC1557"/>
    <w:rsid w:val="00DC1948"/>
    <w:rsid w:val="00DD0ED6"/>
    <w:rsid w:val="00DD1F6B"/>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478C"/>
    <w:rsid w:val="00E3464D"/>
    <w:rsid w:val="00E34ECA"/>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601E6"/>
    <w:rsid w:val="00E60449"/>
    <w:rsid w:val="00E60832"/>
    <w:rsid w:val="00E6474C"/>
    <w:rsid w:val="00E66777"/>
    <w:rsid w:val="00E67525"/>
    <w:rsid w:val="00E70A93"/>
    <w:rsid w:val="00E717B3"/>
    <w:rsid w:val="00E72A13"/>
    <w:rsid w:val="00E7566F"/>
    <w:rsid w:val="00E76659"/>
    <w:rsid w:val="00E77829"/>
    <w:rsid w:val="00E8067B"/>
    <w:rsid w:val="00E80B25"/>
    <w:rsid w:val="00E82AAF"/>
    <w:rsid w:val="00E835BE"/>
    <w:rsid w:val="00E9001E"/>
    <w:rsid w:val="00E90713"/>
    <w:rsid w:val="00E96693"/>
    <w:rsid w:val="00E96A34"/>
    <w:rsid w:val="00EA01F8"/>
    <w:rsid w:val="00EA04C6"/>
    <w:rsid w:val="00EA062E"/>
    <w:rsid w:val="00EA38FA"/>
    <w:rsid w:val="00EA4244"/>
    <w:rsid w:val="00EA440C"/>
    <w:rsid w:val="00EB4CB9"/>
    <w:rsid w:val="00EB5017"/>
    <w:rsid w:val="00EB5C2B"/>
    <w:rsid w:val="00EC04FD"/>
    <w:rsid w:val="00EC19BC"/>
    <w:rsid w:val="00EC3472"/>
    <w:rsid w:val="00EC3E5B"/>
    <w:rsid w:val="00EC5168"/>
    <w:rsid w:val="00EC5D4E"/>
    <w:rsid w:val="00EC64DD"/>
    <w:rsid w:val="00ED0988"/>
    <w:rsid w:val="00ED389A"/>
    <w:rsid w:val="00ED49D0"/>
    <w:rsid w:val="00ED75E4"/>
    <w:rsid w:val="00EE0F8D"/>
    <w:rsid w:val="00EE270E"/>
    <w:rsid w:val="00EE5EF8"/>
    <w:rsid w:val="00EE6CBD"/>
    <w:rsid w:val="00EF03A1"/>
    <w:rsid w:val="00EF1036"/>
    <w:rsid w:val="00EF4802"/>
    <w:rsid w:val="00F02946"/>
    <w:rsid w:val="00F02DF8"/>
    <w:rsid w:val="00F03EE2"/>
    <w:rsid w:val="00F0796A"/>
    <w:rsid w:val="00F12722"/>
    <w:rsid w:val="00F13DD4"/>
    <w:rsid w:val="00F172B1"/>
    <w:rsid w:val="00F210AA"/>
    <w:rsid w:val="00F25C06"/>
    <w:rsid w:val="00F30805"/>
    <w:rsid w:val="00F366C1"/>
    <w:rsid w:val="00F45052"/>
    <w:rsid w:val="00F4593E"/>
    <w:rsid w:val="00F51DD9"/>
    <w:rsid w:val="00F54BFA"/>
    <w:rsid w:val="00F54FB4"/>
    <w:rsid w:val="00F5662B"/>
    <w:rsid w:val="00F64325"/>
    <w:rsid w:val="00F64EA6"/>
    <w:rsid w:val="00F6783C"/>
    <w:rsid w:val="00F67FD0"/>
    <w:rsid w:val="00F71409"/>
    <w:rsid w:val="00F749C7"/>
    <w:rsid w:val="00F76646"/>
    <w:rsid w:val="00F77256"/>
    <w:rsid w:val="00F816B0"/>
    <w:rsid w:val="00F820FA"/>
    <w:rsid w:val="00F85E78"/>
    <w:rsid w:val="00F868DB"/>
    <w:rsid w:val="00F87516"/>
    <w:rsid w:val="00F8764A"/>
    <w:rsid w:val="00F92ED7"/>
    <w:rsid w:val="00F9449A"/>
    <w:rsid w:val="00F9535C"/>
    <w:rsid w:val="00F9774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3B6"/>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765F3E"/>
    <w:pPr>
      <w:keepNext/>
      <w:keepLines/>
      <w:spacing w:before="240"/>
      <w:outlineLvl w:val="0"/>
    </w:pPr>
    <w:rPr>
      <w:rFonts w:cstheme="majorBidi"/>
      <w:b/>
      <w:sz w:val="32"/>
      <w:szCs w:val="40"/>
      <w:lang w:val="en-US"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F3E"/>
    <w:rPr>
      <w:rFonts w:ascii="Times New Roman" w:eastAsia="Times New Roman" w:hAnsi="Times New Roman" w:cstheme="majorBidi"/>
      <w:b/>
      <w:sz w:val="32"/>
      <w:szCs w:val="40"/>
      <w:lang w:val="en-US"/>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5830087">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307/1252116" TargetMode="External"/><Relationship Id="rId18" Type="http://schemas.openxmlformats.org/officeDocument/2006/relationships/hyperlink" Target="https://doi.org/10.5465/ame.2003.10025194" TargetMode="External"/><Relationship Id="rId26" Type="http://schemas.openxmlformats.org/officeDocument/2006/relationships/hyperlink" Target="https://doi.org/10.1016/j.dss.2011.08.007" TargetMode="External"/><Relationship Id="rId3" Type="http://schemas.openxmlformats.org/officeDocument/2006/relationships/styles" Target="styles.xml"/><Relationship Id="rId21" Type="http://schemas.openxmlformats.org/officeDocument/2006/relationships/hyperlink" Target="https://doi.org/10.2307/41165841" TargetMode="External"/><Relationship Id="rId7" Type="http://schemas.openxmlformats.org/officeDocument/2006/relationships/endnotes" Target="endnotes.xml"/><Relationship Id="rId12" Type="http://schemas.openxmlformats.org/officeDocument/2006/relationships/hyperlink" Target="https://doi.org/10.1111/j.1745-493x.1998.tb00047.x" TargetMode="External"/><Relationship Id="rId17" Type="http://schemas.openxmlformats.org/officeDocument/2006/relationships/hyperlink" Target="https://doi.org/10.1108/ejmbe-01-2018-0005" TargetMode="External"/><Relationship Id="rId25" Type="http://schemas.openxmlformats.org/officeDocument/2006/relationships/hyperlink" Target="https://doi.org/10.1287/mksc.16.3.271" TargetMode="External"/><Relationship Id="rId2" Type="http://schemas.openxmlformats.org/officeDocument/2006/relationships/numbering" Target="numbering.xml"/><Relationship Id="rId16" Type="http://schemas.openxmlformats.org/officeDocument/2006/relationships/hyperlink" Target="https://doi.org/10.1057/9781403937841_8" TargetMode="External"/><Relationship Id="rId20" Type="http://schemas.openxmlformats.org/officeDocument/2006/relationships/hyperlink" Target="https://doi.org/10.1080/0267257x.2013.838987" TargetMode="External"/><Relationship Id="rId29" Type="http://schemas.openxmlformats.org/officeDocument/2006/relationships/hyperlink" Target="https://doi.org/10.1287/mnsc.30.12.14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742-3322(00)17018-4" TargetMode="External"/><Relationship Id="rId24" Type="http://schemas.openxmlformats.org/officeDocument/2006/relationships/hyperlink" Target="https://doi.org/10.1177/00222437880250010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307/3172901" TargetMode="External"/><Relationship Id="rId23" Type="http://schemas.openxmlformats.org/officeDocument/2006/relationships/hyperlink" Target="https://doi.org/10.2307/1251491" TargetMode="External"/><Relationship Id="rId28" Type="http://schemas.openxmlformats.org/officeDocument/2006/relationships/hyperlink" Target="https://doi.org/10.1093/oso/9780198781806.003.0019" TargetMode="External"/><Relationship Id="rId10" Type="http://schemas.openxmlformats.org/officeDocument/2006/relationships/hyperlink" Target="https://doi.org/10.5465/255954" TargetMode="External"/><Relationship Id="rId19" Type="http://schemas.openxmlformats.org/officeDocument/2006/relationships/hyperlink" Target="https://doi.org/10.1177/00222429920560040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307/1252116" TargetMode="External"/><Relationship Id="rId22" Type="http://schemas.openxmlformats.org/officeDocument/2006/relationships/hyperlink" Target="https://www.questia.com/library/journal/1P3-1524926851/aligning-global-business-strategy-planning-models" TargetMode="External"/><Relationship Id="rId27" Type="http://schemas.openxmlformats.org/officeDocument/2006/relationships/hyperlink" Target="https://doi.org/10.1016/j.procir.2016.01.12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3653</Words>
  <Characters>20827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2025-03-17T22:17:00Z</dcterms:created>
  <dcterms:modified xsi:type="dcterms:W3CDTF">2025-03-27T23:12:00Z</dcterms:modified>
</cp:coreProperties>
</file>