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F1853" w14:textId="77777777" w:rsidR="00316A01" w:rsidRDefault="00316A01">
      <w:pPr>
        <w:rPr>
          <w:noProof/>
        </w:rPr>
      </w:pPr>
    </w:p>
    <w:p w14:paraId="660BFC1E" w14:textId="310BF83D" w:rsidR="00394ECB" w:rsidRDefault="00394ECB">
      <w:r>
        <w:rPr>
          <w:noProof/>
        </w:rPr>
        <w:drawing>
          <wp:inline distT="0" distB="0" distL="0" distR="0" wp14:anchorId="2D7720D7" wp14:editId="58389110">
            <wp:extent cx="4152900" cy="1695450"/>
            <wp:effectExtent l="0" t="0" r="0" b="0"/>
            <wp:docPr id="1873898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52900" cy="1695450"/>
                    </a:xfrm>
                    <a:prstGeom prst="rect">
                      <a:avLst/>
                    </a:prstGeom>
                    <a:noFill/>
                  </pic:spPr>
                </pic:pic>
              </a:graphicData>
            </a:graphic>
          </wp:inline>
        </w:drawing>
      </w:r>
      <w:r>
        <w:rPr>
          <w:noProof/>
        </w:rPr>
        <mc:AlternateContent>
          <mc:Choice Requires="wps">
            <w:drawing>
              <wp:inline distT="0" distB="0" distL="0" distR="0" wp14:anchorId="47B7F9F9" wp14:editId="7B0C84BD">
                <wp:extent cx="304800" cy="304800"/>
                <wp:effectExtent l="0" t="0" r="0" b="0"/>
                <wp:docPr id="863317502" name="Rectangle 1" descr="Image result for uwtsd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482247" id="Rectangle 1" o:spid="_x0000_s1026" alt="Image result for uwtsd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1344A3D" w14:textId="77777777" w:rsidR="00394ECB" w:rsidRDefault="00394ECB"/>
    <w:p w14:paraId="744C6143" w14:textId="77777777" w:rsidR="00394ECB" w:rsidRDefault="00394ECB"/>
    <w:p w14:paraId="6F861D58" w14:textId="77777777" w:rsidR="00394ECB" w:rsidRDefault="00394ECB"/>
    <w:p w14:paraId="2694F56C" w14:textId="77777777" w:rsidR="00394ECB" w:rsidRDefault="00394ECB">
      <w:pPr>
        <w:rPr>
          <w:b/>
          <w:bCs/>
          <w:sz w:val="36"/>
          <w:szCs w:val="36"/>
        </w:rPr>
      </w:pPr>
      <w:r w:rsidRPr="000140EC">
        <w:rPr>
          <w:b/>
          <w:bCs/>
          <w:sz w:val="36"/>
          <w:szCs w:val="36"/>
        </w:rPr>
        <w:t>Module Name; People and Organisations</w:t>
      </w:r>
    </w:p>
    <w:p w14:paraId="0C00949F" w14:textId="77777777" w:rsidR="000140EC" w:rsidRPr="000140EC" w:rsidRDefault="000140EC">
      <w:pPr>
        <w:rPr>
          <w:b/>
          <w:bCs/>
          <w:sz w:val="36"/>
          <w:szCs w:val="36"/>
        </w:rPr>
      </w:pPr>
    </w:p>
    <w:p w14:paraId="4F1B8279" w14:textId="77777777" w:rsidR="00394ECB" w:rsidRDefault="00394ECB">
      <w:pPr>
        <w:rPr>
          <w:b/>
          <w:bCs/>
          <w:sz w:val="36"/>
          <w:szCs w:val="36"/>
        </w:rPr>
      </w:pPr>
      <w:r w:rsidRPr="000140EC">
        <w:rPr>
          <w:b/>
          <w:bCs/>
          <w:sz w:val="36"/>
          <w:szCs w:val="36"/>
        </w:rPr>
        <w:t xml:space="preserve">Module Code; BMBM4006 / BMBM4006D </w:t>
      </w:r>
    </w:p>
    <w:p w14:paraId="29457306" w14:textId="77777777" w:rsidR="000140EC" w:rsidRPr="000140EC" w:rsidRDefault="000140EC">
      <w:pPr>
        <w:rPr>
          <w:b/>
          <w:bCs/>
          <w:sz w:val="36"/>
          <w:szCs w:val="36"/>
        </w:rPr>
      </w:pPr>
    </w:p>
    <w:p w14:paraId="5BFE104E" w14:textId="77777777" w:rsidR="00394ECB" w:rsidRDefault="00394ECB">
      <w:pPr>
        <w:rPr>
          <w:b/>
          <w:bCs/>
          <w:sz w:val="36"/>
          <w:szCs w:val="36"/>
        </w:rPr>
      </w:pPr>
      <w:r w:rsidRPr="000140EC">
        <w:rPr>
          <w:b/>
          <w:bCs/>
          <w:sz w:val="36"/>
          <w:szCs w:val="36"/>
        </w:rPr>
        <w:t>Assignment Name; Group Presentation</w:t>
      </w:r>
    </w:p>
    <w:p w14:paraId="7103BEA1" w14:textId="77777777" w:rsidR="000140EC" w:rsidRPr="000140EC" w:rsidRDefault="000140EC">
      <w:pPr>
        <w:rPr>
          <w:b/>
          <w:bCs/>
          <w:sz w:val="36"/>
          <w:szCs w:val="36"/>
        </w:rPr>
      </w:pPr>
    </w:p>
    <w:p w14:paraId="2C235C6D" w14:textId="7299D569" w:rsidR="00394ECB" w:rsidRDefault="00394ECB">
      <w:pPr>
        <w:rPr>
          <w:b/>
          <w:bCs/>
          <w:sz w:val="36"/>
          <w:szCs w:val="36"/>
        </w:rPr>
      </w:pPr>
      <w:r w:rsidRPr="000140EC">
        <w:rPr>
          <w:b/>
          <w:bCs/>
          <w:sz w:val="36"/>
          <w:szCs w:val="36"/>
        </w:rPr>
        <w:t>Student name</w:t>
      </w:r>
      <w:r w:rsidR="00316A01" w:rsidRPr="000140EC">
        <w:rPr>
          <w:b/>
          <w:bCs/>
          <w:sz w:val="36"/>
          <w:szCs w:val="36"/>
        </w:rPr>
        <w:t xml:space="preserve">(s); </w:t>
      </w:r>
      <w:r w:rsidRPr="000140EC">
        <w:rPr>
          <w:b/>
          <w:bCs/>
          <w:sz w:val="36"/>
          <w:szCs w:val="36"/>
        </w:rPr>
        <w:t>Gemma Wilkinson</w:t>
      </w:r>
      <w:r w:rsidR="00316A01" w:rsidRPr="000140EC">
        <w:rPr>
          <w:b/>
          <w:bCs/>
          <w:sz w:val="36"/>
          <w:szCs w:val="36"/>
        </w:rPr>
        <w:t>, Katherine Clanford, Elena Dimitrova, Effrem Tekle, Georgiana Paula Morosan</w:t>
      </w:r>
      <w:r w:rsidRPr="000140EC">
        <w:rPr>
          <w:b/>
          <w:bCs/>
          <w:noProof/>
          <w:sz w:val="36"/>
          <w:szCs w:val="36"/>
        </w:rPr>
        <mc:AlternateContent>
          <mc:Choice Requires="wps">
            <w:drawing>
              <wp:inline distT="0" distB="0" distL="0" distR="0" wp14:anchorId="1679D7C3" wp14:editId="79C1C47F">
                <wp:extent cx="304800" cy="304800"/>
                <wp:effectExtent l="0" t="0" r="0" b="0"/>
                <wp:docPr id="846882146" name="Rectangle 2" descr="Image result for uwtsd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555A39" id="Rectangle 2" o:spid="_x0000_s1026" alt="Image result for uwtsd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7DA113E" w14:textId="77777777" w:rsidR="000140EC" w:rsidRPr="000140EC" w:rsidRDefault="000140EC">
      <w:pPr>
        <w:rPr>
          <w:b/>
          <w:bCs/>
          <w:sz w:val="36"/>
          <w:szCs w:val="36"/>
        </w:rPr>
      </w:pPr>
    </w:p>
    <w:p w14:paraId="55EFD209" w14:textId="098C7DA8" w:rsidR="00316A01" w:rsidRPr="000140EC" w:rsidRDefault="00316A01">
      <w:pPr>
        <w:rPr>
          <w:b/>
          <w:bCs/>
          <w:sz w:val="36"/>
          <w:szCs w:val="36"/>
        </w:rPr>
      </w:pPr>
      <w:r w:rsidRPr="000140EC">
        <w:rPr>
          <w:b/>
          <w:bCs/>
          <w:sz w:val="36"/>
          <w:szCs w:val="36"/>
        </w:rPr>
        <w:t>Student Number: 2407840</w:t>
      </w:r>
    </w:p>
    <w:p w14:paraId="6A21A57B" w14:textId="4C16AEBD" w:rsidR="00803EFE" w:rsidRDefault="00803EFE"/>
    <w:p w14:paraId="1D3A60B4" w14:textId="77777777" w:rsidR="00803EFE" w:rsidRDefault="00803EFE">
      <w:r>
        <w:br w:type="page"/>
      </w:r>
    </w:p>
    <w:p w14:paraId="639C9D46" w14:textId="77777777" w:rsidR="00803EFE" w:rsidRPr="00AD02C2" w:rsidRDefault="00803EFE" w:rsidP="00803EFE">
      <w:pPr>
        <w:pStyle w:val="Heading1"/>
        <w:rPr>
          <w:rFonts w:ascii="Times New Roman" w:hAnsi="Times New Roman" w:cs="Times New Roman"/>
          <w:color w:val="auto"/>
          <w:sz w:val="24"/>
          <w:szCs w:val="24"/>
        </w:rPr>
      </w:pPr>
      <w:proofErr w:type="spellStart"/>
      <w:r w:rsidRPr="00AD02C2">
        <w:rPr>
          <w:rFonts w:ascii="Times New Roman" w:hAnsi="Times New Roman" w:cs="Times New Roman"/>
          <w:color w:val="auto"/>
          <w:sz w:val="24"/>
          <w:szCs w:val="24"/>
        </w:rPr>
        <w:lastRenderedPageBreak/>
        <w:t>StitchCo</w:t>
      </w:r>
      <w:proofErr w:type="spellEnd"/>
      <w:r w:rsidRPr="00AD02C2">
        <w:rPr>
          <w:rFonts w:ascii="Times New Roman" w:hAnsi="Times New Roman" w:cs="Times New Roman"/>
          <w:color w:val="auto"/>
          <w:sz w:val="24"/>
          <w:szCs w:val="24"/>
        </w:rPr>
        <w:t xml:space="preserve"> Supporting Narrative</w:t>
      </w:r>
    </w:p>
    <w:p w14:paraId="0A4A7600" w14:textId="77777777" w:rsidR="00803EFE" w:rsidRPr="00AD02C2" w:rsidRDefault="00803EFE" w:rsidP="00803EFE">
      <w:pPr>
        <w:rPr>
          <w:rFonts w:ascii="Times New Roman" w:hAnsi="Times New Roman" w:cs="Times New Roman"/>
        </w:rPr>
      </w:pPr>
      <w:proofErr w:type="spellStart"/>
      <w:r w:rsidRPr="00AD02C2">
        <w:rPr>
          <w:rFonts w:ascii="Times New Roman" w:hAnsi="Times New Roman" w:cs="Times New Roman"/>
        </w:rPr>
        <w:t>StitchCo</w:t>
      </w:r>
      <w:proofErr w:type="spellEnd"/>
      <w:r w:rsidRPr="00AD02C2">
        <w:rPr>
          <w:rFonts w:ascii="Times New Roman" w:hAnsi="Times New Roman" w:cs="Times New Roman"/>
        </w:rPr>
        <w:t xml:space="preserve"> is currently suffering dramatic strain as a business and encountering issues such as declining morale, reduced productivity, and a feeling of disconnect between employees and management. The core issue appears to have stemmed from flaws between the organization’s structure, culture, people, and performance, </w:t>
      </w:r>
      <w:proofErr w:type="spellStart"/>
      <w:r w:rsidRPr="00AD02C2">
        <w:rPr>
          <w:rFonts w:ascii="Times New Roman" w:hAnsi="Times New Roman" w:cs="Times New Roman"/>
        </w:rPr>
        <w:t>th</w:t>
      </w:r>
      <w:proofErr w:type="spellEnd"/>
      <w:r w:rsidRPr="00AD02C2">
        <w:rPr>
          <w:rFonts w:ascii="Times New Roman" w:hAnsi="Times New Roman" w:cs="Times New Roman"/>
        </w:rPr>
        <w:t xml:space="preserve"> </w:t>
      </w:r>
      <w:proofErr w:type="spellStart"/>
      <w:r w:rsidRPr="00AD02C2">
        <w:rPr>
          <w:rFonts w:ascii="Times New Roman" w:hAnsi="Times New Roman" w:cs="Times New Roman"/>
        </w:rPr>
        <w:t>StitchCo’s</w:t>
      </w:r>
      <w:proofErr w:type="spellEnd"/>
      <w:r w:rsidRPr="00AD02C2">
        <w:rPr>
          <w:rFonts w:ascii="Times New Roman" w:hAnsi="Times New Roman" w:cs="Times New Roman"/>
        </w:rPr>
        <w:t xml:space="preserve"> capacity to respond effectively to internal and external pressures. This narrative evaluates these dynamics and the role of leadership in shaping employee engagement and organisational outcomes, before proposing evidence-based strategies for improvement.</w:t>
      </w:r>
    </w:p>
    <w:p w14:paraId="659DA33B"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 xml:space="preserve">Relationship Between Structure, Culture, People, and Performance at </w:t>
      </w:r>
      <w:proofErr w:type="spellStart"/>
      <w:r w:rsidRPr="00AD02C2">
        <w:rPr>
          <w:rFonts w:ascii="Times New Roman" w:hAnsi="Times New Roman" w:cs="Times New Roman"/>
        </w:rPr>
        <w:t>StitchCo</w:t>
      </w:r>
      <w:proofErr w:type="spellEnd"/>
    </w:p>
    <w:p w14:paraId="6B8C0857" w14:textId="77777777" w:rsidR="00803EFE" w:rsidRPr="00AD02C2" w:rsidRDefault="00803EFE" w:rsidP="00803EFE">
      <w:pPr>
        <w:rPr>
          <w:rFonts w:ascii="Times New Roman" w:hAnsi="Times New Roman" w:cs="Times New Roman"/>
        </w:rPr>
      </w:pPr>
      <w:proofErr w:type="spellStart"/>
      <w:r w:rsidRPr="00AD02C2">
        <w:rPr>
          <w:rFonts w:ascii="Times New Roman" w:hAnsi="Times New Roman" w:cs="Times New Roman"/>
        </w:rPr>
        <w:t>StitchCo’s</w:t>
      </w:r>
      <w:proofErr w:type="spellEnd"/>
      <w:r w:rsidRPr="00AD02C2">
        <w:rPr>
          <w:rFonts w:ascii="Times New Roman" w:hAnsi="Times New Roman" w:cs="Times New Roman"/>
        </w:rPr>
        <w:t xml:space="preserve"> traditional hierarchical structure has historically supported clarity of roles but has also inhibited flexibility and communication. According to Taylor (1911), such structures can enhance efficiency; however, contemporary organizational theory argues that they often suppress innovation and employee autonomy (Brynjolfsson &amp; McAfee, 2014). This misalignment has produced a culture where employees feel disconnected from decision-making processes and organisational goals, contributing to disengagement and reduced motivation. Manyika et al. (2017) note that organisations undergoing technological disruption require flexible cultures that support adaptation and collaborative problem-solving, which </w:t>
      </w:r>
      <w:proofErr w:type="spellStart"/>
      <w:r w:rsidRPr="00AD02C2">
        <w:rPr>
          <w:rFonts w:ascii="Times New Roman" w:hAnsi="Times New Roman" w:cs="Times New Roman"/>
        </w:rPr>
        <w:t>StitchCo</w:t>
      </w:r>
      <w:proofErr w:type="spellEnd"/>
      <w:r w:rsidRPr="00AD02C2">
        <w:rPr>
          <w:rFonts w:ascii="Times New Roman" w:hAnsi="Times New Roman" w:cs="Times New Roman"/>
        </w:rPr>
        <w:t xml:space="preserve"> has not yet achieved.</w:t>
      </w:r>
    </w:p>
    <w:p w14:paraId="7628DFBF"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 xml:space="preserve">People form the heart of organisational performance, and the cultural environment in which they work significantly influences productivity and engagement. At </w:t>
      </w:r>
      <w:proofErr w:type="spellStart"/>
      <w:r w:rsidRPr="00AD02C2">
        <w:rPr>
          <w:rFonts w:ascii="Times New Roman" w:hAnsi="Times New Roman" w:cs="Times New Roman"/>
        </w:rPr>
        <w:t>StitchCo</w:t>
      </w:r>
      <w:proofErr w:type="spellEnd"/>
      <w:r w:rsidRPr="00AD02C2">
        <w:rPr>
          <w:rFonts w:ascii="Times New Roman" w:hAnsi="Times New Roman" w:cs="Times New Roman"/>
        </w:rPr>
        <w:t>, the introduction of new technologies without sufficient communication or training has resulted in uncertainty, frustration, and resistance. Research suggests that employees who feel supported, empowered, and included demonstrate higher levels of commitment, performance, and innovation (Harvard Business Review). The current cultural climate, however, does not provide employees with the conditions required to thrive, creating a negative cycle of declining performance and further disengagement.</w:t>
      </w:r>
    </w:p>
    <w:p w14:paraId="191CA331"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 xml:space="preserve">The Importance of Effective Leadership at </w:t>
      </w:r>
      <w:proofErr w:type="spellStart"/>
      <w:r w:rsidRPr="00AD02C2">
        <w:rPr>
          <w:rFonts w:ascii="Times New Roman" w:hAnsi="Times New Roman" w:cs="Times New Roman"/>
        </w:rPr>
        <w:t>StitchCo</w:t>
      </w:r>
      <w:proofErr w:type="spellEnd"/>
    </w:p>
    <w:p w14:paraId="7AAD4B90"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 xml:space="preserve">Leadership plays a pivotal role in shaping organisational culture and employee behaviour. </w:t>
      </w:r>
      <w:proofErr w:type="spellStart"/>
      <w:r w:rsidRPr="00AD02C2">
        <w:rPr>
          <w:rFonts w:ascii="Times New Roman" w:hAnsi="Times New Roman" w:cs="Times New Roman"/>
        </w:rPr>
        <w:t>StitchCo’s</w:t>
      </w:r>
      <w:proofErr w:type="spellEnd"/>
      <w:r w:rsidRPr="00AD02C2">
        <w:rPr>
          <w:rFonts w:ascii="Times New Roman" w:hAnsi="Times New Roman" w:cs="Times New Roman"/>
        </w:rPr>
        <w:t xml:space="preserve"> leaders appear to rely heavily on directive and transactional leadership approaches, which prioritise task completion over relational engagement. While these approaches may produce short-term efficiency, they do not encourage employee loyalty or long-term organisational adaptability. Transformational leadership, in contrast, encourages inspiration, </w:t>
      </w:r>
      <w:proofErr w:type="gramStart"/>
      <w:r w:rsidRPr="00AD02C2">
        <w:rPr>
          <w:rFonts w:ascii="Times New Roman" w:hAnsi="Times New Roman" w:cs="Times New Roman"/>
        </w:rPr>
        <w:t>team work</w:t>
      </w:r>
      <w:proofErr w:type="gramEnd"/>
      <w:r w:rsidRPr="00AD02C2">
        <w:rPr>
          <w:rFonts w:ascii="Times New Roman" w:hAnsi="Times New Roman" w:cs="Times New Roman"/>
        </w:rPr>
        <w:t xml:space="preserve"> and overall morale </w:t>
      </w:r>
      <w:proofErr w:type="spellStart"/>
      <w:r w:rsidRPr="00AD02C2">
        <w:rPr>
          <w:rFonts w:ascii="Times New Roman" w:hAnsi="Times New Roman" w:cs="Times New Roman"/>
        </w:rPr>
        <w:t>umongst</w:t>
      </w:r>
      <w:proofErr w:type="spellEnd"/>
      <w:r w:rsidRPr="00AD02C2">
        <w:rPr>
          <w:rFonts w:ascii="Times New Roman" w:hAnsi="Times New Roman" w:cs="Times New Roman"/>
        </w:rPr>
        <w:t xml:space="preserve"> employees, making it particularly effective during periods of change.</w:t>
      </w:r>
    </w:p>
    <w:p w14:paraId="6538DF6D"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 xml:space="preserve">Mullins and Rees (2023) emphasise the importance of emotionally intelligent leadership, particularly in environments experiencing cultural misalignment or technological change. Leaders must be able to communicate clearly, support employees emotionally, manage conflict effectively, and cultivate trust. Without these </w:t>
      </w:r>
      <w:proofErr w:type="spellStart"/>
      <w:r w:rsidRPr="00AD02C2">
        <w:rPr>
          <w:rFonts w:ascii="Times New Roman" w:hAnsi="Times New Roman" w:cs="Times New Roman"/>
        </w:rPr>
        <w:t>strenghs</w:t>
      </w:r>
      <w:proofErr w:type="spellEnd"/>
      <w:r w:rsidRPr="00AD02C2">
        <w:rPr>
          <w:rFonts w:ascii="Times New Roman" w:hAnsi="Times New Roman" w:cs="Times New Roman"/>
        </w:rPr>
        <w:t xml:space="preserve">, </w:t>
      </w:r>
      <w:proofErr w:type="spellStart"/>
      <w:r w:rsidRPr="00AD02C2">
        <w:rPr>
          <w:rFonts w:ascii="Times New Roman" w:hAnsi="Times New Roman" w:cs="Times New Roman"/>
        </w:rPr>
        <w:t>StitchCo’s</w:t>
      </w:r>
      <w:proofErr w:type="spellEnd"/>
      <w:r w:rsidRPr="00AD02C2">
        <w:rPr>
          <w:rFonts w:ascii="Times New Roman" w:hAnsi="Times New Roman" w:cs="Times New Roman"/>
        </w:rPr>
        <w:t xml:space="preserve"> managers have struggled to navigate resistance to change, address workplace tensions, or build solidity </w:t>
      </w:r>
      <w:r w:rsidRPr="00AD02C2">
        <w:rPr>
          <w:rFonts w:ascii="Times New Roman" w:hAnsi="Times New Roman" w:cs="Times New Roman"/>
        </w:rPr>
        <w:lastRenderedPageBreak/>
        <w:t>across teams. A lack of leadership development has therefore contributed to declining morale, reduced performance, and conflict within teams.</w:t>
      </w:r>
    </w:p>
    <w:p w14:paraId="51E04C36"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 xml:space="preserve">Recommendations for Improving Engagement and Performance at </w:t>
      </w:r>
      <w:proofErr w:type="spellStart"/>
      <w:r w:rsidRPr="00AD02C2">
        <w:rPr>
          <w:rFonts w:ascii="Times New Roman" w:hAnsi="Times New Roman" w:cs="Times New Roman"/>
        </w:rPr>
        <w:t>StitchCo</w:t>
      </w:r>
      <w:proofErr w:type="spellEnd"/>
    </w:p>
    <w:p w14:paraId="24D897E0"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 xml:space="preserve">To address these challenges, </w:t>
      </w:r>
      <w:proofErr w:type="spellStart"/>
      <w:r w:rsidRPr="00AD02C2">
        <w:rPr>
          <w:rFonts w:ascii="Times New Roman" w:hAnsi="Times New Roman" w:cs="Times New Roman"/>
        </w:rPr>
        <w:t>StitchCo</w:t>
      </w:r>
      <w:proofErr w:type="spellEnd"/>
      <w:r w:rsidRPr="00AD02C2">
        <w:rPr>
          <w:rFonts w:ascii="Times New Roman" w:hAnsi="Times New Roman" w:cs="Times New Roman"/>
        </w:rPr>
        <w:t xml:space="preserve"> must adopt a more people-centred, participative approach to management. The first recommendation is to develop a more inclusive and communicative culture. Implementing structured communication channels such as town-hall forums, feedback meetings, and representative groups would allow employees to voice concerns and contribute to decision-making processes.</w:t>
      </w:r>
    </w:p>
    <w:p w14:paraId="24472134"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 xml:space="preserve">Second, </w:t>
      </w:r>
      <w:proofErr w:type="spellStart"/>
      <w:r w:rsidRPr="00AD02C2">
        <w:rPr>
          <w:rFonts w:ascii="Times New Roman" w:hAnsi="Times New Roman" w:cs="Times New Roman"/>
        </w:rPr>
        <w:t>StitchCo</w:t>
      </w:r>
      <w:proofErr w:type="spellEnd"/>
      <w:r w:rsidRPr="00AD02C2">
        <w:rPr>
          <w:rFonts w:ascii="Times New Roman" w:hAnsi="Times New Roman" w:cs="Times New Roman"/>
        </w:rPr>
        <w:t xml:space="preserve"> should implement transformational leadership development programmes that focus on communication, emotional intelligence, coaching, and vision-setting. These programmes would equip leaders with the skills needed to motivate their teams, manage conflict constructively, and foster trust.</w:t>
      </w:r>
    </w:p>
    <w:p w14:paraId="57D17D8A"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Third, collaborative working environments should be encouraged through team-based projects, shared goals, and cross-functional problem-solving. This would reduce inter-group rivalry and enhance organisational cohesion.</w:t>
      </w:r>
    </w:p>
    <w:p w14:paraId="1AC9F313"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Fourth, the organisation should strengthen its cultural identity by developing clear values, behaviours, and expectations that leaders consistently model. Such clarity reinforces stability and alignment, which are essential during periods of change.</w:t>
      </w:r>
    </w:p>
    <w:p w14:paraId="507ECE82"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Fifth, recognition and reward mechanisms should be improved to celebrate teamwork, innovation, and adaptability. Positive reinforcement has been widely shown to increase motivation and engagement (Journal of Organisational Behaviour).</w:t>
      </w:r>
    </w:p>
    <w:p w14:paraId="2BC52A51"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Finally, stakeholder engagement must become a central component of change initiatives. This includes not only employees and leaders but also unions, customers, and external partners. Engaging a broad range of stakeholders increases the legitimacy and sustainability of organisational change.</w:t>
      </w:r>
    </w:p>
    <w:p w14:paraId="45F53E24"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 xml:space="preserve">In adopting these strategies, </w:t>
      </w:r>
      <w:proofErr w:type="spellStart"/>
      <w:r w:rsidRPr="00AD02C2">
        <w:rPr>
          <w:rFonts w:ascii="Times New Roman" w:hAnsi="Times New Roman" w:cs="Times New Roman"/>
        </w:rPr>
        <w:t>StitchCo</w:t>
      </w:r>
      <w:proofErr w:type="spellEnd"/>
      <w:r w:rsidRPr="00AD02C2">
        <w:rPr>
          <w:rFonts w:ascii="Times New Roman" w:hAnsi="Times New Roman" w:cs="Times New Roman"/>
        </w:rPr>
        <w:t xml:space="preserve"> can begin to rebuild trust, enhance performance, and create a more resilient organisational culture capable of navigating future disruptions.</w:t>
      </w:r>
    </w:p>
    <w:p w14:paraId="6C5DC750" w14:textId="77777777" w:rsidR="00803EFE" w:rsidRPr="00AD02C2" w:rsidRDefault="00803EFE" w:rsidP="00803EFE">
      <w:pPr>
        <w:pStyle w:val="Heading1"/>
        <w:rPr>
          <w:rFonts w:ascii="Times New Roman" w:hAnsi="Times New Roman" w:cs="Times New Roman"/>
          <w:color w:val="auto"/>
          <w:sz w:val="24"/>
          <w:szCs w:val="24"/>
        </w:rPr>
      </w:pPr>
      <w:r w:rsidRPr="00AD02C2">
        <w:rPr>
          <w:rFonts w:ascii="Times New Roman" w:hAnsi="Times New Roman" w:cs="Times New Roman"/>
          <w:color w:val="auto"/>
          <w:sz w:val="24"/>
          <w:szCs w:val="24"/>
        </w:rPr>
        <w:t>References</w:t>
      </w:r>
    </w:p>
    <w:p w14:paraId="64B438E7"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Brynjolfsson, E. and McAfee, A. (2014) The Second Machine Age. New York: W.W. Norton &amp; Company.</w:t>
      </w:r>
    </w:p>
    <w:p w14:paraId="70F7E509"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Harvard Business Review. (Various articles on organisational change, leadership, and communication).</w:t>
      </w:r>
    </w:p>
    <w:p w14:paraId="711A726B"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Journal of Organisational Behaviour. (Various studies on engagement, culture, and change management).</w:t>
      </w:r>
    </w:p>
    <w:p w14:paraId="1EA45F4B"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Manyika, J. et al. (2017) A Future That Works: Automation, Employment, and Productivity. McKinsey Global Institute.</w:t>
      </w:r>
    </w:p>
    <w:p w14:paraId="22E893CB"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lastRenderedPageBreak/>
        <w:t>Mullins, L.J. (2019) Organisational Behaviour in the Workplace. Harlow: Pearson Education.</w:t>
      </w:r>
    </w:p>
    <w:p w14:paraId="4F7A9A87"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 xml:space="preserve">Mullins, L.J. and Rees, G. (2023) Management and Organisational Behaviour. 13th </w:t>
      </w:r>
      <w:proofErr w:type="spellStart"/>
      <w:r w:rsidRPr="00AD02C2">
        <w:rPr>
          <w:rFonts w:ascii="Times New Roman" w:hAnsi="Times New Roman" w:cs="Times New Roman"/>
        </w:rPr>
        <w:t>edn</w:t>
      </w:r>
      <w:proofErr w:type="spellEnd"/>
      <w:r w:rsidRPr="00AD02C2">
        <w:rPr>
          <w:rFonts w:ascii="Times New Roman" w:hAnsi="Times New Roman" w:cs="Times New Roman"/>
        </w:rPr>
        <w:t>. Harlow: Pearson.</w:t>
      </w:r>
    </w:p>
    <w:p w14:paraId="2D870755"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Taylor, F.W. (1911) The Principles of Scientific Management. New York: Harper &amp; Brothers.</w:t>
      </w:r>
    </w:p>
    <w:p w14:paraId="30311D00"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TED Talks. (Various talks on leadership, motivation, and organisational transformation).</w:t>
      </w:r>
    </w:p>
    <w:p w14:paraId="673249A9" w14:textId="77777777" w:rsidR="00803EFE" w:rsidRPr="00AD02C2" w:rsidRDefault="00803EFE" w:rsidP="00803EFE">
      <w:pPr>
        <w:rPr>
          <w:rFonts w:ascii="Times New Roman" w:hAnsi="Times New Roman" w:cs="Times New Roman"/>
        </w:rPr>
      </w:pPr>
      <w:r w:rsidRPr="00AD02C2">
        <w:rPr>
          <w:rFonts w:ascii="Times New Roman" w:hAnsi="Times New Roman" w:cs="Times New Roman"/>
        </w:rPr>
        <w:t>The Complete Medic. (n.d.) Transformational Leadership. Available at: https://thecompletemedic.com/leadership/transformational-leadership</w:t>
      </w:r>
    </w:p>
    <w:p w14:paraId="0F40CF3C" w14:textId="77777777" w:rsidR="00803EFE" w:rsidRPr="00AD02C2" w:rsidRDefault="00803EFE" w:rsidP="00803EFE">
      <w:pPr>
        <w:rPr>
          <w:rFonts w:ascii="Times New Roman" w:hAnsi="Times New Roman" w:cs="Times New Roman"/>
          <w:sz w:val="25"/>
          <w:szCs w:val="25"/>
        </w:rPr>
      </w:pPr>
      <w:r w:rsidRPr="00AD02C2">
        <w:rPr>
          <w:rFonts w:ascii="Times New Roman" w:hAnsi="Times New Roman" w:cs="Times New Roman"/>
        </w:rPr>
        <w:t>Visual Paradigm (2022) Lewin's Three-Stage Change Model</w:t>
      </w:r>
      <w:r w:rsidRPr="00AD02C2">
        <w:rPr>
          <w:rFonts w:ascii="Times New Roman" w:hAnsi="Times New Roman" w:cs="Times New Roman"/>
          <w:sz w:val="25"/>
          <w:szCs w:val="25"/>
        </w:rPr>
        <w:t>.</w:t>
      </w:r>
    </w:p>
    <w:p w14:paraId="48464D77" w14:textId="77777777" w:rsidR="00316A01" w:rsidRPr="00394ECB" w:rsidRDefault="00316A01"/>
    <w:sectPr w:rsidR="00316A01" w:rsidRPr="00394E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ECB"/>
    <w:rsid w:val="000140EC"/>
    <w:rsid w:val="002E2A1F"/>
    <w:rsid w:val="00316A01"/>
    <w:rsid w:val="00394ECB"/>
    <w:rsid w:val="00440E5F"/>
    <w:rsid w:val="00803EFE"/>
    <w:rsid w:val="00BE3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01D10"/>
  <w15:chartTrackingRefBased/>
  <w15:docId w15:val="{668947CE-5CE7-44C8-B568-274BCDA91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4E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4E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4E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4E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4E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4E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4E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4E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4E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E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4E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4E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4E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4E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4E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4E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4E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4ECB"/>
    <w:rPr>
      <w:rFonts w:eastAsiaTheme="majorEastAsia" w:cstheme="majorBidi"/>
      <w:color w:val="272727" w:themeColor="text1" w:themeTint="D8"/>
    </w:rPr>
  </w:style>
  <w:style w:type="paragraph" w:styleId="Title">
    <w:name w:val="Title"/>
    <w:basedOn w:val="Normal"/>
    <w:next w:val="Normal"/>
    <w:link w:val="TitleChar"/>
    <w:uiPriority w:val="10"/>
    <w:qFormat/>
    <w:rsid w:val="00394E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4E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4E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4E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4ECB"/>
    <w:pPr>
      <w:spacing w:before="160"/>
      <w:jc w:val="center"/>
    </w:pPr>
    <w:rPr>
      <w:i/>
      <w:iCs/>
      <w:color w:val="404040" w:themeColor="text1" w:themeTint="BF"/>
    </w:rPr>
  </w:style>
  <w:style w:type="character" w:customStyle="1" w:styleId="QuoteChar">
    <w:name w:val="Quote Char"/>
    <w:basedOn w:val="DefaultParagraphFont"/>
    <w:link w:val="Quote"/>
    <w:uiPriority w:val="29"/>
    <w:rsid w:val="00394ECB"/>
    <w:rPr>
      <w:i/>
      <w:iCs/>
      <w:color w:val="404040" w:themeColor="text1" w:themeTint="BF"/>
    </w:rPr>
  </w:style>
  <w:style w:type="paragraph" w:styleId="ListParagraph">
    <w:name w:val="List Paragraph"/>
    <w:basedOn w:val="Normal"/>
    <w:uiPriority w:val="34"/>
    <w:qFormat/>
    <w:rsid w:val="00394ECB"/>
    <w:pPr>
      <w:ind w:left="720"/>
      <w:contextualSpacing/>
    </w:pPr>
  </w:style>
  <w:style w:type="character" w:styleId="IntenseEmphasis">
    <w:name w:val="Intense Emphasis"/>
    <w:basedOn w:val="DefaultParagraphFont"/>
    <w:uiPriority w:val="21"/>
    <w:qFormat/>
    <w:rsid w:val="00394ECB"/>
    <w:rPr>
      <w:i/>
      <w:iCs/>
      <w:color w:val="0F4761" w:themeColor="accent1" w:themeShade="BF"/>
    </w:rPr>
  </w:style>
  <w:style w:type="paragraph" w:styleId="IntenseQuote">
    <w:name w:val="Intense Quote"/>
    <w:basedOn w:val="Normal"/>
    <w:next w:val="Normal"/>
    <w:link w:val="IntenseQuoteChar"/>
    <w:uiPriority w:val="30"/>
    <w:qFormat/>
    <w:rsid w:val="00394E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4ECB"/>
    <w:rPr>
      <w:i/>
      <w:iCs/>
      <w:color w:val="0F4761" w:themeColor="accent1" w:themeShade="BF"/>
    </w:rPr>
  </w:style>
  <w:style w:type="character" w:styleId="IntenseReference">
    <w:name w:val="Intense Reference"/>
    <w:basedOn w:val="DefaultParagraphFont"/>
    <w:uiPriority w:val="32"/>
    <w:qFormat/>
    <w:rsid w:val="00394EC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968</Words>
  <Characters>5523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Wilkinson (2407840)</dc:creator>
  <cp:keywords/>
  <dc:description/>
  <cp:lastModifiedBy>Gemma Wilkinson (2407840)</cp:lastModifiedBy>
  <cp:revision>2</cp:revision>
  <dcterms:created xsi:type="dcterms:W3CDTF">2025-12-13T09:08:00Z</dcterms:created>
  <dcterms:modified xsi:type="dcterms:W3CDTF">2025-12-13T09:08:00Z</dcterms:modified>
</cp:coreProperties>
</file>