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7EC2" w:rsidRDefault="006D128E">
      <w:pPr>
        <w:pStyle w:val="Body"/>
      </w:pPr>
      <w:r>
        <w:t>Essay: How far are we justified in treating religion as a valid area of academic research?</w:t>
      </w:r>
    </w:p>
    <w:p w:rsidR="00297EC2" w:rsidRDefault="00297EC2">
      <w:pPr>
        <w:pStyle w:val="Body"/>
      </w:pPr>
    </w:p>
    <w:p w:rsidR="00297EC2" w:rsidRDefault="00297EC2">
      <w:pPr>
        <w:pStyle w:val="Body"/>
        <w:rPr>
          <w:b/>
          <w:bCs/>
        </w:rPr>
      </w:pPr>
    </w:p>
    <w:p w:rsidR="00297EC2" w:rsidRDefault="006D128E">
      <w:pPr>
        <w:pStyle w:val="Body"/>
        <w:rPr>
          <w:b/>
          <w:bCs/>
        </w:rPr>
      </w:pPr>
      <w:r>
        <w:rPr>
          <w:b/>
          <w:bCs/>
        </w:rPr>
        <w:t>Introduction</w:t>
      </w:r>
    </w:p>
    <w:p w:rsidR="00297EC2" w:rsidRDefault="00297EC2">
      <w:pPr>
        <w:pStyle w:val="Body"/>
      </w:pPr>
    </w:p>
    <w:p w:rsidR="00297EC2" w:rsidRDefault="006D128E">
      <w:pPr>
        <w:pStyle w:val="Body"/>
        <w:spacing w:line="360" w:lineRule="auto"/>
        <w:jc w:val="both"/>
      </w:pPr>
      <w:r>
        <w:t xml:space="preserve">Emeritus Professor of Religion, </w:t>
      </w:r>
      <w:r>
        <w:rPr>
          <w:lang w:val="pt-PT"/>
        </w:rPr>
        <w:t xml:space="preserve">Thomas A </w:t>
      </w:r>
      <w:proofErr w:type="spellStart"/>
      <w:r>
        <w:rPr>
          <w:lang w:val="pt-PT"/>
        </w:rPr>
        <w:t>Indinopulos</w:t>
      </w:r>
      <w:proofErr w:type="spellEnd"/>
      <w:r>
        <w:rPr>
          <w:lang w:val="pt-PT"/>
        </w:rPr>
        <w:t>,</w:t>
      </w:r>
      <w:r>
        <w:t xml:space="preserve"> (1935 - 2010) in his article ‘What is Religion?’ </w:t>
      </w:r>
      <w:r>
        <w:t xml:space="preserve">identifies the dilemma facing the academic study of religion as ‘the failure to </w:t>
      </w:r>
      <w:proofErr w:type="spellStart"/>
      <w:r>
        <w:t>recognise</w:t>
      </w:r>
      <w:proofErr w:type="spellEnd"/>
      <w:r>
        <w:t xml:space="preserve"> the difference between the observable and the non-observable, confusing one with the other or by denying one on behalf of the other, that confounds the scholarly stud</w:t>
      </w:r>
      <w:r>
        <w:t xml:space="preserve">y of religion’ (1998).  James Cox positions the dilemma as between ‘those who see </w:t>
      </w:r>
      <w:r w:rsidR="00B36652">
        <w:t xml:space="preserve">the </w:t>
      </w:r>
      <w:r>
        <w:t>academic study of religions as fundamentally a theological enterprise although often disguised as a science, and those who prefer to fit any study of religious phenomena unde</w:t>
      </w:r>
      <w:r>
        <w:t xml:space="preserve">r the broad umbrella of cultural studies’ (2006:1).   It is within these two contexts that I propose to address the question how far </w:t>
      </w:r>
      <w:proofErr w:type="gramStart"/>
      <w:r>
        <w:t>are we</w:t>
      </w:r>
      <w:proofErr w:type="gramEnd"/>
      <w:r>
        <w:t xml:space="preserve"> justified in treating religion as a valid area of academic research.</w:t>
      </w:r>
    </w:p>
    <w:p w:rsidR="00297EC2" w:rsidRDefault="00297EC2">
      <w:pPr>
        <w:pStyle w:val="Body"/>
        <w:spacing w:line="360" w:lineRule="auto"/>
        <w:jc w:val="both"/>
        <w:rPr>
          <w:b/>
          <w:bCs/>
        </w:rPr>
      </w:pPr>
    </w:p>
    <w:p w:rsidR="00297EC2" w:rsidRDefault="006D128E">
      <w:pPr>
        <w:pStyle w:val="Body"/>
        <w:spacing w:line="360" w:lineRule="auto"/>
        <w:jc w:val="both"/>
        <w:rPr>
          <w:b/>
          <w:bCs/>
        </w:rPr>
      </w:pPr>
      <w:r>
        <w:rPr>
          <w:b/>
          <w:bCs/>
        </w:rPr>
        <w:t>The observable</w:t>
      </w:r>
    </w:p>
    <w:p w:rsidR="00297EC2" w:rsidRDefault="00297EC2">
      <w:pPr>
        <w:pStyle w:val="Body"/>
        <w:spacing w:line="360" w:lineRule="auto"/>
        <w:jc w:val="both"/>
      </w:pPr>
    </w:p>
    <w:p w:rsidR="00297EC2" w:rsidRDefault="006D128E">
      <w:pPr>
        <w:pStyle w:val="Body"/>
        <w:spacing w:line="360" w:lineRule="auto"/>
        <w:jc w:val="both"/>
      </w:pPr>
      <w:r>
        <w:t xml:space="preserve">For </w:t>
      </w:r>
      <w:proofErr w:type="spellStart"/>
      <w:r>
        <w:t>Indinopulos</w:t>
      </w:r>
      <w:proofErr w:type="spellEnd"/>
      <w:r>
        <w:t xml:space="preserve"> the observable</w:t>
      </w:r>
      <w:r>
        <w:t xml:space="preserve"> in religion consists of ‘historical knowledge of rituals, mythologies, religious communities, ideas, teachings, institutions, arts and architecture’ (1998).  This is the territory that Timothy Fitzgerald identifies as the cultural study of values, symboli</w:t>
      </w:r>
      <w:r>
        <w:t>c systems and ritual (2000:20).  For Willi Braun, because ‘religion does not exist’ the observables ‘are people who do things that we classify as religious’ (</w:t>
      </w:r>
      <w:r>
        <w:t>2001a: 163</w:t>
      </w:r>
      <w:r>
        <w:t xml:space="preserve"> cited McCutcheon 2003:149).  McCutcheon defines the study of religion as ‘thoroughly an</w:t>
      </w:r>
      <w:r>
        <w:t xml:space="preserve">thropological’ concerned with the ‘beliefs, </w:t>
      </w:r>
      <w:proofErr w:type="spellStart"/>
      <w:r>
        <w:t>behaviours</w:t>
      </w:r>
      <w:proofErr w:type="spellEnd"/>
      <w:r>
        <w:t xml:space="preserve"> and institutions’ of ‘historically embedded people who talk about the gods, scripture, origins’ (2003: 149).   For McCutcheon, theologians are</w:t>
      </w:r>
      <w:r>
        <w:rPr>
          <w:i/>
          <w:iCs/>
        </w:rPr>
        <w:t xml:space="preserve"> ‘</w:t>
      </w:r>
      <w:r>
        <w:t>elite, privileged and influential’ (2003: 147) members of</w:t>
      </w:r>
      <w:r>
        <w:t xml:space="preserve"> these</w:t>
      </w:r>
      <w:r>
        <w:rPr>
          <w:i/>
          <w:iCs/>
        </w:rPr>
        <w:t xml:space="preserve"> </w:t>
      </w:r>
      <w:r>
        <w:t>historically embedded people, ‘the mythmakers’ (2003:147), and as such are to be studied alongside those who find these myths compelling.</w:t>
      </w:r>
    </w:p>
    <w:p w:rsidR="00297EC2" w:rsidRDefault="00297EC2">
      <w:pPr>
        <w:pStyle w:val="Body"/>
        <w:spacing w:line="360" w:lineRule="auto"/>
        <w:jc w:val="both"/>
      </w:pPr>
    </w:p>
    <w:p w:rsidR="00297EC2" w:rsidRDefault="006D128E">
      <w:pPr>
        <w:pStyle w:val="Body"/>
        <w:spacing w:line="360" w:lineRule="auto"/>
        <w:jc w:val="both"/>
      </w:pPr>
      <w:r>
        <w:t xml:space="preserve">None of the above scholars appear to be calling for an end to the study of religion per se.  Fitzgerald wants </w:t>
      </w:r>
      <w:r>
        <w:t>an end to the study of religion as a separate academic discipline as he finds ‘no coherent non-theological basis’ for its study (2000:3).  His position is that religion and religions are ideological concepts and what is really meant by religion is an aspec</w:t>
      </w:r>
      <w:r>
        <w:t>t of culture ‘imbued with meaning through collective recognition’ (2000:17).   It is Fitzgerald’s view that once religion is ‘drained of theological content’ and ‘there is nothing to distinguish it from other social contexts’ (Cox, 2006: 225) and therefore</w:t>
      </w:r>
      <w:r>
        <w:t xml:space="preserve"> the category itself is deconstructed.</w:t>
      </w:r>
    </w:p>
    <w:p w:rsidR="00297EC2" w:rsidRDefault="00297EC2">
      <w:pPr>
        <w:pStyle w:val="Body"/>
        <w:spacing w:line="360" w:lineRule="auto"/>
        <w:jc w:val="both"/>
      </w:pPr>
    </w:p>
    <w:p w:rsidR="00297EC2" w:rsidRDefault="006D128E">
      <w:pPr>
        <w:pStyle w:val="Body"/>
        <w:spacing w:line="360" w:lineRule="auto"/>
        <w:jc w:val="both"/>
      </w:pPr>
      <w:r>
        <w:t xml:space="preserve">McCutcheon (2003) argues not for the dissolution of the discipline but for it to be ‘emancipated and liberated from the domination of other disciplines’ (2003: 61) which he believes misuses, </w:t>
      </w:r>
      <w:r>
        <w:lastRenderedPageBreak/>
        <w:t>manipulates, obscures and</w:t>
      </w:r>
      <w:r>
        <w:t xml:space="preserve"> deflects research data and outcomes.  He calls for true academic study and scientific research that has clear rationale, goals and methodology.</w:t>
      </w:r>
    </w:p>
    <w:p w:rsidR="00297EC2" w:rsidRDefault="00297EC2">
      <w:pPr>
        <w:pStyle w:val="Body"/>
        <w:spacing w:line="360" w:lineRule="auto"/>
        <w:jc w:val="both"/>
      </w:pPr>
    </w:p>
    <w:p w:rsidR="00297EC2" w:rsidRDefault="006D128E">
      <w:pPr>
        <w:pStyle w:val="Body"/>
        <w:spacing w:line="360" w:lineRule="auto"/>
        <w:jc w:val="both"/>
      </w:pPr>
      <w:r>
        <w:t xml:space="preserve">James Cox’s writes in support of the phenomenological method in the study of religion.  He argues that whilst </w:t>
      </w:r>
      <w:r>
        <w:t>the study of religion draws on anthropology, sociology, psychology and other disciplines, it is not reducible to any one of these disciplines (2006:237).  For Cox, what distinguishes the academic study of religion from these other disciplines is what he ca</w:t>
      </w:r>
      <w:r>
        <w:t xml:space="preserve">lls ‘postulated non-falsifiable alternate realities’ (2006: 237).  Whilst he as a scholar does not study ‘alternate realities themselves’ he does </w:t>
      </w:r>
      <w:proofErr w:type="spellStart"/>
      <w:r>
        <w:t>analyse</w:t>
      </w:r>
      <w:proofErr w:type="spellEnd"/>
      <w:r>
        <w:t xml:space="preserve"> what is postulated about these non-falsifiable alternate realities by the communities themselves.  Cox</w:t>
      </w:r>
      <w:r>
        <w:t xml:space="preserve"> provides an example of studying Shona death rituals where understanding the ancestors (as non-falsifiable alternate realities) and their relationship with the community was the fundamental focus of his research. In his view</w:t>
      </w:r>
      <w:r w:rsidR="00B36652">
        <w:t>,</w:t>
      </w:r>
      <w:r>
        <w:t xml:space="preserve"> this was not </w:t>
      </w:r>
      <w:proofErr w:type="gramStart"/>
      <w:r>
        <w:t>theology</w:t>
      </w:r>
      <w:proofErr w:type="gramEnd"/>
      <w:r>
        <w:t xml:space="preserve"> but neith</w:t>
      </w:r>
      <w:r>
        <w:t xml:space="preserve">er was it strictly any other discipline (2006: 237).  I understand Cox to be arguing that making the research focus the </w:t>
      </w:r>
      <w:r>
        <w:t>‘</w:t>
      </w:r>
      <w:r>
        <w:t>postulated non-falsifiable alternate realities</w:t>
      </w:r>
      <w:r>
        <w:t xml:space="preserve">’ </w:t>
      </w:r>
      <w:r>
        <w:t>alongside communities which believe in them is what makes the academic study of religio</w:t>
      </w:r>
      <w:r>
        <w:t>n a discipline in its own right.</w:t>
      </w:r>
    </w:p>
    <w:p w:rsidR="00297EC2" w:rsidRDefault="00297EC2">
      <w:pPr>
        <w:pStyle w:val="Body"/>
        <w:spacing w:line="360" w:lineRule="auto"/>
        <w:jc w:val="both"/>
      </w:pPr>
    </w:p>
    <w:p w:rsidR="00297EC2" w:rsidRDefault="006D128E">
      <w:pPr>
        <w:pStyle w:val="Body"/>
        <w:spacing w:line="360" w:lineRule="auto"/>
        <w:jc w:val="both"/>
      </w:pPr>
      <w:r>
        <w:t xml:space="preserve">The above identifies a variety of positions but does not directly answer the question of validity and justification of religion as an of academic study.  What criteria can be used to answer this question?  During the </w:t>
      </w:r>
      <w:proofErr w:type="spellStart"/>
      <w:r>
        <w:t>Xth</w:t>
      </w:r>
      <w:proofErr w:type="spellEnd"/>
      <w:r>
        <w:t xml:space="preserve"> C</w:t>
      </w:r>
      <w:r>
        <w:t xml:space="preserve">ongress of the International Association for the History of Religions (IAHR), the scholar, R. J. </w:t>
      </w:r>
      <w:proofErr w:type="spellStart"/>
      <w:r>
        <w:t>Zwi</w:t>
      </w:r>
      <w:proofErr w:type="spellEnd"/>
      <w:r>
        <w:t xml:space="preserve"> </w:t>
      </w:r>
      <w:proofErr w:type="spellStart"/>
      <w:r>
        <w:t>Werblowsky</w:t>
      </w:r>
      <w:proofErr w:type="spellEnd"/>
      <w:r>
        <w:t>, proposed five “basic minimum presuppositions” for the study of religion (Geertz and McCutcheon, 2000:15).  These presuppositions contain a numb</w:t>
      </w:r>
      <w:r w:rsidR="00B36652">
        <w:t>er of defining statements</w:t>
      </w:r>
      <w:r>
        <w:t xml:space="preserve">: (1) that comparative religion is a branch of humanities, (2) it is an anthropological discipline studying religion phenomenon as a feature and aspect of human culture, and (3) as such involves empirical facts of human existence </w:t>
      </w:r>
      <w:r>
        <w:t xml:space="preserve">and history to be studied like all human facts.   Therefore, the question of validity and justification of religion as an area of study moves to a much larger context, </w:t>
      </w:r>
      <w:proofErr w:type="spellStart"/>
      <w:r>
        <w:t>ie</w:t>
      </w:r>
      <w:proofErr w:type="spellEnd"/>
      <w:r>
        <w:t xml:space="preserve">, is it valid and justified to study the existence and history of human culture? </w:t>
      </w:r>
    </w:p>
    <w:p w:rsidR="00297EC2" w:rsidRDefault="00297EC2">
      <w:pPr>
        <w:pStyle w:val="Body"/>
        <w:spacing w:line="360" w:lineRule="auto"/>
        <w:jc w:val="both"/>
      </w:pPr>
    </w:p>
    <w:p w:rsidR="00297EC2" w:rsidRDefault="006D128E">
      <w:pPr>
        <w:pStyle w:val="Body"/>
        <w:spacing w:line="360" w:lineRule="auto"/>
        <w:jc w:val="both"/>
        <w:rPr>
          <w:b/>
          <w:bCs/>
        </w:rPr>
      </w:pPr>
      <w:r>
        <w:rPr>
          <w:b/>
          <w:bCs/>
        </w:rPr>
        <w:t>The</w:t>
      </w:r>
      <w:r>
        <w:rPr>
          <w:b/>
          <w:bCs/>
        </w:rPr>
        <w:t xml:space="preserve"> Unobservable</w:t>
      </w:r>
    </w:p>
    <w:p w:rsidR="00297EC2" w:rsidRDefault="00297EC2">
      <w:pPr>
        <w:pStyle w:val="Body"/>
        <w:spacing w:line="360" w:lineRule="auto"/>
        <w:jc w:val="both"/>
      </w:pPr>
    </w:p>
    <w:p w:rsidR="00297EC2" w:rsidRDefault="006D128E">
      <w:pPr>
        <w:pStyle w:val="Body"/>
        <w:spacing w:line="360" w:lineRule="auto"/>
        <w:jc w:val="both"/>
      </w:pPr>
      <w:r>
        <w:t>However, the above sidesteps the problem at the heart of the study of religion for I suspect it is not primarily the ob</w:t>
      </w:r>
      <w:r w:rsidR="00B36652">
        <w:t xml:space="preserve">servables that are in question </w:t>
      </w:r>
      <w:r>
        <w:t>when considering validity and justifiability, but the question of non-observables.   The p</w:t>
      </w:r>
      <w:r>
        <w:t xml:space="preserve">roblem in the study of religion that resulted in </w:t>
      </w:r>
      <w:proofErr w:type="spellStart"/>
      <w:r>
        <w:t>Werblowsky</w:t>
      </w:r>
      <w:proofErr w:type="spellEnd"/>
      <w:r>
        <w:t xml:space="preserve"> also addressing within the basic presuppositions the requirement to reject ‘the value of religious phenomenon as </w:t>
      </w:r>
      <w:proofErr w:type="spellStart"/>
      <w:r>
        <w:t>realisation</w:t>
      </w:r>
      <w:proofErr w:type="spellEnd"/>
      <w:r>
        <w:t xml:space="preserve"> of a transcendent truth’ (Geertz and McCutcheon, 2000:15). The issue wh</w:t>
      </w:r>
      <w:r>
        <w:t xml:space="preserve">ich Fitzgerald refers to as ‘theology repackaged as academic analysis’ (2000:7).  Why is this such as issue within the academic study of religion? </w:t>
      </w:r>
    </w:p>
    <w:p w:rsidR="00297EC2" w:rsidRDefault="00297EC2">
      <w:pPr>
        <w:pStyle w:val="Body"/>
        <w:spacing w:line="360" w:lineRule="auto"/>
        <w:jc w:val="both"/>
      </w:pPr>
    </w:p>
    <w:p w:rsidR="00297EC2" w:rsidRDefault="006D128E">
      <w:pPr>
        <w:pStyle w:val="Body"/>
        <w:spacing w:line="360" w:lineRule="auto"/>
        <w:jc w:val="both"/>
      </w:pPr>
      <w:r>
        <w:lastRenderedPageBreak/>
        <w:t>The answer to this may lie in the development of the study of religion.  McCutcheon presents the history of</w:t>
      </w:r>
      <w:r>
        <w:t xml:space="preserve"> academic study of religion as founded by men disillusioned, displaced and disenfranchised from religious/theological establishments.  Cox states that these same founders had a ’simplistic understanding of </w:t>
      </w:r>
      <w:proofErr w:type="spellStart"/>
      <w:r>
        <w:t>Husserls</w:t>
      </w:r>
      <w:proofErr w:type="spellEnd"/>
      <w:r>
        <w:t xml:space="preserve"> phenomenology’ (2006:211) and that these </w:t>
      </w:r>
      <w:r>
        <w:t xml:space="preserve">resulted in ideas which lead to the study of religion as ‘unique, irreducible to any other academic discipline, and requiring its own method of investigation’ (2006:210).  These influential founders and scholars, Eliade, </w:t>
      </w:r>
      <w:proofErr w:type="spellStart"/>
      <w:r>
        <w:t>Ninian</w:t>
      </w:r>
      <w:proofErr w:type="spellEnd"/>
      <w:r>
        <w:t xml:space="preserve"> Smart, Cantwell Smith, van d</w:t>
      </w:r>
      <w:r>
        <w:t>er Leeuw viewed religion from a position of ‘universal faith born out of experiences of the numinous’ which could only be understood by those who had experienced religious feelings.   By definition, the research of without numinous experiences would have b</w:t>
      </w:r>
      <w:r>
        <w:t xml:space="preserve">een invalidated.  These invalidated scholars, predominantly in the social sciences, themselves </w:t>
      </w:r>
      <w:proofErr w:type="spellStart"/>
      <w:r>
        <w:t>criticised</w:t>
      </w:r>
      <w:proofErr w:type="spellEnd"/>
      <w:r>
        <w:t xml:space="preserve">, </w:t>
      </w:r>
      <w:proofErr w:type="spellStart"/>
      <w:r>
        <w:t>marginalised</w:t>
      </w:r>
      <w:proofErr w:type="spellEnd"/>
      <w:r>
        <w:t xml:space="preserve"> and ignored the scholarship of early pioneers stating that their research was naive (Cox, 2006:211), muddleheaded, uncritical and of lit</w:t>
      </w:r>
      <w:r>
        <w:t xml:space="preserve">tle value (Douglas, 2011).  </w:t>
      </w:r>
    </w:p>
    <w:p w:rsidR="00297EC2" w:rsidRDefault="00297EC2">
      <w:pPr>
        <w:pStyle w:val="Body"/>
        <w:spacing w:line="360" w:lineRule="auto"/>
        <w:jc w:val="both"/>
      </w:pPr>
    </w:p>
    <w:p w:rsidR="00297EC2" w:rsidRDefault="006D128E">
      <w:pPr>
        <w:pStyle w:val="Body"/>
        <w:spacing w:line="360" w:lineRule="auto"/>
        <w:jc w:val="both"/>
      </w:pPr>
      <w:r>
        <w:t xml:space="preserve">But is it right for scholars like Fitzgerald to label all research of non-observables as theology?  Can the non-observable or postulated non-falsifiable alternate realities be studied without it being theology?  Cho and </w:t>
      </w:r>
      <w:proofErr w:type="spellStart"/>
      <w:r>
        <w:t>Squier</w:t>
      </w:r>
      <w:proofErr w:type="spellEnd"/>
      <w:r>
        <w:t xml:space="preserve"> (2008) propose that ‘what is normal in other disciplines is posed as a burden in the study of religion’ for example ‘in spite of all the strenuous efforts of physicists and philosophers, the notion of mass, although fundamental to physics is</w:t>
      </w:r>
      <w:proofErr w:type="gramStart"/>
      <w:r>
        <w:t>….still</w:t>
      </w:r>
      <w:proofErr w:type="gramEnd"/>
      <w:r>
        <w:t xml:space="preserve"> shroud</w:t>
      </w:r>
      <w:r>
        <w:t xml:space="preserve">ed in mystery’ (Jammer 2000:167 cited by Cho and </w:t>
      </w:r>
      <w:proofErr w:type="spellStart"/>
      <w:r>
        <w:t>Squier</w:t>
      </w:r>
      <w:proofErr w:type="spellEnd"/>
      <w:r>
        <w:t>, 2008).  Another example would be the search for ‘a massive, distant ninth planet and whilst “very difficult to procure clear evidence of its existence, some scientists are absolutely convinced that i</w:t>
      </w:r>
      <w:r>
        <w:t>t</w:t>
      </w:r>
      <w:r>
        <w:t>’</w:t>
      </w:r>
      <w:r>
        <w:t xml:space="preserve">s out there” (NASA press release). If it is acceptable for other disciplines, to </w:t>
      </w:r>
      <w:proofErr w:type="spellStart"/>
      <w:r>
        <w:t>hypothesise</w:t>
      </w:r>
      <w:proofErr w:type="spellEnd"/>
      <w:r>
        <w:t xml:space="preserve"> on the nature of something without logical certainty, in the pursuit of knowledge, is it not also a valid and justifiable pursuit for religion?  Is it right to c</w:t>
      </w:r>
      <w:r>
        <w:t xml:space="preserve">onclude that all research focusing on non-observables or to use Eliade’s terminology ‘the numinous’ is </w:t>
      </w:r>
      <w:proofErr w:type="spellStart"/>
      <w:r>
        <w:t>judeo-christian</w:t>
      </w:r>
      <w:proofErr w:type="spellEnd"/>
      <w:r>
        <w:t xml:space="preserve"> theology disguised as serious scientific research?</w:t>
      </w:r>
    </w:p>
    <w:p w:rsidR="00297EC2" w:rsidRDefault="00297EC2">
      <w:pPr>
        <w:pStyle w:val="Body"/>
        <w:spacing w:line="360" w:lineRule="auto"/>
        <w:jc w:val="both"/>
      </w:pPr>
    </w:p>
    <w:p w:rsidR="00297EC2" w:rsidRDefault="006D128E">
      <w:pPr>
        <w:pStyle w:val="Body"/>
        <w:spacing w:line="360" w:lineRule="auto"/>
        <w:jc w:val="both"/>
        <w:rPr>
          <w:b/>
          <w:bCs/>
        </w:rPr>
      </w:pPr>
      <w:r>
        <w:rPr>
          <w:b/>
          <w:bCs/>
        </w:rPr>
        <w:t>Conclusions</w:t>
      </w:r>
    </w:p>
    <w:p w:rsidR="00297EC2" w:rsidRDefault="00297EC2">
      <w:pPr>
        <w:pStyle w:val="Body"/>
        <w:spacing w:line="360" w:lineRule="auto"/>
        <w:jc w:val="both"/>
      </w:pPr>
    </w:p>
    <w:p w:rsidR="00297EC2" w:rsidRDefault="006D128E">
      <w:pPr>
        <w:pStyle w:val="Body"/>
        <w:spacing w:line="360" w:lineRule="auto"/>
        <w:jc w:val="both"/>
      </w:pPr>
      <w:r>
        <w:t>In this essay</w:t>
      </w:r>
      <w:r w:rsidR="00B36652">
        <w:t>,</w:t>
      </w:r>
      <w:r>
        <w:t xml:space="preserve"> I have explored the question of justification and validity of the academic research of religion from two perspectives, that of the observable aspects of religion (rituals, texts, institutions) and non-observable (experiences of the numinous).</w:t>
      </w:r>
      <w:r>
        <w:t xml:space="preserve">   In concluding this </w:t>
      </w:r>
      <w:proofErr w:type="gramStart"/>
      <w:r>
        <w:t>essay</w:t>
      </w:r>
      <w:proofErr w:type="gramEnd"/>
      <w:r>
        <w:t xml:space="preserve"> I turn to another aspect of this question which is ‘The We’.  In answering this </w:t>
      </w:r>
      <w:proofErr w:type="gramStart"/>
      <w:r>
        <w:t>question</w:t>
      </w:r>
      <w:proofErr w:type="gramEnd"/>
      <w:r>
        <w:t xml:space="preserve"> we understand who owns the discourse.  Who gets to set the direction and to decide what is justified and </w:t>
      </w:r>
      <w:proofErr w:type="gramStart"/>
      <w:r>
        <w:t>valid.</w:t>
      </w:r>
      <w:proofErr w:type="gramEnd"/>
      <w:r>
        <w:t xml:space="preserve">  </w:t>
      </w:r>
      <w:proofErr w:type="gramStart"/>
      <w:r>
        <w:t>However</w:t>
      </w:r>
      <w:proofErr w:type="gramEnd"/>
      <w:r>
        <w:t xml:space="preserve"> within a postmoder</w:t>
      </w:r>
      <w:r>
        <w:t>n context maybe the answer to this question is a foregone conclusion.  There are multiple “</w:t>
      </w:r>
      <w:proofErr w:type="spellStart"/>
      <w:r>
        <w:t>we’s</w:t>
      </w:r>
      <w:proofErr w:type="spellEnd"/>
      <w:r>
        <w:t xml:space="preserve">” none of whom are the holder of a monotheistic truth.  All are equally valid within a postmodern framework.  </w:t>
      </w:r>
    </w:p>
    <w:p w:rsidR="00297EC2" w:rsidRDefault="00297EC2">
      <w:pPr>
        <w:pStyle w:val="Body"/>
        <w:spacing w:line="360" w:lineRule="auto"/>
        <w:jc w:val="both"/>
      </w:pPr>
    </w:p>
    <w:p w:rsidR="00297EC2" w:rsidRDefault="006D128E">
      <w:pPr>
        <w:pStyle w:val="Body"/>
        <w:spacing w:line="360" w:lineRule="auto"/>
        <w:jc w:val="both"/>
      </w:pPr>
      <w:r>
        <w:lastRenderedPageBreak/>
        <w:t>Word count: 1,321</w:t>
      </w:r>
    </w:p>
    <w:p w:rsidR="00297EC2" w:rsidRDefault="00297EC2">
      <w:pPr>
        <w:pStyle w:val="Body"/>
        <w:spacing w:line="360" w:lineRule="auto"/>
        <w:jc w:val="both"/>
      </w:pPr>
    </w:p>
    <w:p w:rsidR="00297EC2" w:rsidRDefault="006D128E">
      <w:pPr>
        <w:pStyle w:val="Body"/>
        <w:spacing w:line="360" w:lineRule="auto"/>
        <w:jc w:val="both"/>
        <w:rPr>
          <w:b/>
          <w:bCs/>
        </w:rPr>
      </w:pPr>
      <w:r>
        <w:rPr>
          <w:b/>
          <w:bCs/>
        </w:rPr>
        <w:t>References</w:t>
      </w:r>
    </w:p>
    <w:p w:rsidR="00297EC2" w:rsidRDefault="00297EC2">
      <w:pPr>
        <w:pStyle w:val="Default"/>
        <w:spacing w:line="360" w:lineRule="auto"/>
      </w:pPr>
    </w:p>
    <w:p w:rsidR="00297EC2" w:rsidRDefault="006D128E" w:rsidP="00B36652">
      <w:pPr>
        <w:pStyle w:val="Default"/>
        <w:spacing w:line="360" w:lineRule="auto"/>
      </w:pPr>
      <w:r>
        <w:rPr>
          <w:lang w:val="en-US"/>
        </w:rPr>
        <w:t xml:space="preserve">Allen, Douglas. </w:t>
      </w:r>
      <w:r>
        <w:rPr>
          <w:i/>
          <w:iCs/>
          <w:lang w:val="en-US"/>
        </w:rPr>
        <w:t>El</w:t>
      </w:r>
      <w:r>
        <w:rPr>
          <w:i/>
          <w:iCs/>
          <w:lang w:val="en-US"/>
        </w:rPr>
        <w:t>iade's Legacy 25 Years Later: A Critical Tribute</w:t>
      </w:r>
      <w:r>
        <w:rPr>
          <w:lang w:val="en-US"/>
        </w:rPr>
        <w:t xml:space="preserve">. International Journal on Humanistic </w:t>
      </w:r>
      <w:proofErr w:type="spellStart"/>
      <w:r>
        <w:rPr>
          <w:lang w:val="en-US"/>
        </w:rPr>
        <w:t>Idealogy</w:t>
      </w:r>
      <w:proofErr w:type="spellEnd"/>
      <w:r>
        <w:t xml:space="preserve">; Cluj </w:t>
      </w:r>
      <w:proofErr w:type="spellStart"/>
      <w:r>
        <w:t>Napoca</w:t>
      </w:r>
      <w:proofErr w:type="spellEnd"/>
      <w:r>
        <w:rPr>
          <w:lang w:val="en-US"/>
        </w:rPr>
        <w:t xml:space="preserve"> Vol. 4, </w:t>
      </w:r>
      <w:proofErr w:type="spellStart"/>
      <w:r>
        <w:rPr>
          <w:lang w:val="en-US"/>
        </w:rPr>
        <w:t>Iss</w:t>
      </w:r>
      <w:proofErr w:type="spellEnd"/>
      <w:r>
        <w:rPr>
          <w:lang w:val="en-US"/>
        </w:rPr>
        <w:t>. 2,</w:t>
      </w:r>
      <w:r>
        <w:t xml:space="preserve"> (Autumn 2011): 15-28.</w:t>
      </w:r>
    </w:p>
    <w:p w:rsidR="00B36652" w:rsidRPr="00B36652" w:rsidRDefault="00B36652" w:rsidP="00B36652">
      <w:pPr>
        <w:pStyle w:val="Default"/>
        <w:spacing w:line="360" w:lineRule="auto"/>
      </w:pPr>
      <w:bookmarkStart w:id="0" w:name="_GoBack"/>
      <w:bookmarkEnd w:id="0"/>
    </w:p>
    <w:p w:rsidR="00297EC2" w:rsidRDefault="006D128E">
      <w:pPr>
        <w:pStyle w:val="Body"/>
        <w:spacing w:line="360" w:lineRule="auto"/>
        <w:jc w:val="both"/>
        <w:rPr>
          <w:sz w:val="24"/>
          <w:szCs w:val="24"/>
        </w:rPr>
      </w:pPr>
      <w:r>
        <w:t xml:space="preserve">Cho, Francisca and </w:t>
      </w:r>
      <w:proofErr w:type="spellStart"/>
      <w:r>
        <w:t>Squier</w:t>
      </w:r>
      <w:proofErr w:type="spellEnd"/>
      <w:r>
        <w:t xml:space="preserve">, Richard K. </w:t>
      </w:r>
      <w:r>
        <w:rPr>
          <w:i/>
          <w:iCs/>
        </w:rPr>
        <w:t>He Blinded Me with Science: science chauvinism in the study of religion</w:t>
      </w:r>
      <w:r>
        <w:t xml:space="preserve">; The Journal of the American Academy of Religion, </w:t>
      </w:r>
      <w:proofErr w:type="spellStart"/>
      <w:r>
        <w:rPr>
          <w:lang w:val="it-IT"/>
        </w:rPr>
        <w:t>Vol</w:t>
      </w:r>
      <w:proofErr w:type="spellEnd"/>
      <w:r>
        <w:rPr>
          <w:lang w:val="it-IT"/>
        </w:rPr>
        <w:t xml:space="preserve"> 76, No. 2, </w:t>
      </w:r>
      <w:r>
        <w:t xml:space="preserve">(June 2008) </w:t>
      </w:r>
      <w:r>
        <w:t xml:space="preserve">420-4 </w:t>
      </w:r>
    </w:p>
    <w:p w:rsidR="00297EC2" w:rsidRDefault="00297EC2">
      <w:pPr>
        <w:pStyle w:val="Body"/>
        <w:spacing w:line="360" w:lineRule="auto"/>
        <w:jc w:val="both"/>
      </w:pPr>
    </w:p>
    <w:p w:rsidR="00297EC2" w:rsidRDefault="006D128E">
      <w:pPr>
        <w:pStyle w:val="Body"/>
        <w:spacing w:line="360" w:lineRule="auto"/>
        <w:jc w:val="both"/>
      </w:pPr>
      <w:r>
        <w:t>Cox, James.</w:t>
      </w:r>
      <w:r>
        <w:t xml:space="preserve"> </w:t>
      </w:r>
      <w:r>
        <w:rPr>
          <w:i/>
          <w:iCs/>
        </w:rPr>
        <w:t>A Guide to the Phenomenology of Religion: Key Figures, Formative Influences and Subsequent Debates</w:t>
      </w:r>
      <w:r>
        <w:rPr>
          <w:lang w:val="nl-NL"/>
        </w:rPr>
        <w:t xml:space="preserve"> (London: </w:t>
      </w:r>
      <w:proofErr w:type="spellStart"/>
      <w:r>
        <w:rPr>
          <w:lang w:val="nl-NL"/>
        </w:rPr>
        <w:t>Continuum</w:t>
      </w:r>
      <w:proofErr w:type="spellEnd"/>
      <w:r>
        <w:rPr>
          <w:lang w:val="nl-NL"/>
        </w:rPr>
        <w:t>, 2006)</w:t>
      </w:r>
    </w:p>
    <w:p w:rsidR="00297EC2" w:rsidRDefault="00297EC2">
      <w:pPr>
        <w:pStyle w:val="Body"/>
        <w:spacing w:line="360" w:lineRule="auto"/>
        <w:jc w:val="both"/>
      </w:pPr>
    </w:p>
    <w:p w:rsidR="00297EC2" w:rsidRDefault="006D128E">
      <w:pPr>
        <w:pStyle w:val="Body"/>
        <w:spacing w:line="360" w:lineRule="auto"/>
        <w:jc w:val="both"/>
      </w:pPr>
      <w:r>
        <w:t>Fitzgerald, Timothy.</w:t>
      </w:r>
      <w:r>
        <w:t xml:space="preserve"> </w:t>
      </w:r>
      <w:r>
        <w:rPr>
          <w:i/>
          <w:iCs/>
        </w:rPr>
        <w:t xml:space="preserve">The </w:t>
      </w:r>
      <w:r>
        <w:rPr>
          <w:i/>
          <w:iCs/>
        </w:rPr>
        <w:t>Ideology of Religious Studies</w:t>
      </w:r>
      <w:r>
        <w:t xml:space="preserve"> (New York, Oxford: Oxford University Press, 2000)</w:t>
      </w:r>
    </w:p>
    <w:p w:rsidR="00297EC2" w:rsidRDefault="00297EC2">
      <w:pPr>
        <w:pStyle w:val="Body"/>
        <w:spacing w:line="360" w:lineRule="auto"/>
        <w:jc w:val="both"/>
      </w:pPr>
    </w:p>
    <w:p w:rsidR="00297EC2" w:rsidRDefault="006D128E">
      <w:pPr>
        <w:pStyle w:val="Body"/>
        <w:spacing w:line="360" w:lineRule="auto"/>
        <w:jc w:val="both"/>
      </w:pPr>
      <w:proofErr w:type="spellStart"/>
      <w:r>
        <w:rPr>
          <w:lang w:val="nl-NL"/>
        </w:rPr>
        <w:t>Geertz</w:t>
      </w:r>
      <w:proofErr w:type="spellEnd"/>
      <w:r>
        <w:rPr>
          <w:lang w:val="nl-NL"/>
        </w:rPr>
        <w:t xml:space="preserve">, Armin W. </w:t>
      </w:r>
      <w:proofErr w:type="spellStart"/>
      <w:r>
        <w:rPr>
          <w:lang w:val="nl-NL"/>
        </w:rPr>
        <w:t>and</w:t>
      </w:r>
      <w:proofErr w:type="spellEnd"/>
      <w:r>
        <w:rPr>
          <w:lang w:val="nl-NL"/>
        </w:rPr>
        <w:t xml:space="preserve"> Russell T. </w:t>
      </w:r>
      <w:proofErr w:type="spellStart"/>
      <w:r>
        <w:rPr>
          <w:lang w:val="nl-NL"/>
        </w:rPr>
        <w:t>McCutcheon</w:t>
      </w:r>
      <w:proofErr w:type="spellEnd"/>
      <w:r>
        <w:rPr>
          <w:lang w:val="nl-NL"/>
        </w:rPr>
        <w:t xml:space="preserve"> (</w:t>
      </w:r>
      <w:proofErr w:type="spellStart"/>
      <w:r>
        <w:rPr>
          <w:lang w:val="nl-NL"/>
        </w:rPr>
        <w:t>eds</w:t>
      </w:r>
      <w:proofErr w:type="spellEnd"/>
      <w:r>
        <w:rPr>
          <w:lang w:val="nl-NL"/>
        </w:rPr>
        <w:t xml:space="preserve">), </w:t>
      </w:r>
      <w:r>
        <w:rPr>
          <w:i/>
          <w:iCs/>
        </w:rPr>
        <w:t>Perspectives on Method and Theory in the Study of Religion</w:t>
      </w:r>
      <w:r>
        <w:t xml:space="preserve"> (Leiden, Boston, Koln: Brill, 2000)</w:t>
      </w:r>
    </w:p>
    <w:p w:rsidR="00297EC2" w:rsidRDefault="00297EC2">
      <w:pPr>
        <w:pStyle w:val="Body"/>
        <w:spacing w:line="360" w:lineRule="auto"/>
        <w:jc w:val="both"/>
      </w:pPr>
    </w:p>
    <w:p w:rsidR="00297EC2" w:rsidRDefault="006D128E">
      <w:pPr>
        <w:pStyle w:val="Body"/>
        <w:spacing w:line="360" w:lineRule="auto"/>
        <w:jc w:val="both"/>
      </w:pPr>
      <w:proofErr w:type="spellStart"/>
      <w:r>
        <w:t>Indinopulos</w:t>
      </w:r>
      <w:proofErr w:type="spellEnd"/>
      <w:r>
        <w:t xml:space="preserve">, Thomas, A. </w:t>
      </w:r>
      <w:r>
        <w:rPr>
          <w:i/>
          <w:iCs/>
        </w:rPr>
        <w:t xml:space="preserve">What </w:t>
      </w:r>
      <w:r>
        <w:rPr>
          <w:i/>
          <w:iCs/>
        </w:rPr>
        <w:t>is Religion?</w:t>
      </w:r>
      <w:r>
        <w:t xml:space="preserve"> Cross Currents, Vol. 48 Issue 3 (</w:t>
      </w:r>
      <w:r>
        <w:rPr>
          <w:lang w:val="de-DE"/>
        </w:rPr>
        <w:t>Fall 1998</w:t>
      </w:r>
      <w:r>
        <w:t xml:space="preserve">): </w:t>
      </w:r>
      <w:r>
        <w:t>366-380</w:t>
      </w:r>
    </w:p>
    <w:p w:rsidR="00297EC2" w:rsidRDefault="00297EC2">
      <w:pPr>
        <w:pStyle w:val="Body"/>
        <w:spacing w:line="360" w:lineRule="auto"/>
        <w:jc w:val="both"/>
      </w:pPr>
    </w:p>
    <w:p w:rsidR="00297EC2" w:rsidRDefault="006D128E">
      <w:pPr>
        <w:pStyle w:val="Body"/>
        <w:spacing w:line="360" w:lineRule="auto"/>
        <w:jc w:val="both"/>
      </w:pPr>
      <w:r>
        <w:t xml:space="preserve">Jones, Brad. </w:t>
      </w:r>
      <w:r>
        <w:rPr>
          <w:i/>
          <w:iCs/>
        </w:rPr>
        <w:t>NASA Press Release Says Our Solar System Has a 9th Planet</w:t>
      </w:r>
      <w:r>
        <w:t>, (13 October 2017), https://futurism.com/nasa-press-release-says-our-solar-system-has-a-9th-planet/</w:t>
      </w:r>
    </w:p>
    <w:p w:rsidR="00297EC2" w:rsidRDefault="00297EC2">
      <w:pPr>
        <w:pStyle w:val="Body"/>
        <w:spacing w:line="360" w:lineRule="auto"/>
        <w:jc w:val="both"/>
      </w:pPr>
    </w:p>
    <w:p w:rsidR="00297EC2" w:rsidRDefault="006D128E">
      <w:pPr>
        <w:pStyle w:val="Body"/>
        <w:spacing w:line="360" w:lineRule="auto"/>
        <w:jc w:val="both"/>
      </w:pPr>
      <w:r>
        <w:t>McCutcheon, Russe</w:t>
      </w:r>
      <w:r>
        <w:t xml:space="preserve">ll T. </w:t>
      </w:r>
      <w:r>
        <w:rPr>
          <w:i/>
          <w:iCs/>
        </w:rPr>
        <w:t>The Discipline of Religion: Structure, Meaning, Rhetoric</w:t>
      </w:r>
      <w:r>
        <w:t xml:space="preserve"> (London and New York: Routledge, 2003)</w:t>
      </w:r>
    </w:p>
    <w:p w:rsidR="00297EC2" w:rsidRDefault="00297EC2">
      <w:pPr>
        <w:pStyle w:val="Body"/>
        <w:spacing w:line="360" w:lineRule="auto"/>
        <w:jc w:val="both"/>
      </w:pPr>
    </w:p>
    <w:p w:rsidR="00297EC2" w:rsidRDefault="00297EC2">
      <w:pPr>
        <w:pStyle w:val="Body"/>
        <w:spacing w:line="360" w:lineRule="auto"/>
        <w:jc w:val="both"/>
      </w:pPr>
    </w:p>
    <w:p w:rsidR="00297EC2" w:rsidRDefault="00297EC2">
      <w:pPr>
        <w:pStyle w:val="Body"/>
        <w:spacing w:line="360" w:lineRule="auto"/>
        <w:jc w:val="both"/>
      </w:pPr>
    </w:p>
    <w:p w:rsidR="00297EC2" w:rsidRDefault="00297EC2">
      <w:pPr>
        <w:pStyle w:val="Body"/>
        <w:spacing w:line="360" w:lineRule="auto"/>
        <w:jc w:val="both"/>
      </w:pPr>
    </w:p>
    <w:p w:rsidR="00297EC2" w:rsidRDefault="00297EC2">
      <w:pPr>
        <w:pStyle w:val="Body"/>
        <w:spacing w:line="360" w:lineRule="auto"/>
        <w:jc w:val="both"/>
      </w:pPr>
    </w:p>
    <w:sectPr w:rsidR="00297EC2">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128E" w:rsidRDefault="006D128E">
      <w:r>
        <w:separator/>
      </w:r>
    </w:p>
  </w:endnote>
  <w:endnote w:type="continuationSeparator" w:id="0">
    <w:p w:rsidR="006D128E" w:rsidRDefault="006D1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00002A87" w:usb1="80000000" w:usb2="00000008" w:usb3="00000000" w:csb0="000001FF"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EC2" w:rsidRDefault="00297E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128E" w:rsidRDefault="006D128E">
      <w:r>
        <w:separator/>
      </w:r>
    </w:p>
  </w:footnote>
  <w:footnote w:type="continuationSeparator" w:id="0">
    <w:p w:rsidR="006D128E" w:rsidRDefault="006D1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7EC2" w:rsidRDefault="00297EC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EC2"/>
    <w:rsid w:val="00297EC2"/>
    <w:rsid w:val="006D128E"/>
    <w:rsid w:val="00B36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2D6450"/>
  <w15:docId w15:val="{1F740A9D-F32B-9741-8CA4-E033AD1D7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rPr>
  </w:style>
  <w:style w:type="paragraph" w:customStyle="1" w:styleId="Default">
    <w:name w:val="Default"/>
    <w:rPr>
      <w:rFonts w:ascii="Helvetica Neue" w:eastAsia="Helvetica Neue" w:hAnsi="Helvetica Neue" w:cs="Helvetica Neue"/>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1488</Words>
  <Characters>8482</Characters>
  <Application>Microsoft Office Word</Application>
  <DocSecurity>0</DocSecurity>
  <Lines>70</Lines>
  <Paragraphs>19</Paragraphs>
  <ScaleCrop>false</ScaleCrop>
  <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Hayley Stevens (1802900)</cp:lastModifiedBy>
  <cp:revision>2</cp:revision>
  <dcterms:created xsi:type="dcterms:W3CDTF">2018-05-15T12:37:00Z</dcterms:created>
  <dcterms:modified xsi:type="dcterms:W3CDTF">2018-05-15T12:42:00Z</dcterms:modified>
</cp:coreProperties>
</file>