
<file path=[Content_Types].xml><?xml version="1.0" encoding="utf-8"?>
<Types xmlns="http://schemas.openxmlformats.org/package/2006/content-types">
  <Default ContentType="application/xml" Extension="xml"/>
  <Default ContentType="image/png" Extension="png"/>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rPr>
          <w:b w:val="1"/>
        </w:rPr>
      </w:pPr>
      <w:r w:rsidDel="00000000" w:rsidR="00000000" w:rsidRPr="00000000">
        <w:rPr>
          <w:b w:val="1"/>
          <w:rtl w:val="0"/>
        </w:rPr>
        <w:t xml:space="preserve">William Edwards 2004219</w:t>
      </w:r>
    </w:p>
    <w:p w:rsidR="00000000" w:rsidDel="00000000" w:rsidP="00000000" w:rsidRDefault="00000000" w:rsidRPr="00000000" w14:paraId="00000002">
      <w:pPr>
        <w:rPr>
          <w:b w:val="1"/>
        </w:rPr>
      </w:pPr>
      <w:r w:rsidDel="00000000" w:rsidR="00000000" w:rsidRPr="00000000">
        <w:rPr>
          <w:rtl w:val="0"/>
        </w:rPr>
      </w:r>
    </w:p>
    <w:p w:rsidR="00000000" w:rsidDel="00000000" w:rsidP="00000000" w:rsidRDefault="00000000" w:rsidRPr="00000000" w14:paraId="00000003">
      <w:pPr>
        <w:jc w:val="center"/>
        <w:rPr>
          <w:b w:val="1"/>
        </w:rPr>
      </w:pPr>
      <w:r w:rsidDel="00000000" w:rsidR="00000000" w:rsidRPr="00000000">
        <w:rPr>
          <w:b w:val="1"/>
          <w:rtl w:val="0"/>
        </w:rPr>
        <w:t xml:space="preserve">Theoretical analysis of: Statue of Darius I </w:t>
      </w:r>
    </w:p>
    <w:p w:rsidR="00000000" w:rsidDel="00000000" w:rsidP="00000000" w:rsidRDefault="00000000" w:rsidRPr="00000000" w14:paraId="00000004">
      <w:pPr>
        <w:jc w:val="left"/>
        <w:rPr>
          <w:b w:val="1"/>
        </w:rPr>
      </w:pPr>
      <w:r w:rsidDel="00000000" w:rsidR="00000000" w:rsidRPr="00000000">
        <w:rPr>
          <w:rtl w:val="0"/>
        </w:rPr>
      </w:r>
    </w:p>
    <w:p w:rsidR="00000000" w:rsidDel="00000000" w:rsidP="00000000" w:rsidRDefault="00000000" w:rsidRPr="00000000" w14:paraId="00000005">
      <w:pPr>
        <w:jc w:val="left"/>
        <w:rPr/>
      </w:pPr>
      <w:r w:rsidDel="00000000" w:rsidR="00000000" w:rsidRPr="00000000">
        <w:rPr>
          <w:rtl w:val="0"/>
        </w:rPr>
        <w:t xml:space="preserve">This essay’s aim is to analyse and understand the iconography of a statue of Darius I, with the primary goal of discerning the figure's symbology as well as its ability to present ideas important to the Achaemenid empire despite half the figure being lost. The first half of the essay will focus upon the statue itself, taking into consideration the choices of the dress as well as its positioning; the second half of this essay will cover the base, which itself holds a lot of symbolic power from its carvings. This particular statue was uncovered during the 1972 French expedition to the Royal Palace at Susa, headed by Jean Perrot, we know the person represented by the statue despite its lack of a head or upper torso due to the carvings present along the robes worn by the statue (Curtis, 2013, p.XXI). The analysis will be split between a symbolic analysis as well as an aesthetic analysis of the piece, chiefly concerning its prominent artistic features but consideration will also be put towards its architectural qualities as an unintentional extolling of the ideals and society that the statue attempts to propagate. </w:t>
      </w:r>
    </w:p>
    <w:p w:rsidR="00000000" w:rsidDel="00000000" w:rsidP="00000000" w:rsidRDefault="00000000" w:rsidRPr="00000000" w14:paraId="00000006">
      <w:pPr>
        <w:jc w:val="left"/>
        <w:rPr/>
      </w:pPr>
      <w:r w:rsidDel="00000000" w:rsidR="00000000" w:rsidRPr="00000000">
        <w:rPr>
          <w:rtl w:val="0"/>
        </w:rPr>
      </w:r>
    </w:p>
    <w:p w:rsidR="00000000" w:rsidDel="00000000" w:rsidP="00000000" w:rsidRDefault="00000000" w:rsidRPr="00000000" w14:paraId="00000007">
      <w:pPr>
        <w:jc w:val="left"/>
        <w:rPr/>
      </w:pPr>
      <w:r w:rsidDel="00000000" w:rsidR="00000000" w:rsidRPr="00000000">
        <w:rPr>
          <w:rtl w:val="0"/>
        </w:rPr>
        <w:t xml:space="preserve">A majority of Achaemenid artwork tends to be friezes and reliefs rather than statues, not to say statues are a rarity, only that they are less common than the abundance of artwork lathering ancient Achaemenid and Persian architecture, this can partly be due to statues being lost to time or iconoclasm, or that the Persian culture expressed itself more heavily through reliefs and more two dimensional artwork in comparison to societies and cultures like Rome, Greece or Egypt (Jacobs, 2021, p.749). Gell makes a good point in which we must attempt to understand that from our ‘Western’ perspectives we have prejudices and pursue selective qualities when looking upon art, but that we must remember that the cultural context in which this statue was initially created for also had their own context in wish they were viewing it (Gell 1998, p.2). It is practically impossible for one to observe art from a totally unbiased diagnostic standpoint, it is natural for societies and individuals within them to have their own preferences towards different art forms. Despite this, I will attempt to observe, analyse and critique with an unbiased as possible view, the statue of Darius I excavated at Susa in 1972, that is at this very moment located within the National Museum of Iran in Tehran. In terms of material, it is constructed from Greywacke, Vallat notes that the stone from which the statue is carved from is from the Wadi Hammamat mining facility, with Greywacke being a common material for the building of statues within Egyptian decorative architecture (Vallat, 2013, p.32). </w:t>
      </w:r>
    </w:p>
    <w:p w:rsidR="00000000" w:rsidDel="00000000" w:rsidP="00000000" w:rsidRDefault="00000000" w:rsidRPr="00000000" w14:paraId="00000008">
      <w:pPr>
        <w:jc w:val="left"/>
        <w:rPr/>
      </w:pPr>
      <w:r w:rsidDel="00000000" w:rsidR="00000000" w:rsidRPr="00000000">
        <w:rPr>
          <w:rtl w:val="0"/>
        </w:rPr>
      </w:r>
    </w:p>
    <w:p w:rsidR="00000000" w:rsidDel="00000000" w:rsidP="00000000" w:rsidRDefault="00000000" w:rsidRPr="00000000" w14:paraId="00000009">
      <w:pPr>
        <w:jc w:val="left"/>
        <w:rPr>
          <w:b w:val="1"/>
        </w:rPr>
      </w:pPr>
      <w:r w:rsidDel="00000000" w:rsidR="00000000" w:rsidRPr="00000000">
        <w:rPr>
          <w:b w:val="1"/>
          <w:rtl w:val="0"/>
        </w:rPr>
        <w:t xml:space="preserve">Statue </w:t>
      </w:r>
    </w:p>
    <w:p w:rsidR="00000000" w:rsidDel="00000000" w:rsidP="00000000" w:rsidRDefault="00000000" w:rsidRPr="00000000" w14:paraId="0000000A">
      <w:pPr>
        <w:jc w:val="left"/>
        <w:rPr/>
      </w:pPr>
      <w:r w:rsidDel="00000000" w:rsidR="00000000" w:rsidRPr="00000000">
        <w:rPr>
          <w:rtl w:val="0"/>
        </w:rPr>
        <w:t xml:space="preserve">The figures’ robes are in the standardised Persian dress are inlaid with several carved messages, in fact, the same message repeated in triplicate in: Old Persian, Babylonian cuneiform, and Elamite cuneiform script; the reasoning for the selection of these three languages makes far more sense in the context in which this statue was created. Babylon had recently had its rebellion crushed, Elam had risen in revolt on several occasions, all of which were put down by Darius’ forces or the crumbling of the rebellion from a lack of local support, and Old Persian would have represented the writing style of the Achaemenid Persian elite; in contrast to this point, these three languages were the administrative languages of the empire, presenting a far less interesting reasoning behind the style choices. The text talks about Ahuramazda, which the text itself tells us is the creator of all things, from the heavens to the land and also made Darius king (. Symbolically, having the claim of divine support enrobed upon the figure of Darius is an interesting one, it makes sense to solidify your support from the people and the aristocracy by claiming that a deity, a deity whom crafted the very land they inhabited, granted them right to rule, Darius had also “...made Ahurahazda the principal deity of Persia.” (Vallat, 2013, p.44). Rossi argues that the statue is a break from the typical trilingualist tradition of Achaemenid works with the inclusion of hieroglyphic texts (Rossi, 2021, p.76) The use of several languages within Persian art is not limited to this statue, famously the Behistun Inscription, which tells the story of Darius’ rise and the defeatings of his opponents, is written in; Old Persian, Babylonian and Elamite (Darius, </w:t>
      </w:r>
      <w:r w:rsidDel="00000000" w:rsidR="00000000" w:rsidRPr="00000000">
        <w:rPr>
          <w:i w:val="1"/>
          <w:rtl w:val="0"/>
        </w:rPr>
        <w:t xml:space="preserve">Behistun </w:t>
      </w:r>
      <w:r w:rsidDel="00000000" w:rsidR="00000000" w:rsidRPr="00000000">
        <w:rPr>
          <w:rtl w:val="0"/>
        </w:rPr>
        <w:t xml:space="preserve">trans. L. W. King, R. C. Thompson</w:t>
      </w:r>
      <w:r w:rsidDel="00000000" w:rsidR="00000000" w:rsidRPr="00000000">
        <w:rPr>
          <w:rtl w:val="0"/>
        </w:rPr>
        <w:t xml:space="preserve">). That inscription is also used as a piece of propaganda, but in the form of the more classical Achaemenid style of a relief. In terms of size, it would have towered over its observers, this is typical for statues of a propagandic nature, they must dwarf their audience if they are to emphasise the metaphorical superhumanness or deification they wish to exhibit(Gell, 1998, p.72). Yoyotte argues that it would have reached 3-3.5m in height without the damage and even more if had a crown (Yoyotte, 2013, p.241-242). Furthermore, it is secular in nature, but it does have religious connotations displayed upon it, chiefly the text regarding Ahuramazda. </w:t>
      </w:r>
    </w:p>
    <w:p w:rsidR="00000000" w:rsidDel="00000000" w:rsidP="00000000" w:rsidRDefault="00000000" w:rsidRPr="00000000" w14:paraId="0000000B">
      <w:pPr>
        <w:jc w:val="left"/>
        <w:rPr/>
      </w:pPr>
      <w:r w:rsidDel="00000000" w:rsidR="00000000" w:rsidRPr="00000000">
        <w:rPr>
          <w:rtl w:val="0"/>
        </w:rPr>
      </w:r>
    </w:p>
    <w:p w:rsidR="00000000" w:rsidDel="00000000" w:rsidP="00000000" w:rsidRDefault="00000000" w:rsidRPr="00000000" w14:paraId="0000000C">
      <w:pPr>
        <w:jc w:val="left"/>
        <w:rPr/>
      </w:pPr>
      <w:r w:rsidDel="00000000" w:rsidR="00000000" w:rsidRPr="00000000">
        <w:rPr/>
        <w:drawing>
          <wp:inline distB="114300" distT="114300" distL="114300" distR="114300">
            <wp:extent cx="4938713" cy="6690828"/>
            <wp:effectExtent b="0" l="0" r="0" t="0"/>
            <wp:docPr id="2" name="image1.png"/>
            <a:graphic>
              <a:graphicData uri="http://schemas.openxmlformats.org/drawingml/2006/picture">
                <pic:pic>
                  <pic:nvPicPr>
                    <pic:cNvPr id="0" name="image1.png"/>
                    <pic:cNvPicPr preferRelativeResize="0"/>
                  </pic:nvPicPr>
                  <pic:blipFill>
                    <a:blip r:embed="rId6"/>
                    <a:srcRect b="0" l="0" r="0" t="0"/>
                    <a:stretch>
                      <a:fillRect/>
                    </a:stretch>
                  </pic:blipFill>
                  <pic:spPr>
                    <a:xfrm>
                      <a:off x="0" y="0"/>
                      <a:ext cx="4938713" cy="6690828"/>
                    </a:xfrm>
                    <a:prstGeom prst="rect"/>
                    <a:ln/>
                  </pic:spPr>
                </pic:pic>
              </a:graphicData>
            </a:graphic>
          </wp:inline>
        </w:drawing>
      </w:r>
      <w:r w:rsidDel="00000000" w:rsidR="00000000" w:rsidRPr="00000000">
        <w:rPr>
          <w:rtl w:val="0"/>
        </w:rPr>
      </w:r>
    </w:p>
    <w:p w:rsidR="00000000" w:rsidDel="00000000" w:rsidP="00000000" w:rsidRDefault="00000000" w:rsidRPr="00000000" w14:paraId="0000000D">
      <w:pPr>
        <w:jc w:val="left"/>
        <w:rPr/>
      </w:pPr>
      <w:r w:rsidDel="00000000" w:rsidR="00000000" w:rsidRPr="00000000">
        <w:rPr>
          <w:b w:val="1"/>
          <w:rtl w:val="0"/>
        </w:rPr>
        <w:t xml:space="preserve">Figure 1 - </w:t>
      </w:r>
      <w:r w:rsidDel="00000000" w:rsidR="00000000" w:rsidRPr="00000000">
        <w:rPr>
          <w:rtl w:val="0"/>
        </w:rPr>
        <w:t xml:space="preserve">photograph detailing the writing visible along the robes, minor damage can be seen along the dress as well as the hand but overall the text has survived in excellent condition </w:t>
      </w:r>
      <w:r w:rsidDel="00000000" w:rsidR="00000000" w:rsidRPr="00000000">
        <w:rPr>
          <w:rtl w:val="0"/>
        </w:rPr>
      </w:r>
    </w:p>
    <w:p w:rsidR="00000000" w:rsidDel="00000000" w:rsidP="00000000" w:rsidRDefault="00000000" w:rsidRPr="00000000" w14:paraId="0000000E">
      <w:pPr>
        <w:jc w:val="left"/>
        <w:rPr/>
      </w:pPr>
      <w:r w:rsidDel="00000000" w:rsidR="00000000" w:rsidRPr="00000000">
        <w:rPr>
          <w:rtl w:val="0"/>
        </w:rPr>
      </w:r>
    </w:p>
    <w:p w:rsidR="00000000" w:rsidDel="00000000" w:rsidP="00000000" w:rsidRDefault="00000000" w:rsidRPr="00000000" w14:paraId="0000000F">
      <w:pPr>
        <w:jc w:val="left"/>
        <w:rPr/>
      </w:pPr>
      <w:r w:rsidDel="00000000" w:rsidR="00000000" w:rsidRPr="00000000">
        <w:rPr>
          <w:rtl w:val="0"/>
        </w:rPr>
        <w:t xml:space="preserve">The figure itself has lost its head and a portion of the upper torso, what caused this has been cause for much speculation with some claiming damage to the statue was incidental rather than accidental, Perrot disputes Razmjou’s claims of attempted destruction of the statue by Alexander’s forces, citing the lack of evident traces of blows to the statue, and the fact that a majority of the statue remained in exquisite condition (Perrot, 2013 p.176). I am inclined to agree with Perrot, the remainder of the statue is in remarkably good condition, some areas such as what the hands were grasping have been lost, Yoyotte argues that this was not from simple erosion but from explicit destruction which is not entirely congruous with Perrot’s analysis, Perrot also argues that the top of the statue may have been exposed to erosion which simply weakened and snapped the upper portion of the statue off (Yoyotte, 2013, p.241, 244; Perrot, 2013 p.176-177). The back of the statue has a pillar supporting the figure, this is definitely just there to support the statue by providing more structural links between base and figure, but it could have the unintended symbolic bonus of it looking as though both the figure (Darius, the king) and the base (the people and the empire as a whole) are inextricably linked, one supports while one reigns high above; another unintentional symbolic point could be viewed in the using of the same stone to carve both figure and base, obviously this is just standard practice for carving statues to ensure structural stability, but I would argue it also represents the idea that the king and the people are of one nature, one may rule while the rest serve, but they are both of the earth and same material, both humans, both serving a purpose within the state apparatus, both Achaemenid. </w:t>
      </w:r>
    </w:p>
    <w:p w:rsidR="00000000" w:rsidDel="00000000" w:rsidP="00000000" w:rsidRDefault="00000000" w:rsidRPr="00000000" w14:paraId="00000010">
      <w:pPr>
        <w:jc w:val="left"/>
        <w:rPr>
          <w:b w:val="1"/>
        </w:rPr>
      </w:pPr>
      <w:r w:rsidDel="00000000" w:rsidR="00000000" w:rsidRPr="00000000">
        <w:rPr>
          <w:rtl w:val="0"/>
        </w:rPr>
      </w:r>
    </w:p>
    <w:p w:rsidR="00000000" w:rsidDel="00000000" w:rsidP="00000000" w:rsidRDefault="00000000" w:rsidRPr="00000000" w14:paraId="00000011">
      <w:pPr>
        <w:jc w:val="left"/>
        <w:rPr>
          <w:b w:val="1"/>
        </w:rPr>
      </w:pPr>
      <w:r w:rsidDel="00000000" w:rsidR="00000000" w:rsidRPr="00000000">
        <w:rPr>
          <w:b w:val="1"/>
          <w:rtl w:val="0"/>
        </w:rPr>
        <w:t xml:space="preserve">Base</w:t>
      </w:r>
    </w:p>
    <w:p w:rsidR="00000000" w:rsidDel="00000000" w:rsidP="00000000" w:rsidRDefault="00000000" w:rsidRPr="00000000" w14:paraId="00000012">
      <w:pPr>
        <w:jc w:val="left"/>
        <w:rPr/>
      </w:pPr>
      <w:r w:rsidDel="00000000" w:rsidR="00000000" w:rsidRPr="00000000">
        <w:rPr>
          <w:rtl w:val="0"/>
        </w:rPr>
        <w:t xml:space="preserve">The base alone arguably is of more importance than the statue of Darius itself; the faces carved into include the front, the top, as well as the left and right sides. The symbology depicted on the base is, in my view, of greater representative value than the statue; it has inlaid within it a series of iconographic representations of the varying satrapies and peoples under Achaemenid rule, as well as having more messages carved into the top of the base, beside Darius’ feet. It is not ornately decorated in flourishes or rounded with smooth corners, it is simply a block, upon which an artistically and aesthetically beautiful as well as a hugely symbolic message is being portrayed to the audience. </w:t>
      </w:r>
    </w:p>
    <w:p w:rsidR="00000000" w:rsidDel="00000000" w:rsidP="00000000" w:rsidRDefault="00000000" w:rsidRPr="00000000" w14:paraId="00000013">
      <w:pPr>
        <w:jc w:val="left"/>
        <w:rPr/>
      </w:pPr>
      <w:r w:rsidDel="00000000" w:rsidR="00000000" w:rsidRPr="00000000">
        <w:rPr>
          <w:rtl w:val="0"/>
        </w:rPr>
      </w:r>
    </w:p>
    <w:p w:rsidR="00000000" w:rsidDel="00000000" w:rsidP="00000000" w:rsidRDefault="00000000" w:rsidRPr="00000000" w14:paraId="00000014">
      <w:pPr>
        <w:jc w:val="left"/>
        <w:rPr/>
      </w:pPr>
      <w:r w:rsidDel="00000000" w:rsidR="00000000" w:rsidRPr="00000000">
        <w:rPr/>
        <w:drawing>
          <wp:inline distB="19050" distT="19050" distL="19050" distR="19050">
            <wp:extent cx="5224463" cy="4476750"/>
            <wp:effectExtent b="0" l="0" r="0" t="0"/>
            <wp:docPr id="1" name="image2.png"/>
            <a:graphic>
              <a:graphicData uri="http://schemas.openxmlformats.org/drawingml/2006/picture">
                <pic:pic>
                  <pic:nvPicPr>
                    <pic:cNvPr id="0" name="image2.png"/>
                    <pic:cNvPicPr preferRelativeResize="0"/>
                  </pic:nvPicPr>
                  <pic:blipFill>
                    <a:blip r:embed="rId7"/>
                    <a:srcRect b="0" l="0" r="0" t="0"/>
                    <a:stretch>
                      <a:fillRect/>
                    </a:stretch>
                  </pic:blipFill>
                  <pic:spPr>
                    <a:xfrm>
                      <a:off x="0" y="0"/>
                      <a:ext cx="5224463" cy="4476750"/>
                    </a:xfrm>
                    <a:prstGeom prst="rect"/>
                    <a:ln/>
                  </pic:spPr>
                </pic:pic>
              </a:graphicData>
            </a:graphic>
          </wp:inline>
        </w:drawing>
      </w:r>
      <w:r w:rsidDel="00000000" w:rsidR="00000000" w:rsidRPr="00000000">
        <w:rPr>
          <w:rtl w:val="0"/>
        </w:rPr>
      </w:r>
    </w:p>
    <w:p w:rsidR="00000000" w:rsidDel="00000000" w:rsidP="00000000" w:rsidRDefault="00000000" w:rsidRPr="00000000" w14:paraId="00000015">
      <w:pPr>
        <w:jc w:val="left"/>
        <w:rPr/>
      </w:pPr>
      <w:r w:rsidDel="00000000" w:rsidR="00000000" w:rsidRPr="00000000">
        <w:rPr>
          <w:b w:val="1"/>
          <w:rtl w:val="0"/>
        </w:rPr>
        <w:t xml:space="preserve">Figure 2 - </w:t>
      </w:r>
      <w:r w:rsidDel="00000000" w:rsidR="00000000" w:rsidRPr="00000000">
        <w:rPr>
          <w:rtl w:val="0"/>
        </w:rPr>
        <w:t xml:space="preserve">A picture and drawing as well as translation of the list of countries found on both sides of the base of the statue </w:t>
      </w:r>
      <w:r w:rsidDel="00000000" w:rsidR="00000000" w:rsidRPr="00000000">
        <w:rPr>
          <w:rtl w:val="0"/>
        </w:rPr>
      </w:r>
    </w:p>
    <w:p w:rsidR="00000000" w:rsidDel="00000000" w:rsidP="00000000" w:rsidRDefault="00000000" w:rsidRPr="00000000" w14:paraId="00000016">
      <w:pPr>
        <w:jc w:val="left"/>
        <w:rPr/>
      </w:pPr>
      <w:r w:rsidDel="00000000" w:rsidR="00000000" w:rsidRPr="00000000">
        <w:rPr>
          <w:rtl w:val="0"/>
        </w:rPr>
      </w:r>
    </w:p>
    <w:p w:rsidR="00000000" w:rsidDel="00000000" w:rsidP="00000000" w:rsidRDefault="00000000" w:rsidRPr="00000000" w14:paraId="00000017">
      <w:pPr>
        <w:jc w:val="left"/>
        <w:rPr>
          <w:b w:val="1"/>
        </w:rPr>
      </w:pPr>
      <w:r w:rsidDel="00000000" w:rsidR="00000000" w:rsidRPr="00000000">
        <w:rPr>
          <w:rtl w:val="0"/>
        </w:rPr>
        <w:t xml:space="preserve">The many peoples depicted shows a very interesting set of details: 1) they are all kneeling and offering their palms, presumably towards Darius; 2) they are all clothed in the dress of their native lands, all individually distinct (Yoyotte, 2013, 245-246); 3) they are all of equal size and proportions to each other. The first is an obvious symbol of supplication, the kneeling showing the prominence of Darius and the physical lowering of the satraps to serve him. Addressing the second point, it is likely they are being used to characterise the culture of each distinctive region, showing how pervasive and commanding the Achaemenid Empire, but also showing that the Achaemenid dynasty had not been tyrannical or dictatorial in enforcing cultural homogeneity across its vast territories, this preservation of culture is a symbolic act of compromise from the monarchy towards the territories, the retention of culture but under the command of a ‘foreign’ monarch is the social contract that seems to have been enforced across the empire, at least during the reign of Darius. Thirdly, the differences in geographical size, economic prosperity or loyalty of each region is purposefully removed from the depiction, no special treatment is given to any of the territories and thus a perceived overshadowing of the less administratively important regions is not enforced as those of arguably less importance are not loomed over by major economic satrapies such as Egypt. Tavernier argues that this pattern within Achaemenid iconography is a form of “...consciousness regarding the multitudes of people living in the empire.” (Tavernier, 2021, p.44). The main exception to this third point would be the two anthropomorphised symbolic representations of Upper and Lower Egypt depicted at the front of the base, however, seeing as the statue itself comes from Egypt, it can be argued that the representation is meant to signify control over all of Egypt, and that they are a pacified nation whom are part of the Empire. The way in which the statues are arrayed seems to be generally based upon the geographical distance the satrapies are away from the centre of power and the heart of the empire, centred around Persia-Babylonia; while these areas are distinct and culturally diverse, they are stereotypically characterised in their ceremonial dress, with Razmjou identifying the Persian representative being clothed in the typical garments of a priest (Razmjou, 2010, p.239). </w:t>
      </w:r>
      <w:r w:rsidDel="00000000" w:rsidR="00000000" w:rsidRPr="00000000">
        <w:rPr>
          <w:rtl w:val="0"/>
        </w:rPr>
      </w:r>
    </w:p>
    <w:p w:rsidR="00000000" w:rsidDel="00000000" w:rsidP="00000000" w:rsidRDefault="00000000" w:rsidRPr="00000000" w14:paraId="00000018">
      <w:pPr>
        <w:jc w:val="left"/>
        <w:rPr>
          <w:b w:val="1"/>
        </w:rPr>
      </w:pPr>
      <w:r w:rsidDel="00000000" w:rsidR="00000000" w:rsidRPr="00000000">
        <w:rPr>
          <w:rtl w:val="0"/>
        </w:rPr>
      </w:r>
    </w:p>
    <w:p w:rsidR="00000000" w:rsidDel="00000000" w:rsidP="00000000" w:rsidRDefault="00000000" w:rsidRPr="00000000" w14:paraId="00000019">
      <w:pPr>
        <w:jc w:val="left"/>
        <w:rPr/>
      </w:pPr>
      <w:r w:rsidDel="00000000" w:rsidR="00000000" w:rsidRPr="00000000">
        <w:rPr>
          <w:rtl w:val="0"/>
        </w:rPr>
        <w:t xml:space="preserve">Darius is being depicted not only as a political unifier but also a cultural one; there are different stresses for different perspectives depending on the section of the statue that one is looking at, looking upon darius’ robes we see they are distinctly Persian in origin, stressing his dynastic roots there. The writing upon his robes signifying major language groups of the empire, several of which had been in rebellion recently, looking to the base we see the inscriptions in the classic Egyptian style, and the inscriptions themselves are representative of disparate groups of people. Costache highlights an important part of royal patronage for the arts, that the ruler wishes to be seen with “Power, leadership, control, and wisdom are some of the core characteristics found in these works.” and this statue through both its physical stature and metaphorical stature through the carvings is indicative of these characteristics (Costache, 2012, p.19). In terms of being symbolic, it is both subtle and blatant in its style, what could merely have been a way for the engraver to easily duplicate a pattern turned out being incredibly unifying symbology, of course there is the possibility this was always the goal of the carver, either way they achieved an aesthetically pleasing and deeply symbolic expression of equality in subservience or obedience, one that arguably resonates within today's societies. </w:t>
      </w:r>
    </w:p>
    <w:p w:rsidR="00000000" w:rsidDel="00000000" w:rsidP="00000000" w:rsidRDefault="00000000" w:rsidRPr="00000000" w14:paraId="0000001A">
      <w:pPr>
        <w:jc w:val="left"/>
        <w:rPr/>
      </w:pPr>
      <w:r w:rsidDel="00000000" w:rsidR="00000000" w:rsidRPr="00000000">
        <w:rPr>
          <w:rtl w:val="0"/>
        </w:rPr>
      </w:r>
    </w:p>
    <w:p w:rsidR="00000000" w:rsidDel="00000000" w:rsidP="00000000" w:rsidRDefault="00000000" w:rsidRPr="00000000" w14:paraId="0000001B">
      <w:pPr>
        <w:jc w:val="left"/>
        <w:rPr>
          <w:b w:val="1"/>
        </w:rPr>
      </w:pPr>
      <w:r w:rsidDel="00000000" w:rsidR="00000000" w:rsidRPr="00000000">
        <w:rPr>
          <w:rtl w:val="0"/>
        </w:rPr>
        <w:t xml:space="preserve">In summary the statue of Darius I is a gorgeous piece of art and propaganda that subtly plays upon notions of unity, equality and physically represents part of the functions of state supremely well. It is aesthetically superlative in how well it characterises Darius as a ruler of peoples and cultures, demonstrating how easy it is to show political unity without necessarily relying upon cultural unity, they are unified in their serving of Darius, and he is inseparable from them in turn, without the base with those dutiful carvings, that statue would topple and collapse. The consciousness exhibited when the dedications of the carvings were being decided upon shows in interesting care towards disparate groups, whether this was genuine representation of unity regardless of culture or is purely a tool of propaganda is up for debate, optimism sides with it being an authentic gesture of unity, but a more cynical and critical point of view can raise the equally valid claim that states and figures of authority have been doing this for millenia, so why should this be an exception. Despite this, it is still an aesthetically pleasing and thoroughly engaging piece of art whose depictions can be extrapolated endlessly to help analyse the political and cultural state of the Achaemenids at that time. </w:t>
      </w:r>
      <w:r w:rsidDel="00000000" w:rsidR="00000000" w:rsidRPr="00000000">
        <w:rPr>
          <w:rtl w:val="0"/>
        </w:rPr>
      </w:r>
    </w:p>
    <w:p w:rsidR="00000000" w:rsidDel="00000000" w:rsidP="00000000" w:rsidRDefault="00000000" w:rsidRPr="00000000" w14:paraId="0000001C">
      <w:pPr>
        <w:jc w:val="left"/>
        <w:rPr>
          <w:b w:val="1"/>
        </w:rPr>
      </w:pPr>
      <w:r w:rsidDel="00000000" w:rsidR="00000000" w:rsidRPr="00000000">
        <w:rPr>
          <w:rtl w:val="0"/>
        </w:rPr>
      </w:r>
    </w:p>
    <w:p w:rsidR="00000000" w:rsidDel="00000000" w:rsidP="00000000" w:rsidRDefault="00000000" w:rsidRPr="00000000" w14:paraId="0000001D">
      <w:pPr>
        <w:jc w:val="left"/>
        <w:rPr>
          <w:b w:val="1"/>
        </w:rPr>
      </w:pPr>
      <w:r w:rsidDel="00000000" w:rsidR="00000000" w:rsidRPr="00000000">
        <w:rPr>
          <w:b w:val="1"/>
          <w:rtl w:val="0"/>
        </w:rPr>
        <w:t xml:space="preserve">Ancient Sources</w:t>
      </w:r>
    </w:p>
    <w:p w:rsidR="00000000" w:rsidDel="00000000" w:rsidP="00000000" w:rsidRDefault="00000000" w:rsidRPr="00000000" w14:paraId="0000001E">
      <w:pPr>
        <w:jc w:val="left"/>
        <w:rPr>
          <w:b w:val="1"/>
        </w:rPr>
      </w:pPr>
      <w:r w:rsidDel="00000000" w:rsidR="00000000" w:rsidRPr="00000000">
        <w:rPr>
          <w:rtl w:val="0"/>
        </w:rPr>
      </w:r>
    </w:p>
    <w:p w:rsidR="00000000" w:rsidDel="00000000" w:rsidP="00000000" w:rsidRDefault="00000000" w:rsidRPr="00000000" w14:paraId="0000001F">
      <w:pPr>
        <w:jc w:val="left"/>
        <w:rPr/>
      </w:pPr>
      <w:r w:rsidDel="00000000" w:rsidR="00000000" w:rsidRPr="00000000">
        <w:rPr>
          <w:rtl w:val="0"/>
        </w:rPr>
        <w:t xml:space="preserve">Darius I (Circa. 522-486 BCE) </w:t>
      </w:r>
      <w:r w:rsidDel="00000000" w:rsidR="00000000" w:rsidRPr="00000000">
        <w:rPr>
          <w:i w:val="1"/>
          <w:rtl w:val="0"/>
        </w:rPr>
        <w:t xml:space="preserve">Behistun Inscription</w:t>
      </w:r>
      <w:r w:rsidDel="00000000" w:rsidR="00000000" w:rsidRPr="00000000">
        <w:rPr>
          <w:rtl w:val="0"/>
        </w:rPr>
        <w:t xml:space="preserve"> trans. L. W. King, R. C. Thompson (1907) London &lt;</w:t>
      </w:r>
      <w:hyperlink r:id="rId8">
        <w:r w:rsidDel="00000000" w:rsidR="00000000" w:rsidRPr="00000000">
          <w:rPr>
            <w:color w:val="1155cc"/>
            <w:u w:val="single"/>
            <w:rtl w:val="0"/>
          </w:rPr>
          <w:t xml:space="preserve">https://www.livius.org/articles/place/behistun/behistun-3/</w:t>
        </w:r>
      </w:hyperlink>
      <w:r w:rsidDel="00000000" w:rsidR="00000000" w:rsidRPr="00000000">
        <w:rPr>
          <w:rtl w:val="0"/>
        </w:rPr>
        <w:t xml:space="preserve">&gt; [Accessed 5th March 2024] </w:t>
      </w:r>
    </w:p>
    <w:p w:rsidR="00000000" w:rsidDel="00000000" w:rsidP="00000000" w:rsidRDefault="00000000" w:rsidRPr="00000000" w14:paraId="00000020">
      <w:pPr>
        <w:jc w:val="left"/>
        <w:rPr>
          <w:b w:val="1"/>
        </w:rPr>
      </w:pPr>
      <w:r w:rsidDel="00000000" w:rsidR="00000000" w:rsidRPr="00000000">
        <w:rPr>
          <w:rtl w:val="0"/>
        </w:rPr>
      </w:r>
    </w:p>
    <w:p w:rsidR="00000000" w:rsidDel="00000000" w:rsidP="00000000" w:rsidRDefault="00000000" w:rsidRPr="00000000" w14:paraId="00000021">
      <w:pPr>
        <w:jc w:val="left"/>
        <w:rPr>
          <w:b w:val="1"/>
        </w:rPr>
      </w:pPr>
      <w:r w:rsidDel="00000000" w:rsidR="00000000" w:rsidRPr="00000000">
        <w:rPr>
          <w:b w:val="1"/>
          <w:rtl w:val="0"/>
        </w:rPr>
        <w:t xml:space="preserve">Modern Scholarship</w:t>
      </w:r>
    </w:p>
    <w:p w:rsidR="00000000" w:rsidDel="00000000" w:rsidP="00000000" w:rsidRDefault="00000000" w:rsidRPr="00000000" w14:paraId="00000022">
      <w:pPr>
        <w:jc w:val="left"/>
        <w:rPr>
          <w:b w:val="1"/>
        </w:rPr>
      </w:pPr>
      <w:r w:rsidDel="00000000" w:rsidR="00000000" w:rsidRPr="00000000">
        <w:rPr>
          <w:rtl w:val="0"/>
        </w:rPr>
      </w:r>
    </w:p>
    <w:p w:rsidR="00000000" w:rsidDel="00000000" w:rsidP="00000000" w:rsidRDefault="00000000" w:rsidRPr="00000000" w14:paraId="00000023">
      <w:pPr>
        <w:jc w:val="left"/>
        <w:rPr/>
      </w:pPr>
      <w:r w:rsidDel="00000000" w:rsidR="00000000" w:rsidRPr="00000000">
        <w:rPr>
          <w:rtl w:val="0"/>
        </w:rPr>
        <w:t xml:space="preserve">Álvarez-Mon, J., Bichler, R., Binder, C., Boteva-Boyanova, D., Boucharlat, R., Cannavò, A., Daryaee, T., Degan, J., et al (2021) </w:t>
      </w:r>
      <w:r w:rsidDel="00000000" w:rsidR="00000000" w:rsidRPr="00000000">
        <w:rPr>
          <w:i w:val="1"/>
          <w:rtl w:val="0"/>
        </w:rPr>
        <w:t xml:space="preserve">A Companion to the Persian Achaemenid Empire Vol. 1 &amp; Vol. 2  </w:t>
      </w:r>
      <w:r w:rsidDel="00000000" w:rsidR="00000000" w:rsidRPr="00000000">
        <w:rPr>
          <w:rtl w:val="0"/>
        </w:rPr>
        <w:t xml:space="preserve">Wiley Blackwell Publishing </w:t>
      </w:r>
    </w:p>
    <w:p w:rsidR="00000000" w:rsidDel="00000000" w:rsidP="00000000" w:rsidRDefault="00000000" w:rsidRPr="00000000" w14:paraId="00000024">
      <w:pPr>
        <w:jc w:val="left"/>
        <w:rPr/>
      </w:pPr>
      <w:r w:rsidDel="00000000" w:rsidR="00000000" w:rsidRPr="00000000">
        <w:rPr>
          <w:rtl w:val="0"/>
        </w:rPr>
      </w:r>
    </w:p>
    <w:p w:rsidR="00000000" w:rsidDel="00000000" w:rsidP="00000000" w:rsidRDefault="00000000" w:rsidRPr="00000000" w14:paraId="00000025">
      <w:pPr>
        <w:jc w:val="left"/>
        <w:rPr/>
      </w:pPr>
      <w:r w:rsidDel="00000000" w:rsidR="00000000" w:rsidRPr="00000000">
        <w:rPr>
          <w:rtl w:val="0"/>
        </w:rPr>
        <w:t xml:space="preserve">Amiet, P., André-Salvini, B., Boucharlat, R., Briant, P., Caubet, A., Chevalier, N., Daucé, N., Frank, C. et al. (2013) </w:t>
      </w:r>
      <w:r w:rsidDel="00000000" w:rsidR="00000000" w:rsidRPr="00000000">
        <w:rPr>
          <w:i w:val="1"/>
          <w:rtl w:val="0"/>
        </w:rPr>
        <w:t xml:space="preserve">The Palace of Darius at Susa: The Great Royal Residence of Achaemenid Persia </w:t>
      </w:r>
      <w:r w:rsidDel="00000000" w:rsidR="00000000" w:rsidRPr="00000000">
        <w:rPr>
          <w:rtl w:val="0"/>
        </w:rPr>
        <w:t xml:space="preserve">(trans. Gérard Collon, Dominique Collon) London: I.B.Taurus</w:t>
      </w:r>
    </w:p>
    <w:p w:rsidR="00000000" w:rsidDel="00000000" w:rsidP="00000000" w:rsidRDefault="00000000" w:rsidRPr="00000000" w14:paraId="00000026">
      <w:pPr>
        <w:jc w:val="left"/>
        <w:rPr/>
      </w:pPr>
      <w:r w:rsidDel="00000000" w:rsidR="00000000" w:rsidRPr="00000000">
        <w:rPr>
          <w:rtl w:val="0"/>
        </w:rPr>
      </w:r>
    </w:p>
    <w:p w:rsidR="00000000" w:rsidDel="00000000" w:rsidP="00000000" w:rsidRDefault="00000000" w:rsidRPr="00000000" w14:paraId="00000027">
      <w:pPr>
        <w:rPr/>
      </w:pPr>
      <w:r w:rsidDel="00000000" w:rsidR="00000000" w:rsidRPr="00000000">
        <w:rPr>
          <w:rtl w:val="0"/>
        </w:rPr>
        <w:t xml:space="preserve">Briant, P. (2017) </w:t>
      </w:r>
      <w:r w:rsidDel="00000000" w:rsidR="00000000" w:rsidRPr="00000000">
        <w:rPr>
          <w:i w:val="1"/>
          <w:rtl w:val="0"/>
        </w:rPr>
        <w:t xml:space="preserve">Achemenet. </w:t>
      </w:r>
      <w:r w:rsidDel="00000000" w:rsidR="00000000" w:rsidRPr="00000000">
        <w:rPr>
          <w:rtl w:val="0"/>
        </w:rPr>
        <w:t xml:space="preserve">Available at:</w:t>
      </w:r>
      <w:hyperlink r:id="rId9">
        <w:r w:rsidDel="00000000" w:rsidR="00000000" w:rsidRPr="00000000">
          <w:rPr>
            <w:color w:val="1155cc"/>
            <w:u w:val="single"/>
            <w:rtl w:val="0"/>
          </w:rPr>
          <w:t xml:space="preserve">http://www.achemenet.com/en/item/?/achaemenid-museum/object-categories/statues/3802008-3801979/0,0,950,671,5.93#view-1</w:t>
        </w:r>
      </w:hyperlink>
      <w:r w:rsidDel="00000000" w:rsidR="00000000" w:rsidRPr="00000000">
        <w:rPr>
          <w:rtl w:val="0"/>
        </w:rPr>
        <w:t xml:space="preserve"> (Accessed 1st March 2024)</w:t>
      </w:r>
    </w:p>
    <w:p w:rsidR="00000000" w:rsidDel="00000000" w:rsidP="00000000" w:rsidRDefault="00000000" w:rsidRPr="00000000" w14:paraId="00000028">
      <w:pPr>
        <w:rPr/>
      </w:pPr>
      <w:r w:rsidDel="00000000" w:rsidR="00000000" w:rsidRPr="00000000">
        <w:rPr>
          <w:rtl w:val="0"/>
        </w:rPr>
      </w:r>
    </w:p>
    <w:p w:rsidR="00000000" w:rsidDel="00000000" w:rsidP="00000000" w:rsidRDefault="00000000" w:rsidRPr="00000000" w14:paraId="00000029">
      <w:pPr>
        <w:rPr/>
      </w:pPr>
      <w:r w:rsidDel="00000000" w:rsidR="00000000" w:rsidRPr="00000000">
        <w:rPr>
          <w:rtl w:val="0"/>
        </w:rPr>
        <w:t xml:space="preserve">Briant, P., Frye, R, N., Harrison, T., Loloi, P., Joisten-Pruschke, A., Tuplin, C., Waters, M., Basirov, O., et al (2010) </w:t>
      </w:r>
      <w:r w:rsidDel="00000000" w:rsidR="00000000" w:rsidRPr="00000000">
        <w:rPr>
          <w:i w:val="1"/>
          <w:rtl w:val="0"/>
        </w:rPr>
        <w:t xml:space="preserve">The World of Achaemenid Persia</w:t>
      </w:r>
      <w:r w:rsidDel="00000000" w:rsidR="00000000" w:rsidRPr="00000000">
        <w:rPr>
          <w:rtl w:val="0"/>
        </w:rPr>
        <w:t xml:space="preserve"> London: I.B.Taurus</w:t>
      </w:r>
    </w:p>
    <w:p w:rsidR="00000000" w:rsidDel="00000000" w:rsidP="00000000" w:rsidRDefault="00000000" w:rsidRPr="00000000" w14:paraId="0000002A">
      <w:pPr>
        <w:jc w:val="left"/>
        <w:rPr>
          <w:b w:val="1"/>
        </w:rPr>
      </w:pPr>
      <w:r w:rsidDel="00000000" w:rsidR="00000000" w:rsidRPr="00000000">
        <w:rPr>
          <w:rtl w:val="0"/>
        </w:rPr>
      </w:r>
    </w:p>
    <w:p w:rsidR="00000000" w:rsidDel="00000000" w:rsidP="00000000" w:rsidRDefault="00000000" w:rsidRPr="00000000" w14:paraId="0000002B">
      <w:pPr>
        <w:jc w:val="left"/>
        <w:rPr/>
      </w:pPr>
      <w:r w:rsidDel="00000000" w:rsidR="00000000" w:rsidRPr="00000000">
        <w:rPr>
          <w:rtl w:val="0"/>
        </w:rPr>
        <w:t xml:space="preserve">Costashe, Irena, D. (2012) </w:t>
      </w:r>
      <w:r w:rsidDel="00000000" w:rsidR="00000000" w:rsidRPr="00000000">
        <w:rPr>
          <w:i w:val="1"/>
          <w:rtl w:val="0"/>
        </w:rPr>
        <w:t xml:space="preserve">The Art of Understanding Art</w:t>
      </w:r>
      <w:r w:rsidDel="00000000" w:rsidR="00000000" w:rsidRPr="00000000">
        <w:rPr>
          <w:rtl w:val="0"/>
        </w:rPr>
        <w:t xml:space="preserve">. Blackwell Publishing </w:t>
      </w:r>
    </w:p>
    <w:p w:rsidR="00000000" w:rsidDel="00000000" w:rsidP="00000000" w:rsidRDefault="00000000" w:rsidRPr="00000000" w14:paraId="0000002C">
      <w:pPr>
        <w:jc w:val="left"/>
        <w:rPr/>
      </w:pPr>
      <w:r w:rsidDel="00000000" w:rsidR="00000000" w:rsidRPr="00000000">
        <w:rPr>
          <w:rtl w:val="0"/>
        </w:rPr>
      </w:r>
    </w:p>
    <w:p w:rsidR="00000000" w:rsidDel="00000000" w:rsidP="00000000" w:rsidRDefault="00000000" w:rsidRPr="00000000" w14:paraId="0000002D">
      <w:pPr>
        <w:rPr/>
      </w:pPr>
      <w:r w:rsidDel="00000000" w:rsidR="00000000" w:rsidRPr="00000000">
        <w:rPr>
          <w:rtl w:val="0"/>
        </w:rPr>
        <w:t xml:space="preserve">Gell, Alfred. (1998) </w:t>
      </w:r>
      <w:r w:rsidDel="00000000" w:rsidR="00000000" w:rsidRPr="00000000">
        <w:rPr>
          <w:i w:val="1"/>
          <w:rtl w:val="0"/>
        </w:rPr>
        <w:t xml:space="preserve">Art and Agency : An Anthropological Theory.</w:t>
      </w:r>
      <w:r w:rsidDel="00000000" w:rsidR="00000000" w:rsidRPr="00000000">
        <w:rPr>
          <w:rtl w:val="0"/>
        </w:rPr>
        <w:t xml:space="preserve"> Oxford: Oxford University Press, Incorporated.</w:t>
      </w:r>
      <w:r w:rsidDel="00000000" w:rsidR="00000000" w:rsidRPr="00000000">
        <w:rPr>
          <w:rtl w:val="0"/>
        </w:rPr>
      </w:r>
    </w:p>
    <w:p w:rsidR="00000000" w:rsidDel="00000000" w:rsidP="00000000" w:rsidRDefault="00000000" w:rsidRPr="00000000" w14:paraId="0000002E">
      <w:pPr>
        <w:rPr/>
      </w:pPr>
      <w:r w:rsidDel="00000000" w:rsidR="00000000" w:rsidRPr="00000000">
        <w:rPr>
          <w:rtl w:val="0"/>
        </w:rPr>
      </w:r>
    </w:p>
    <w:p w:rsidR="00000000" w:rsidDel="00000000" w:rsidP="00000000" w:rsidRDefault="00000000" w:rsidRPr="00000000" w14:paraId="0000002F">
      <w:pPr>
        <w:jc w:val="left"/>
        <w:rPr>
          <w:b w:val="1"/>
        </w:rPr>
      </w:pPr>
      <w:r w:rsidDel="00000000" w:rsidR="00000000" w:rsidRPr="00000000">
        <w:rPr>
          <w:b w:val="1"/>
          <w:rtl w:val="0"/>
        </w:rPr>
        <w:t xml:space="preserve">Picture References</w:t>
      </w:r>
    </w:p>
    <w:p w:rsidR="00000000" w:rsidDel="00000000" w:rsidP="00000000" w:rsidRDefault="00000000" w:rsidRPr="00000000" w14:paraId="00000030">
      <w:pPr>
        <w:jc w:val="left"/>
        <w:rPr>
          <w:b w:val="1"/>
        </w:rPr>
      </w:pPr>
      <w:r w:rsidDel="00000000" w:rsidR="00000000" w:rsidRPr="00000000">
        <w:rPr>
          <w:rtl w:val="0"/>
        </w:rPr>
      </w:r>
    </w:p>
    <w:p w:rsidR="00000000" w:rsidDel="00000000" w:rsidP="00000000" w:rsidRDefault="00000000" w:rsidRPr="00000000" w14:paraId="00000031">
      <w:pPr>
        <w:jc w:val="left"/>
        <w:rPr/>
      </w:pPr>
      <w:r w:rsidDel="00000000" w:rsidR="00000000" w:rsidRPr="00000000">
        <w:rPr>
          <w:b w:val="1"/>
          <w:rtl w:val="0"/>
        </w:rPr>
        <w:t xml:space="preserve">Figure 1 </w:t>
      </w:r>
      <w:r w:rsidDel="00000000" w:rsidR="00000000" w:rsidRPr="00000000">
        <w:rPr>
          <w:rtl w:val="0"/>
        </w:rPr>
        <w:t xml:space="preserve"> Boucharlat Basello, G. P.,  Boucharlat, R. (2014) </w:t>
      </w:r>
      <w:r w:rsidDel="00000000" w:rsidR="00000000" w:rsidRPr="00000000">
        <w:rPr>
          <w:i w:val="1"/>
          <w:rtl w:val="0"/>
        </w:rPr>
        <w:t xml:space="preserve">Central Part of Darius’s Statue </w:t>
      </w:r>
      <w:r w:rsidDel="00000000" w:rsidR="00000000" w:rsidRPr="00000000">
        <w:rPr>
          <w:rtl w:val="0"/>
        </w:rPr>
        <w:t xml:space="preserve">[Photograph] Achemenet &lt;</w:t>
      </w:r>
      <w:hyperlink r:id="rId10">
        <w:r w:rsidDel="00000000" w:rsidR="00000000" w:rsidRPr="00000000">
          <w:rPr>
            <w:color w:val="1155cc"/>
            <w:u w:val="single"/>
            <w:rtl w:val="0"/>
          </w:rPr>
          <w:t xml:space="preserve">http://www.achemenet.com/en/visit/?/susa/the-statue-of-darius/6</w:t>
        </w:r>
      </w:hyperlink>
      <w:r w:rsidDel="00000000" w:rsidR="00000000" w:rsidRPr="00000000">
        <w:rPr>
          <w:rtl w:val="0"/>
        </w:rPr>
        <w:t xml:space="preserve">&gt; [Accessed 20th March 2024] </w:t>
      </w:r>
    </w:p>
    <w:p w:rsidR="00000000" w:rsidDel="00000000" w:rsidP="00000000" w:rsidRDefault="00000000" w:rsidRPr="00000000" w14:paraId="00000032">
      <w:pPr>
        <w:jc w:val="left"/>
        <w:rPr>
          <w:b w:val="1"/>
        </w:rPr>
      </w:pPr>
      <w:r w:rsidDel="00000000" w:rsidR="00000000" w:rsidRPr="00000000">
        <w:rPr>
          <w:rtl w:val="0"/>
        </w:rPr>
      </w:r>
    </w:p>
    <w:p w:rsidR="00000000" w:rsidDel="00000000" w:rsidP="00000000" w:rsidRDefault="00000000" w:rsidRPr="00000000" w14:paraId="00000033">
      <w:pPr>
        <w:rPr>
          <w:b w:val="1"/>
        </w:rPr>
      </w:pPr>
      <w:r w:rsidDel="00000000" w:rsidR="00000000" w:rsidRPr="00000000">
        <w:rPr>
          <w:b w:val="1"/>
          <w:rtl w:val="0"/>
        </w:rPr>
        <w:t xml:space="preserve">Figure 2 </w:t>
      </w:r>
      <w:r w:rsidDel="00000000" w:rsidR="00000000" w:rsidRPr="00000000">
        <w:rPr>
          <w:rtl w:val="0"/>
        </w:rPr>
        <w:t xml:space="preserve">Kaviani, D., Mauro, D. (2018) </w:t>
      </w:r>
      <w:r w:rsidDel="00000000" w:rsidR="00000000" w:rsidRPr="00000000">
        <w:rPr>
          <w:i w:val="1"/>
          <w:rtl w:val="0"/>
        </w:rPr>
        <w:t xml:space="preserve">Darius I Statue List of Different Countries </w:t>
      </w:r>
      <w:r w:rsidDel="00000000" w:rsidR="00000000" w:rsidRPr="00000000">
        <w:rPr>
          <w:rtl w:val="0"/>
        </w:rPr>
        <w:t xml:space="preserve">[Photograph &amp; Drawing] Wikimedia Commons, Wikipedia &lt;</w:t>
      </w:r>
      <w:hyperlink r:id="rId11">
        <w:r w:rsidDel="00000000" w:rsidR="00000000" w:rsidRPr="00000000">
          <w:rPr>
            <w:color w:val="1155cc"/>
            <w:u w:val="single"/>
            <w:rtl w:val="0"/>
          </w:rPr>
          <w:t xml:space="preserve">https://commons.wikimedia.org/wiki/File:Darius_I_statue_list_of_subject_countries.jpg</w:t>
        </w:r>
      </w:hyperlink>
      <w:r w:rsidDel="00000000" w:rsidR="00000000" w:rsidRPr="00000000">
        <w:rPr>
          <w:rtl w:val="0"/>
        </w:rPr>
        <w:t xml:space="preserve">&gt; [Accessed 21st March 2024] </w:t>
      </w:r>
      <w:r w:rsidDel="00000000" w:rsidR="00000000" w:rsidRPr="00000000">
        <w:rPr>
          <w:rtl w:val="0"/>
        </w:rPr>
      </w:r>
    </w:p>
    <w:sectPr>
      <w:pgSz w:h="16834" w:w="11909"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_GB"/>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pageBreakBefore w:val="0"/>
      <w:spacing w:after="120" w:before="400" w:lineRule="auto"/>
    </w:pPr>
    <w:rPr>
      <w:sz w:val="40"/>
      <w:szCs w:val="40"/>
    </w:rPr>
  </w:style>
  <w:style w:type="paragraph" w:styleId="Heading2">
    <w:name w:val="heading 2"/>
    <w:basedOn w:val="Normal"/>
    <w:next w:val="Normal"/>
    <w:pPr>
      <w:keepNext w:val="1"/>
      <w:keepLines w:val="1"/>
      <w:pageBreakBefore w:val="0"/>
      <w:spacing w:after="120" w:before="360" w:lineRule="auto"/>
    </w:pPr>
    <w:rPr>
      <w:b w:val="0"/>
      <w:sz w:val="32"/>
      <w:szCs w:val="32"/>
    </w:rPr>
  </w:style>
  <w:style w:type="paragraph" w:styleId="Heading3">
    <w:name w:val="heading 3"/>
    <w:basedOn w:val="Normal"/>
    <w:next w:val="Normal"/>
    <w:pPr>
      <w:keepNext w:val="1"/>
      <w:keepLines w:val="1"/>
      <w:pageBreakBefore w:val="0"/>
      <w:spacing w:after="80" w:before="320" w:lineRule="auto"/>
    </w:pPr>
    <w:rPr>
      <w:b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11" Type="http://schemas.openxmlformats.org/officeDocument/2006/relationships/hyperlink" Target="https://commons.wikimedia.org/wiki/File:Darius_I_statue_list_of_subject_countries.jpg" TargetMode="External"/><Relationship Id="rId10" Type="http://schemas.openxmlformats.org/officeDocument/2006/relationships/hyperlink" Target="http://www.achemenet.com/en/visit/?/susa/the-statue-of-darius/6" TargetMode="External"/><Relationship Id="rId9" Type="http://schemas.openxmlformats.org/officeDocument/2006/relationships/hyperlink" Target="http://www.achemenet.com/en/item/?/achaemenid-museum/object-categories/statues/3802008-3801979/0,0,950,671,5.93#view-1" TargetMode="External"/><Relationship Id="rId5" Type="http://schemas.openxmlformats.org/officeDocument/2006/relationships/styles" Target="styles.xml"/><Relationship Id="rId6" Type="http://schemas.openxmlformats.org/officeDocument/2006/relationships/image" Target="media/image1.png"/><Relationship Id="rId7" Type="http://schemas.openxmlformats.org/officeDocument/2006/relationships/image" Target="media/image2.png"/><Relationship Id="rId8" Type="http://schemas.openxmlformats.org/officeDocument/2006/relationships/hyperlink" Target="https://www.livius.org/articles/place/behistun/behistun-3/"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