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0E68D3" w14:textId="36EF2A11" w:rsidR="00B021FE" w:rsidRDefault="00BB28F9" w:rsidP="00BB28F9">
      <w:pPr>
        <w:jc w:val="center"/>
        <w:rPr>
          <w:rFonts w:ascii="Arial" w:hAnsi="Arial" w:cs="Arial"/>
          <w:b/>
          <w:bCs/>
          <w:sz w:val="36"/>
          <w:szCs w:val="36"/>
        </w:rPr>
      </w:pPr>
      <w:r>
        <w:rPr>
          <w:noProof/>
        </w:rPr>
        <w:drawing>
          <wp:inline distT="0" distB="0" distL="0" distR="0" wp14:anchorId="08F7CFDB" wp14:editId="40F66B2C">
            <wp:extent cx="2400300" cy="1914525"/>
            <wp:effectExtent l="0" t="0" r="0" b="9525"/>
            <wp:docPr id="4" name="Picture 3" descr="University of Wales, Trinity Saint David : Rankings, Fees &amp; Courses Details  | Top Univers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niversity of Wales, Trinity Saint David : Rankings, Fees &amp; Courses Details  | Top Universiti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0300" cy="1914525"/>
                    </a:xfrm>
                    <a:prstGeom prst="rect">
                      <a:avLst/>
                    </a:prstGeom>
                    <a:noFill/>
                    <a:ln>
                      <a:noFill/>
                    </a:ln>
                  </pic:spPr>
                </pic:pic>
              </a:graphicData>
            </a:graphic>
          </wp:inline>
        </w:drawing>
      </w:r>
    </w:p>
    <w:p w14:paraId="5F9E6083" w14:textId="77777777" w:rsidR="00B021FE" w:rsidRDefault="00B021FE">
      <w:pPr>
        <w:jc w:val="center"/>
        <w:rPr>
          <w:rFonts w:ascii="Arial" w:hAnsi="Arial" w:cs="Arial"/>
          <w:b/>
          <w:bCs/>
          <w:sz w:val="36"/>
          <w:szCs w:val="36"/>
        </w:rPr>
      </w:pPr>
    </w:p>
    <w:p w14:paraId="67EF81EF" w14:textId="77777777" w:rsidR="00B021FE" w:rsidRDefault="00B021FE">
      <w:pPr>
        <w:jc w:val="center"/>
        <w:rPr>
          <w:rFonts w:ascii="Arial" w:hAnsi="Arial" w:cs="Arial"/>
          <w:b/>
          <w:bCs/>
          <w:sz w:val="36"/>
          <w:szCs w:val="36"/>
        </w:rPr>
      </w:pPr>
    </w:p>
    <w:p w14:paraId="4AFB8679" w14:textId="59E9585B" w:rsidR="00290677" w:rsidRDefault="00CF2021">
      <w:pPr>
        <w:jc w:val="center"/>
        <w:rPr>
          <w:rFonts w:ascii="Arial" w:hAnsi="Arial" w:cs="Arial"/>
          <w:sz w:val="36"/>
          <w:szCs w:val="36"/>
        </w:rPr>
      </w:pPr>
      <w:r w:rsidRPr="000F08C7">
        <w:rPr>
          <w:rFonts w:ascii="Arial" w:hAnsi="Arial" w:cs="Arial"/>
          <w:sz w:val="36"/>
          <w:szCs w:val="36"/>
        </w:rPr>
        <w:t>BMIH5003: Foreign Languages &amp; Cultural Awareness</w:t>
      </w:r>
    </w:p>
    <w:p w14:paraId="4BB39867" w14:textId="77777777" w:rsidR="000F08C7" w:rsidRDefault="000F08C7">
      <w:pPr>
        <w:jc w:val="center"/>
        <w:rPr>
          <w:rFonts w:ascii="Arial" w:hAnsi="Arial" w:cs="Arial"/>
          <w:sz w:val="36"/>
          <w:szCs w:val="36"/>
        </w:rPr>
      </w:pPr>
    </w:p>
    <w:p w14:paraId="17258A60" w14:textId="77777777" w:rsidR="000F08C7" w:rsidRPr="000F08C7" w:rsidRDefault="000F08C7">
      <w:pPr>
        <w:jc w:val="center"/>
        <w:rPr>
          <w:rFonts w:ascii="Arial" w:hAnsi="Arial" w:cs="Arial"/>
          <w:sz w:val="36"/>
          <w:szCs w:val="36"/>
        </w:rPr>
      </w:pPr>
    </w:p>
    <w:p w14:paraId="4AFB867A" w14:textId="77777777" w:rsidR="00290677" w:rsidRPr="000F08C7" w:rsidRDefault="00CF2021">
      <w:pPr>
        <w:jc w:val="center"/>
        <w:rPr>
          <w:rFonts w:ascii="Arial" w:hAnsi="Arial" w:cs="Arial"/>
          <w:b/>
          <w:bCs/>
          <w:i/>
          <w:iCs/>
          <w:sz w:val="40"/>
          <w:szCs w:val="40"/>
        </w:rPr>
      </w:pPr>
      <w:r w:rsidRPr="000F08C7">
        <w:rPr>
          <w:rFonts w:ascii="Arial" w:hAnsi="Arial" w:cs="Arial"/>
          <w:b/>
          <w:bCs/>
          <w:i/>
          <w:iCs/>
          <w:sz w:val="40"/>
          <w:szCs w:val="40"/>
        </w:rPr>
        <w:t>Intercultural Competence Report</w:t>
      </w:r>
    </w:p>
    <w:p w14:paraId="4AFB867B" w14:textId="77777777" w:rsidR="00290677" w:rsidRPr="000F08C7" w:rsidRDefault="00290677">
      <w:pPr>
        <w:jc w:val="center"/>
        <w:rPr>
          <w:rFonts w:ascii="Arial" w:hAnsi="Arial" w:cs="Arial"/>
          <w:sz w:val="40"/>
          <w:szCs w:val="40"/>
        </w:rPr>
      </w:pPr>
    </w:p>
    <w:p w14:paraId="0D7F2E31" w14:textId="77777777" w:rsidR="00B021FE" w:rsidRDefault="00B021FE">
      <w:pPr>
        <w:jc w:val="center"/>
        <w:rPr>
          <w:rFonts w:ascii="Arial" w:hAnsi="Arial" w:cs="Arial"/>
          <w:sz w:val="40"/>
          <w:szCs w:val="40"/>
        </w:rPr>
      </w:pPr>
    </w:p>
    <w:p w14:paraId="3CC0FC39" w14:textId="77777777" w:rsidR="00B021FE" w:rsidRDefault="00B021FE">
      <w:pPr>
        <w:jc w:val="center"/>
        <w:rPr>
          <w:rFonts w:ascii="Arial" w:hAnsi="Arial" w:cs="Arial"/>
          <w:sz w:val="40"/>
          <w:szCs w:val="40"/>
        </w:rPr>
      </w:pPr>
    </w:p>
    <w:p w14:paraId="4D825CDD" w14:textId="77777777" w:rsidR="00B021FE" w:rsidRDefault="00B021FE">
      <w:pPr>
        <w:jc w:val="center"/>
        <w:rPr>
          <w:rFonts w:ascii="Arial" w:hAnsi="Arial" w:cs="Arial"/>
          <w:sz w:val="40"/>
          <w:szCs w:val="40"/>
        </w:rPr>
      </w:pPr>
    </w:p>
    <w:p w14:paraId="4AFB867C" w14:textId="4E3549FE" w:rsidR="00290677" w:rsidRPr="00B021FE" w:rsidRDefault="00CF2021">
      <w:pPr>
        <w:jc w:val="center"/>
      </w:pPr>
      <w:r w:rsidRPr="000F08C7">
        <w:rPr>
          <w:rFonts w:ascii="Arial" w:hAnsi="Arial" w:cs="Arial"/>
          <w:b/>
          <w:bCs/>
          <w:sz w:val="32"/>
          <w:szCs w:val="32"/>
        </w:rPr>
        <w:t>Student:</w:t>
      </w:r>
      <w:r>
        <w:rPr>
          <w:rFonts w:ascii="Arial" w:hAnsi="Arial" w:cs="Arial"/>
          <w:sz w:val="32"/>
          <w:szCs w:val="32"/>
        </w:rPr>
        <w:t xml:space="preserve"> </w:t>
      </w:r>
      <w:r w:rsidRPr="00B021FE">
        <w:rPr>
          <w:rFonts w:ascii="Arial" w:hAnsi="Arial" w:cs="Arial"/>
          <w:sz w:val="32"/>
          <w:szCs w:val="32"/>
        </w:rPr>
        <w:t>Iulia Tanase</w:t>
      </w:r>
    </w:p>
    <w:p w14:paraId="4AFB867E" w14:textId="08E173C1" w:rsidR="00290677" w:rsidRDefault="00B021FE" w:rsidP="00B021FE">
      <w:pPr>
        <w:jc w:val="center"/>
        <w:rPr>
          <w:rFonts w:ascii="Arial" w:hAnsi="Arial" w:cs="Arial"/>
          <w:sz w:val="32"/>
          <w:szCs w:val="32"/>
        </w:rPr>
      </w:pPr>
      <w:r w:rsidRPr="000F08C7">
        <w:rPr>
          <w:rFonts w:ascii="Arial" w:hAnsi="Arial" w:cs="Arial"/>
          <w:b/>
          <w:bCs/>
          <w:sz w:val="32"/>
          <w:szCs w:val="32"/>
        </w:rPr>
        <w:t xml:space="preserve">   ID</w:t>
      </w:r>
      <w:r w:rsidR="00CF2021" w:rsidRPr="000F08C7">
        <w:rPr>
          <w:rFonts w:ascii="Arial" w:hAnsi="Arial" w:cs="Arial"/>
          <w:b/>
          <w:bCs/>
          <w:sz w:val="32"/>
          <w:szCs w:val="32"/>
        </w:rPr>
        <w:t>:</w:t>
      </w:r>
      <w:r>
        <w:rPr>
          <w:rFonts w:ascii="Arial" w:hAnsi="Arial" w:cs="Arial"/>
          <w:sz w:val="32"/>
          <w:szCs w:val="32"/>
        </w:rPr>
        <w:t xml:space="preserve"> 2230512</w:t>
      </w:r>
    </w:p>
    <w:p w14:paraId="4AFB867F" w14:textId="5BDD5AE8" w:rsidR="00290677" w:rsidRDefault="00CF2021">
      <w:pPr>
        <w:jc w:val="center"/>
        <w:rPr>
          <w:rFonts w:ascii="Arial" w:hAnsi="Arial" w:cs="Arial"/>
          <w:sz w:val="32"/>
          <w:szCs w:val="32"/>
        </w:rPr>
      </w:pPr>
      <w:r w:rsidRPr="000F08C7">
        <w:rPr>
          <w:rFonts w:ascii="Arial" w:hAnsi="Arial" w:cs="Arial"/>
          <w:b/>
          <w:bCs/>
          <w:sz w:val="32"/>
          <w:szCs w:val="32"/>
        </w:rPr>
        <w:t>Tutor:</w:t>
      </w:r>
      <w:r w:rsidR="00B021FE">
        <w:rPr>
          <w:rFonts w:ascii="Arial" w:hAnsi="Arial" w:cs="Arial"/>
          <w:sz w:val="32"/>
          <w:szCs w:val="32"/>
        </w:rPr>
        <w:t xml:space="preserve"> Antoinette Milne</w:t>
      </w:r>
    </w:p>
    <w:p w14:paraId="110855ED" w14:textId="58DCC18D" w:rsidR="00B021FE" w:rsidRDefault="00B021FE">
      <w:pPr>
        <w:jc w:val="center"/>
        <w:rPr>
          <w:rFonts w:ascii="Arial" w:hAnsi="Arial" w:cs="Arial"/>
          <w:sz w:val="32"/>
          <w:szCs w:val="32"/>
        </w:rPr>
      </w:pPr>
      <w:r w:rsidRPr="000F08C7">
        <w:rPr>
          <w:rFonts w:ascii="Arial" w:hAnsi="Arial" w:cs="Arial"/>
          <w:b/>
          <w:bCs/>
          <w:sz w:val="32"/>
          <w:szCs w:val="32"/>
        </w:rPr>
        <w:t xml:space="preserve">Word count: </w:t>
      </w:r>
      <w:r>
        <w:rPr>
          <w:rFonts w:ascii="Arial" w:hAnsi="Arial" w:cs="Arial"/>
          <w:sz w:val="32"/>
          <w:szCs w:val="32"/>
        </w:rPr>
        <w:t>970</w:t>
      </w:r>
    </w:p>
    <w:p w14:paraId="42C1753B" w14:textId="77777777" w:rsidR="00B021FE" w:rsidRDefault="00B021FE">
      <w:pPr>
        <w:jc w:val="center"/>
        <w:rPr>
          <w:rFonts w:ascii="Arial" w:hAnsi="Arial" w:cs="Arial"/>
          <w:sz w:val="32"/>
          <w:szCs w:val="32"/>
        </w:rPr>
      </w:pPr>
    </w:p>
    <w:p w14:paraId="6C4F361B" w14:textId="77777777" w:rsidR="00B021FE" w:rsidRDefault="00B021FE" w:rsidP="000F08C7">
      <w:pPr>
        <w:rPr>
          <w:rFonts w:ascii="Arial" w:hAnsi="Arial" w:cs="Arial"/>
          <w:sz w:val="32"/>
          <w:szCs w:val="32"/>
        </w:rPr>
      </w:pPr>
    </w:p>
    <w:p w14:paraId="50478CD9" w14:textId="77777777" w:rsidR="00B021FE" w:rsidRDefault="00B021FE" w:rsidP="00BB28F9">
      <w:pPr>
        <w:rPr>
          <w:rFonts w:ascii="Arial" w:hAnsi="Arial" w:cs="Arial"/>
          <w:sz w:val="32"/>
          <w:szCs w:val="32"/>
        </w:rPr>
      </w:pPr>
    </w:p>
    <w:p w14:paraId="4187EA7B" w14:textId="102D97CB" w:rsidR="00B021FE" w:rsidRPr="00B021FE" w:rsidRDefault="00CF2021" w:rsidP="00B021FE">
      <w:pPr>
        <w:jc w:val="center"/>
      </w:pPr>
      <w:r w:rsidRPr="00B021FE">
        <w:rPr>
          <w:rFonts w:ascii="Arial" w:hAnsi="Arial" w:cs="Arial"/>
          <w:sz w:val="32"/>
          <w:szCs w:val="32"/>
        </w:rPr>
        <w:t>07/06/2024</w:t>
      </w:r>
    </w:p>
    <w:p w14:paraId="4AFB868E" w14:textId="77777777" w:rsidR="00290677" w:rsidRDefault="00290677">
      <w:pPr>
        <w:rPr>
          <w:rFonts w:ascii="Arial" w:hAnsi="Arial" w:cs="Arial"/>
          <w:sz w:val="40"/>
          <w:szCs w:val="40"/>
        </w:rPr>
      </w:pPr>
    </w:p>
    <w:p w14:paraId="4AFB868F" w14:textId="77777777" w:rsidR="00290677" w:rsidRDefault="00CF2021">
      <w:pPr>
        <w:rPr>
          <w:rFonts w:ascii="Arial" w:hAnsi="Arial" w:cs="Arial"/>
          <w:b/>
          <w:bCs/>
          <w:sz w:val="32"/>
          <w:szCs w:val="32"/>
        </w:rPr>
      </w:pPr>
      <w:r>
        <w:rPr>
          <w:rFonts w:ascii="Arial" w:hAnsi="Arial" w:cs="Arial"/>
          <w:b/>
          <w:bCs/>
          <w:sz w:val="32"/>
          <w:szCs w:val="32"/>
        </w:rPr>
        <w:t>Executive Summary</w:t>
      </w:r>
    </w:p>
    <w:p w14:paraId="4AFB8690" w14:textId="77777777" w:rsidR="00290677" w:rsidRDefault="00290677">
      <w:pPr>
        <w:rPr>
          <w:rFonts w:ascii="Arial" w:hAnsi="Arial" w:cs="Arial"/>
          <w:b/>
          <w:bCs/>
          <w:sz w:val="32"/>
          <w:szCs w:val="32"/>
        </w:rPr>
      </w:pPr>
    </w:p>
    <w:p w14:paraId="3523BAED"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This report aims to provide a detailed analysis and comparison between the hospitality industry and service in London, England, and the one in Confucian Asia, Japan, linking these differences to culture, customs, and other topics. Using GLOBE Project’s culture and leadership study, it was revealed that Japan was paramount in hospitality and order, focusing on organisation and traditional interactions over modern ones. This provided a balanced comparison between the two countries, showing evident differences in cultures and customs, and how hospitality is much different in either country. </w:t>
      </w:r>
    </w:p>
    <w:p w14:paraId="4AFB8691" w14:textId="0E2ED165" w:rsidR="00290677" w:rsidRDefault="00CF2021" w:rsidP="00BB28F9">
      <w:pPr>
        <w:ind w:firstLine="720"/>
        <w:jc w:val="both"/>
        <w:rPr>
          <w:rFonts w:ascii="Arial" w:hAnsi="Arial" w:cs="Arial"/>
          <w:sz w:val="24"/>
          <w:szCs w:val="24"/>
        </w:rPr>
      </w:pPr>
      <w:r>
        <w:rPr>
          <w:rFonts w:ascii="Arial" w:hAnsi="Arial" w:cs="Arial"/>
          <w:sz w:val="24"/>
          <w:szCs w:val="24"/>
        </w:rPr>
        <w:t>Moreover, using the results from the analysis and comparison, recommendations were offered, with educated data and knowledge from the report, to assist in future minimisation of risks and hazards coming from intercultural differences in the hospitality industry.</w:t>
      </w:r>
    </w:p>
    <w:p w14:paraId="4AFB8692" w14:textId="77777777" w:rsidR="00290677" w:rsidRDefault="00290677">
      <w:pPr>
        <w:rPr>
          <w:rFonts w:ascii="Arial" w:hAnsi="Arial" w:cs="Arial"/>
          <w:sz w:val="32"/>
          <w:szCs w:val="32"/>
        </w:rPr>
      </w:pPr>
    </w:p>
    <w:p w14:paraId="4AFB8693" w14:textId="77777777" w:rsidR="00290677" w:rsidRDefault="00290677">
      <w:pPr>
        <w:rPr>
          <w:rFonts w:ascii="Arial" w:hAnsi="Arial" w:cs="Arial"/>
          <w:sz w:val="32"/>
          <w:szCs w:val="32"/>
        </w:rPr>
      </w:pPr>
    </w:p>
    <w:p w14:paraId="4AFB8694" w14:textId="77777777" w:rsidR="00290677" w:rsidRDefault="00290677">
      <w:pPr>
        <w:rPr>
          <w:rFonts w:ascii="Arial" w:hAnsi="Arial" w:cs="Arial"/>
          <w:sz w:val="32"/>
          <w:szCs w:val="32"/>
        </w:rPr>
      </w:pPr>
    </w:p>
    <w:p w14:paraId="4AFB8695" w14:textId="77777777" w:rsidR="00290677" w:rsidRDefault="00290677">
      <w:pPr>
        <w:rPr>
          <w:rFonts w:ascii="Arial" w:hAnsi="Arial" w:cs="Arial"/>
          <w:sz w:val="32"/>
          <w:szCs w:val="32"/>
        </w:rPr>
      </w:pPr>
    </w:p>
    <w:p w14:paraId="4AFB8696" w14:textId="77777777" w:rsidR="00290677" w:rsidRDefault="00290677">
      <w:pPr>
        <w:rPr>
          <w:rFonts w:ascii="Arial" w:hAnsi="Arial" w:cs="Arial"/>
          <w:sz w:val="32"/>
          <w:szCs w:val="32"/>
        </w:rPr>
      </w:pPr>
    </w:p>
    <w:p w14:paraId="4AFB8697" w14:textId="77777777" w:rsidR="00290677" w:rsidRDefault="00290677">
      <w:pPr>
        <w:rPr>
          <w:rFonts w:ascii="Arial" w:hAnsi="Arial" w:cs="Arial"/>
          <w:sz w:val="32"/>
          <w:szCs w:val="32"/>
        </w:rPr>
      </w:pPr>
    </w:p>
    <w:p w14:paraId="4AFB8698" w14:textId="77777777" w:rsidR="00290677" w:rsidRDefault="00290677">
      <w:pPr>
        <w:rPr>
          <w:rFonts w:ascii="Arial" w:hAnsi="Arial" w:cs="Arial"/>
          <w:sz w:val="32"/>
          <w:szCs w:val="32"/>
        </w:rPr>
      </w:pPr>
    </w:p>
    <w:p w14:paraId="4AFB8699" w14:textId="77777777" w:rsidR="00290677" w:rsidRDefault="00290677">
      <w:pPr>
        <w:rPr>
          <w:rFonts w:ascii="Arial" w:hAnsi="Arial" w:cs="Arial"/>
          <w:sz w:val="32"/>
          <w:szCs w:val="32"/>
        </w:rPr>
      </w:pPr>
    </w:p>
    <w:p w14:paraId="4AFB869A" w14:textId="77777777" w:rsidR="00290677" w:rsidRDefault="00290677">
      <w:pPr>
        <w:rPr>
          <w:rFonts w:ascii="Arial" w:hAnsi="Arial" w:cs="Arial"/>
          <w:sz w:val="32"/>
          <w:szCs w:val="32"/>
        </w:rPr>
      </w:pPr>
    </w:p>
    <w:p w14:paraId="4AFB869B" w14:textId="77777777" w:rsidR="00290677" w:rsidRDefault="00290677">
      <w:pPr>
        <w:rPr>
          <w:rFonts w:ascii="Arial" w:hAnsi="Arial" w:cs="Arial"/>
          <w:sz w:val="32"/>
          <w:szCs w:val="32"/>
        </w:rPr>
      </w:pPr>
    </w:p>
    <w:p w14:paraId="4AFB869C" w14:textId="77777777" w:rsidR="00290677" w:rsidRDefault="00290677">
      <w:pPr>
        <w:rPr>
          <w:rFonts w:ascii="Arial" w:hAnsi="Arial" w:cs="Arial"/>
          <w:sz w:val="32"/>
          <w:szCs w:val="32"/>
        </w:rPr>
      </w:pPr>
    </w:p>
    <w:p w14:paraId="4AFB869D" w14:textId="77777777" w:rsidR="00290677" w:rsidRDefault="00290677">
      <w:pPr>
        <w:rPr>
          <w:rFonts w:ascii="Arial" w:hAnsi="Arial" w:cs="Arial"/>
          <w:sz w:val="32"/>
          <w:szCs w:val="32"/>
        </w:rPr>
      </w:pPr>
    </w:p>
    <w:p w14:paraId="4AFB869E" w14:textId="77777777" w:rsidR="00290677" w:rsidRDefault="00290677">
      <w:pPr>
        <w:rPr>
          <w:rFonts w:ascii="Arial" w:hAnsi="Arial" w:cs="Arial"/>
          <w:sz w:val="32"/>
          <w:szCs w:val="32"/>
        </w:rPr>
      </w:pPr>
    </w:p>
    <w:p w14:paraId="4AFB869F" w14:textId="77777777" w:rsidR="00290677" w:rsidRDefault="00290677">
      <w:pPr>
        <w:rPr>
          <w:rFonts w:ascii="Arial" w:hAnsi="Arial" w:cs="Arial"/>
          <w:sz w:val="32"/>
          <w:szCs w:val="32"/>
        </w:rPr>
      </w:pPr>
    </w:p>
    <w:p w14:paraId="4AFB86A0" w14:textId="77777777" w:rsidR="00290677" w:rsidRDefault="00290677">
      <w:pPr>
        <w:rPr>
          <w:rFonts w:ascii="Arial" w:hAnsi="Arial" w:cs="Arial"/>
          <w:sz w:val="32"/>
          <w:szCs w:val="32"/>
        </w:rPr>
      </w:pPr>
    </w:p>
    <w:p w14:paraId="4AFB86A1" w14:textId="77777777" w:rsidR="00290677" w:rsidRDefault="00290677">
      <w:pPr>
        <w:rPr>
          <w:rFonts w:ascii="Arial" w:hAnsi="Arial" w:cs="Arial"/>
          <w:sz w:val="32"/>
          <w:szCs w:val="32"/>
        </w:rPr>
      </w:pPr>
    </w:p>
    <w:p w14:paraId="4AFB86A2" w14:textId="77777777" w:rsidR="00290677" w:rsidRDefault="00290677">
      <w:pPr>
        <w:rPr>
          <w:rFonts w:ascii="Arial" w:hAnsi="Arial" w:cs="Arial"/>
          <w:sz w:val="32"/>
          <w:szCs w:val="32"/>
        </w:rPr>
      </w:pPr>
    </w:p>
    <w:p w14:paraId="4AFB86A3" w14:textId="77777777" w:rsidR="00290677" w:rsidRDefault="00CF2021">
      <w:pPr>
        <w:rPr>
          <w:rFonts w:ascii="Arial" w:hAnsi="Arial" w:cs="Arial"/>
          <w:b/>
          <w:bCs/>
          <w:sz w:val="32"/>
          <w:szCs w:val="32"/>
        </w:rPr>
      </w:pPr>
      <w:r>
        <w:rPr>
          <w:rFonts w:ascii="Arial" w:hAnsi="Arial" w:cs="Arial"/>
          <w:b/>
          <w:bCs/>
          <w:sz w:val="32"/>
          <w:szCs w:val="32"/>
        </w:rPr>
        <w:t>Table of Contents</w:t>
      </w:r>
    </w:p>
    <w:p w14:paraId="4AFB86A4" w14:textId="77777777" w:rsidR="00290677" w:rsidRDefault="00290677">
      <w:pPr>
        <w:rPr>
          <w:rFonts w:ascii="Arial" w:hAnsi="Arial" w:cs="Arial"/>
          <w:sz w:val="32"/>
          <w:szCs w:val="32"/>
        </w:rPr>
      </w:pPr>
    </w:p>
    <w:p w14:paraId="4AFB86A5" w14:textId="77777777" w:rsidR="00290677" w:rsidRDefault="00290677">
      <w:pPr>
        <w:pStyle w:val="TOCHeading"/>
        <w:outlineLvl w:val="9"/>
      </w:pPr>
    </w:p>
    <w:p w14:paraId="4AFB86A6" w14:textId="77777777" w:rsidR="00290677" w:rsidRDefault="00CF2021">
      <w:pPr>
        <w:pStyle w:val="TOC1"/>
        <w:tabs>
          <w:tab w:val="right" w:leader="dot" w:pos="9016"/>
        </w:tabs>
        <w:rPr>
          <w:rFonts w:ascii="Arial" w:hAnsi="Arial" w:cs="Arial"/>
          <w:sz w:val="28"/>
          <w:szCs w:val="28"/>
        </w:rPr>
      </w:pPr>
      <w:r>
        <w:rPr>
          <w:rFonts w:ascii="Arial" w:hAnsi="Arial" w:cs="Arial"/>
          <w:sz w:val="28"/>
          <w:szCs w:val="28"/>
        </w:rPr>
        <w:t>Executive Summary………………………………………………….............2</w:t>
      </w:r>
    </w:p>
    <w:p w14:paraId="4AFB86A7" w14:textId="77777777" w:rsidR="00290677" w:rsidRDefault="00CF2021">
      <w:pPr>
        <w:pStyle w:val="TOC1"/>
        <w:tabs>
          <w:tab w:val="right" w:leader="dot" w:pos="9016"/>
        </w:tabs>
      </w:pPr>
      <w:r>
        <w:fldChar w:fldCharType="begin"/>
      </w:r>
      <w:r>
        <w:instrText xml:space="preserve"> TOC \o "1-3" \u \h </w:instrText>
      </w:r>
      <w:r>
        <w:fldChar w:fldCharType="separate"/>
      </w:r>
      <w:hyperlink w:anchor="_Toc168655219" w:history="1">
        <w:r>
          <w:rPr>
            <w:rStyle w:val="Hyperlink"/>
            <w:rFonts w:ascii="Arial" w:hAnsi="Arial" w:cs="Arial"/>
            <w:sz w:val="28"/>
            <w:szCs w:val="28"/>
          </w:rPr>
          <w:t>Introduction</w:t>
        </w:r>
        <w:r>
          <w:rPr>
            <w:rFonts w:ascii="Arial" w:hAnsi="Arial" w:cs="Arial"/>
            <w:sz w:val="28"/>
            <w:szCs w:val="28"/>
          </w:rPr>
          <w:tab/>
          <w:t>4</w:t>
        </w:r>
      </w:hyperlink>
    </w:p>
    <w:p w14:paraId="4AFB86A8" w14:textId="77777777" w:rsidR="00290677" w:rsidRDefault="000F08C7">
      <w:pPr>
        <w:pStyle w:val="TOC1"/>
        <w:tabs>
          <w:tab w:val="right" w:leader="dot" w:pos="9016"/>
        </w:tabs>
      </w:pPr>
      <w:hyperlink w:anchor="_Toc168655220" w:history="1">
        <w:r w:rsidR="00CF2021">
          <w:rPr>
            <w:rStyle w:val="Hyperlink"/>
            <w:rFonts w:ascii="Arial" w:hAnsi="Arial" w:cs="Arial"/>
            <w:sz w:val="28"/>
            <w:szCs w:val="28"/>
          </w:rPr>
          <w:t>Main Body</w:t>
        </w:r>
        <w:r w:rsidR="00CF2021">
          <w:rPr>
            <w:rFonts w:ascii="Arial" w:hAnsi="Arial" w:cs="Arial"/>
            <w:sz w:val="28"/>
            <w:szCs w:val="28"/>
          </w:rPr>
          <w:tab/>
          <w:t>4</w:t>
        </w:r>
      </w:hyperlink>
    </w:p>
    <w:p w14:paraId="4AFB86A9" w14:textId="77777777" w:rsidR="00290677" w:rsidRDefault="000F08C7">
      <w:pPr>
        <w:pStyle w:val="TOC2"/>
        <w:tabs>
          <w:tab w:val="right" w:leader="dot" w:pos="9016"/>
        </w:tabs>
      </w:pPr>
      <w:hyperlink w:anchor="_Toc168655221" w:history="1">
        <w:r w:rsidR="00CF2021">
          <w:rPr>
            <w:rStyle w:val="Hyperlink"/>
            <w:rFonts w:ascii="Arial" w:hAnsi="Arial" w:cs="Arial"/>
            <w:sz w:val="28"/>
            <w:szCs w:val="28"/>
          </w:rPr>
          <w:t>Key Differences</w:t>
        </w:r>
        <w:r w:rsidR="00CF2021">
          <w:rPr>
            <w:rFonts w:ascii="Arial" w:hAnsi="Arial" w:cs="Arial"/>
            <w:sz w:val="28"/>
            <w:szCs w:val="28"/>
          </w:rPr>
          <w:tab/>
          <w:t>4</w:t>
        </w:r>
      </w:hyperlink>
    </w:p>
    <w:p w14:paraId="4AFB86AA" w14:textId="77777777" w:rsidR="00290677" w:rsidRDefault="000F08C7">
      <w:pPr>
        <w:pStyle w:val="TOC2"/>
        <w:tabs>
          <w:tab w:val="right" w:leader="dot" w:pos="9016"/>
        </w:tabs>
      </w:pPr>
      <w:hyperlink w:anchor="_Toc168655222" w:history="1">
        <w:r w:rsidR="00CF2021">
          <w:rPr>
            <w:rStyle w:val="Hyperlink"/>
            <w:rFonts w:ascii="Arial" w:hAnsi="Arial" w:cs="Arial"/>
            <w:sz w:val="28"/>
            <w:szCs w:val="28"/>
          </w:rPr>
          <w:t>Analysis &amp; Comparison</w:t>
        </w:r>
        <w:r w:rsidR="00CF2021">
          <w:rPr>
            <w:rFonts w:ascii="Arial" w:hAnsi="Arial" w:cs="Arial"/>
            <w:sz w:val="28"/>
            <w:szCs w:val="28"/>
          </w:rPr>
          <w:tab/>
          <w:t>4</w:t>
        </w:r>
      </w:hyperlink>
    </w:p>
    <w:p w14:paraId="4AFB86AB" w14:textId="77777777" w:rsidR="00290677" w:rsidRDefault="000F08C7">
      <w:pPr>
        <w:pStyle w:val="TOC2"/>
        <w:tabs>
          <w:tab w:val="right" w:leader="dot" w:pos="9016"/>
        </w:tabs>
      </w:pPr>
      <w:hyperlink w:anchor="_Toc168655223" w:history="1">
        <w:r w:rsidR="00CF2021">
          <w:rPr>
            <w:rStyle w:val="Hyperlink"/>
            <w:rFonts w:ascii="Arial" w:hAnsi="Arial" w:cs="Arial"/>
            <w:sz w:val="28"/>
            <w:szCs w:val="28"/>
          </w:rPr>
          <w:t>Challenges of Intercultural Leadership</w:t>
        </w:r>
        <w:r w:rsidR="00CF2021">
          <w:rPr>
            <w:rFonts w:ascii="Arial" w:hAnsi="Arial" w:cs="Arial"/>
            <w:sz w:val="28"/>
            <w:szCs w:val="28"/>
          </w:rPr>
          <w:tab/>
          <w:t>5</w:t>
        </w:r>
      </w:hyperlink>
    </w:p>
    <w:p w14:paraId="4AFB86AC" w14:textId="77777777" w:rsidR="00290677" w:rsidRDefault="000F08C7">
      <w:pPr>
        <w:pStyle w:val="TOC1"/>
        <w:tabs>
          <w:tab w:val="right" w:leader="dot" w:pos="9016"/>
        </w:tabs>
      </w:pPr>
      <w:hyperlink w:anchor="_Toc168655224" w:history="1">
        <w:r w:rsidR="00CF2021">
          <w:rPr>
            <w:rStyle w:val="Hyperlink"/>
            <w:rFonts w:ascii="Arial" w:hAnsi="Arial" w:cs="Arial"/>
            <w:sz w:val="28"/>
            <w:szCs w:val="28"/>
          </w:rPr>
          <w:t>Conclusion</w:t>
        </w:r>
        <w:r w:rsidR="00CF2021">
          <w:rPr>
            <w:rFonts w:ascii="Arial" w:hAnsi="Arial" w:cs="Arial"/>
            <w:sz w:val="28"/>
            <w:szCs w:val="28"/>
          </w:rPr>
          <w:tab/>
          <w:t>5</w:t>
        </w:r>
      </w:hyperlink>
    </w:p>
    <w:p w14:paraId="4AFB86AD" w14:textId="77777777" w:rsidR="00290677" w:rsidRDefault="000F08C7">
      <w:pPr>
        <w:pStyle w:val="TOC1"/>
        <w:tabs>
          <w:tab w:val="right" w:leader="dot" w:pos="9016"/>
        </w:tabs>
      </w:pPr>
      <w:hyperlink w:anchor="_Toc168655225" w:history="1">
        <w:r w:rsidR="00CF2021">
          <w:rPr>
            <w:rStyle w:val="Hyperlink"/>
            <w:rFonts w:ascii="Arial" w:hAnsi="Arial" w:cs="Arial"/>
            <w:sz w:val="28"/>
            <w:szCs w:val="28"/>
          </w:rPr>
          <w:t>Recommendations</w:t>
        </w:r>
        <w:r w:rsidR="00CF2021">
          <w:rPr>
            <w:rFonts w:ascii="Arial" w:hAnsi="Arial" w:cs="Arial"/>
            <w:sz w:val="28"/>
            <w:szCs w:val="28"/>
          </w:rPr>
          <w:tab/>
          <w:t>6</w:t>
        </w:r>
      </w:hyperlink>
    </w:p>
    <w:p w14:paraId="4AFB86AE" w14:textId="77777777" w:rsidR="00290677" w:rsidRDefault="000F08C7">
      <w:pPr>
        <w:pStyle w:val="TOC1"/>
        <w:tabs>
          <w:tab w:val="right" w:leader="dot" w:pos="9016"/>
        </w:tabs>
      </w:pPr>
      <w:hyperlink w:anchor="_Toc168655226" w:history="1">
        <w:r w:rsidR="00CF2021">
          <w:rPr>
            <w:rStyle w:val="Hyperlink"/>
            <w:rFonts w:ascii="Arial" w:hAnsi="Arial" w:cs="Arial"/>
            <w:sz w:val="28"/>
            <w:szCs w:val="28"/>
          </w:rPr>
          <w:t>Reference List</w:t>
        </w:r>
        <w:r w:rsidR="00CF2021">
          <w:rPr>
            <w:rFonts w:ascii="Arial" w:hAnsi="Arial" w:cs="Arial"/>
            <w:sz w:val="28"/>
            <w:szCs w:val="28"/>
          </w:rPr>
          <w:tab/>
          <w:t>7</w:t>
        </w:r>
      </w:hyperlink>
    </w:p>
    <w:p w14:paraId="4AFB86AF" w14:textId="77777777" w:rsidR="00290677" w:rsidRDefault="00CF2021">
      <w:r>
        <w:fldChar w:fldCharType="end"/>
      </w:r>
    </w:p>
    <w:p w14:paraId="4AFB86B0" w14:textId="77777777" w:rsidR="00290677" w:rsidRDefault="00290677">
      <w:pPr>
        <w:rPr>
          <w:rFonts w:ascii="Arial" w:hAnsi="Arial" w:cs="Arial"/>
          <w:sz w:val="32"/>
          <w:szCs w:val="32"/>
        </w:rPr>
      </w:pPr>
    </w:p>
    <w:p w14:paraId="4AFB86B1" w14:textId="77777777" w:rsidR="00290677" w:rsidRDefault="00290677">
      <w:pPr>
        <w:rPr>
          <w:rFonts w:ascii="Arial" w:hAnsi="Arial" w:cs="Arial"/>
          <w:sz w:val="32"/>
          <w:szCs w:val="32"/>
        </w:rPr>
      </w:pPr>
    </w:p>
    <w:p w14:paraId="4AFB86B2" w14:textId="77777777" w:rsidR="00290677" w:rsidRDefault="00290677">
      <w:pPr>
        <w:rPr>
          <w:rFonts w:ascii="Arial" w:hAnsi="Arial" w:cs="Arial"/>
          <w:sz w:val="32"/>
          <w:szCs w:val="32"/>
        </w:rPr>
      </w:pPr>
    </w:p>
    <w:p w14:paraId="4AFB86B3" w14:textId="77777777" w:rsidR="00290677" w:rsidRDefault="00290677">
      <w:pPr>
        <w:rPr>
          <w:rFonts w:ascii="Arial" w:hAnsi="Arial" w:cs="Arial"/>
          <w:sz w:val="32"/>
          <w:szCs w:val="32"/>
        </w:rPr>
      </w:pPr>
    </w:p>
    <w:p w14:paraId="4AFB86B4" w14:textId="77777777" w:rsidR="00290677" w:rsidRDefault="00290677">
      <w:pPr>
        <w:rPr>
          <w:rFonts w:ascii="Arial" w:hAnsi="Arial" w:cs="Arial"/>
          <w:sz w:val="32"/>
          <w:szCs w:val="32"/>
        </w:rPr>
      </w:pPr>
    </w:p>
    <w:p w14:paraId="4AFB86B5" w14:textId="77777777" w:rsidR="00290677" w:rsidRDefault="00290677">
      <w:pPr>
        <w:rPr>
          <w:rFonts w:ascii="Arial" w:hAnsi="Arial" w:cs="Arial"/>
          <w:sz w:val="32"/>
          <w:szCs w:val="32"/>
        </w:rPr>
      </w:pPr>
    </w:p>
    <w:p w14:paraId="4AFB86B6" w14:textId="77777777" w:rsidR="00290677" w:rsidRDefault="00290677">
      <w:pPr>
        <w:rPr>
          <w:rFonts w:ascii="Arial" w:hAnsi="Arial" w:cs="Arial"/>
          <w:sz w:val="32"/>
          <w:szCs w:val="32"/>
        </w:rPr>
      </w:pPr>
    </w:p>
    <w:p w14:paraId="4AFB86B7" w14:textId="77777777" w:rsidR="00290677" w:rsidRDefault="00290677">
      <w:pPr>
        <w:rPr>
          <w:rFonts w:ascii="Arial" w:hAnsi="Arial" w:cs="Arial"/>
          <w:sz w:val="32"/>
          <w:szCs w:val="32"/>
        </w:rPr>
      </w:pPr>
    </w:p>
    <w:p w14:paraId="4AFB86B8" w14:textId="77777777" w:rsidR="00290677" w:rsidRDefault="00290677">
      <w:pPr>
        <w:rPr>
          <w:rFonts w:ascii="Arial" w:hAnsi="Arial" w:cs="Arial"/>
          <w:sz w:val="32"/>
          <w:szCs w:val="32"/>
        </w:rPr>
      </w:pPr>
    </w:p>
    <w:p w14:paraId="4AFB86B9" w14:textId="77777777" w:rsidR="00290677" w:rsidRDefault="00290677">
      <w:pPr>
        <w:rPr>
          <w:rFonts w:ascii="Arial" w:hAnsi="Arial" w:cs="Arial"/>
          <w:sz w:val="32"/>
          <w:szCs w:val="32"/>
        </w:rPr>
      </w:pPr>
    </w:p>
    <w:p w14:paraId="4AFB86BA" w14:textId="77777777" w:rsidR="00290677" w:rsidRDefault="00290677">
      <w:pPr>
        <w:rPr>
          <w:rFonts w:ascii="Arial" w:hAnsi="Arial" w:cs="Arial"/>
          <w:sz w:val="32"/>
          <w:szCs w:val="32"/>
        </w:rPr>
      </w:pPr>
    </w:p>
    <w:p w14:paraId="4AFB86BB" w14:textId="77777777" w:rsidR="00290677" w:rsidRDefault="00290677">
      <w:pPr>
        <w:rPr>
          <w:rFonts w:ascii="Arial" w:hAnsi="Arial" w:cs="Arial"/>
          <w:sz w:val="32"/>
          <w:szCs w:val="32"/>
        </w:rPr>
      </w:pPr>
    </w:p>
    <w:p w14:paraId="4AFB86BC" w14:textId="77777777" w:rsidR="00290677" w:rsidRDefault="00290677">
      <w:pPr>
        <w:rPr>
          <w:rFonts w:ascii="Arial" w:hAnsi="Arial" w:cs="Arial"/>
          <w:sz w:val="32"/>
          <w:szCs w:val="32"/>
        </w:rPr>
      </w:pPr>
    </w:p>
    <w:p w14:paraId="4AFB86BD" w14:textId="77777777" w:rsidR="00290677" w:rsidRDefault="00CF2021">
      <w:pPr>
        <w:pStyle w:val="Heading1"/>
        <w:rPr>
          <w:b/>
          <w:bCs/>
          <w:color w:val="auto"/>
        </w:rPr>
      </w:pPr>
      <w:bookmarkStart w:id="0" w:name="_Toc168655219"/>
      <w:r>
        <w:rPr>
          <w:b/>
          <w:bCs/>
          <w:color w:val="auto"/>
        </w:rPr>
        <w:lastRenderedPageBreak/>
        <w:t>Introduction</w:t>
      </w:r>
      <w:bookmarkEnd w:id="0"/>
    </w:p>
    <w:p w14:paraId="4AFB86BE" w14:textId="77777777" w:rsidR="00290677" w:rsidRDefault="00290677">
      <w:pPr>
        <w:rPr>
          <w:rFonts w:ascii="Arial" w:hAnsi="Arial" w:cs="Arial"/>
          <w:sz w:val="24"/>
          <w:szCs w:val="24"/>
        </w:rPr>
      </w:pPr>
    </w:p>
    <w:p w14:paraId="4AFB86BF" w14:textId="77777777" w:rsidR="00290677" w:rsidRDefault="00CF2021" w:rsidP="00BB28F9">
      <w:pPr>
        <w:ind w:firstLine="720"/>
        <w:jc w:val="both"/>
        <w:rPr>
          <w:rFonts w:ascii="Arial" w:hAnsi="Arial" w:cs="Arial"/>
          <w:sz w:val="24"/>
          <w:szCs w:val="24"/>
        </w:rPr>
      </w:pPr>
      <w:r>
        <w:rPr>
          <w:rFonts w:ascii="Arial" w:hAnsi="Arial" w:cs="Arial"/>
          <w:sz w:val="24"/>
          <w:szCs w:val="24"/>
        </w:rPr>
        <w:t>This report will cover the multicultural trends of hotel strategies and affairs within a local location, such as London, England, and a separate area such as Confucian Asia, focusing on Japan. In this report, the key differences and comparisons will be analysed and discussed, to effectively conclude how different hotels must strategies to maintain effective customer hospitality and ensure they upkeep their reputation.</w:t>
      </w:r>
    </w:p>
    <w:p w14:paraId="4AFB86C0" w14:textId="77777777" w:rsidR="00290677" w:rsidRDefault="00290677" w:rsidP="00B021FE">
      <w:pPr>
        <w:jc w:val="both"/>
        <w:rPr>
          <w:rFonts w:ascii="Arial" w:hAnsi="Arial" w:cs="Arial"/>
          <w:sz w:val="32"/>
          <w:szCs w:val="32"/>
        </w:rPr>
      </w:pPr>
    </w:p>
    <w:p w14:paraId="4AFB86C1" w14:textId="77777777" w:rsidR="00290677" w:rsidRDefault="00CF2021" w:rsidP="00B021FE">
      <w:pPr>
        <w:pStyle w:val="Heading1"/>
        <w:jc w:val="both"/>
        <w:rPr>
          <w:b/>
          <w:bCs/>
          <w:color w:val="auto"/>
        </w:rPr>
      </w:pPr>
      <w:bookmarkStart w:id="1" w:name="_Toc168655220"/>
      <w:r>
        <w:rPr>
          <w:b/>
          <w:bCs/>
          <w:color w:val="auto"/>
        </w:rPr>
        <w:t>Main Body</w:t>
      </w:r>
      <w:bookmarkEnd w:id="1"/>
    </w:p>
    <w:p w14:paraId="4AFB86C2" w14:textId="77777777" w:rsidR="00290677" w:rsidRDefault="00290677" w:rsidP="00B021FE">
      <w:pPr>
        <w:jc w:val="both"/>
        <w:rPr>
          <w:rFonts w:ascii="Arial" w:hAnsi="Arial" w:cs="Arial"/>
          <w:sz w:val="32"/>
          <w:szCs w:val="32"/>
        </w:rPr>
      </w:pPr>
    </w:p>
    <w:p w14:paraId="4AFB86C3" w14:textId="77777777" w:rsidR="00290677" w:rsidRDefault="00CF2021" w:rsidP="00B021FE">
      <w:pPr>
        <w:pStyle w:val="Heading2"/>
        <w:jc w:val="both"/>
        <w:rPr>
          <w:b/>
          <w:bCs/>
          <w:color w:val="auto"/>
        </w:rPr>
      </w:pPr>
      <w:bookmarkStart w:id="2" w:name="_Toc168655221"/>
      <w:r>
        <w:rPr>
          <w:b/>
          <w:bCs/>
          <w:color w:val="auto"/>
        </w:rPr>
        <w:t>Key Differences</w:t>
      </w:r>
      <w:bookmarkEnd w:id="2"/>
    </w:p>
    <w:p w14:paraId="4AFB86C4" w14:textId="77777777" w:rsidR="00290677" w:rsidRDefault="00290677" w:rsidP="00B021FE">
      <w:pPr>
        <w:jc w:val="both"/>
        <w:rPr>
          <w:rFonts w:ascii="Arial" w:hAnsi="Arial" w:cs="Arial"/>
          <w:b/>
          <w:bCs/>
          <w:color w:val="FF0000"/>
          <w:sz w:val="28"/>
          <w:szCs w:val="28"/>
        </w:rPr>
      </w:pPr>
    </w:p>
    <w:p w14:paraId="0FD06738"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In comparison with Japan, England is a modernised country, in terms of social interaction and hospitality, with traditions not necessarily being a must, but instead only an option. Looking over the customs of the British, it can be shortly summarised as a broad focus on the immense respect of the British Royal Family, seeing them as the pinnacle of the United Kingdom. In addition, the British are also well-known for their good manners, specifically in London, the capital, people tend to have good knowledge of manners </w:t>
      </w:r>
      <w:proofErr w:type="gramStart"/>
      <w:r w:rsidR="00BB28F9">
        <w:rPr>
          <w:rFonts w:ascii="Arial" w:hAnsi="Arial" w:cs="Arial"/>
          <w:sz w:val="24"/>
          <w:szCs w:val="24"/>
        </w:rPr>
        <w:t>in regard to</w:t>
      </w:r>
      <w:proofErr w:type="gramEnd"/>
      <w:r>
        <w:rPr>
          <w:rFonts w:ascii="Arial" w:hAnsi="Arial" w:cs="Arial"/>
          <w:sz w:val="24"/>
          <w:szCs w:val="24"/>
        </w:rPr>
        <w:t xml:space="preserve"> social interactions, courtesy, and appropriate dining rules (Iddon, 2023).</w:t>
      </w:r>
    </w:p>
    <w:p w14:paraId="31507675"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 Additionally, looking into the British traditions, most of them may seem silly and unnecessary, such as “Cheese rolling” for one, where individuals run or roll down a hill to try to reach the bottom as fast as possible. Comparing this to Japan, it is </w:t>
      </w:r>
      <w:proofErr w:type="gramStart"/>
      <w:r>
        <w:rPr>
          <w:rFonts w:ascii="Arial" w:hAnsi="Arial" w:cs="Arial"/>
          <w:sz w:val="24"/>
          <w:szCs w:val="24"/>
        </w:rPr>
        <w:t>definitely different</w:t>
      </w:r>
      <w:proofErr w:type="gramEnd"/>
      <w:r>
        <w:rPr>
          <w:rFonts w:ascii="Arial" w:hAnsi="Arial" w:cs="Arial"/>
          <w:sz w:val="24"/>
          <w:szCs w:val="24"/>
        </w:rPr>
        <w:t>, with a well-known Japanese tradition to hand out gifts to close friends or loved ones, in comparison with dangerous rolling down hills (Acar, 2023).</w:t>
      </w:r>
    </w:p>
    <w:p w14:paraId="4AFB86C5" w14:textId="4914781B" w:rsidR="00290677" w:rsidRDefault="00CF2021" w:rsidP="00BB28F9">
      <w:pPr>
        <w:ind w:firstLine="720"/>
        <w:jc w:val="both"/>
        <w:rPr>
          <w:rFonts w:ascii="Arial" w:hAnsi="Arial" w:cs="Arial"/>
          <w:sz w:val="24"/>
          <w:szCs w:val="24"/>
        </w:rPr>
      </w:pPr>
      <w:r>
        <w:rPr>
          <w:rFonts w:ascii="Arial" w:hAnsi="Arial" w:cs="Arial"/>
          <w:sz w:val="24"/>
          <w:szCs w:val="24"/>
        </w:rPr>
        <w:t xml:space="preserve"> In a hospitality environment, these differences are paramount to customer service and hospitality to guests. Hence, with the added report and analysis of the cultural and customs differences, it is evident that the integration of Japanese customs would be beneficial to a more unique service and more respectable hospitality towards new and regular guests of the hotel.</w:t>
      </w:r>
    </w:p>
    <w:p w14:paraId="4AFB86C6" w14:textId="77777777" w:rsidR="00290677" w:rsidRDefault="00290677" w:rsidP="00B021FE">
      <w:pPr>
        <w:jc w:val="both"/>
        <w:rPr>
          <w:rFonts w:ascii="Arial" w:hAnsi="Arial" w:cs="Arial"/>
          <w:b/>
          <w:bCs/>
          <w:sz w:val="28"/>
          <w:szCs w:val="28"/>
        </w:rPr>
      </w:pPr>
    </w:p>
    <w:p w14:paraId="4AFB86C7" w14:textId="77777777" w:rsidR="00290677" w:rsidRDefault="00CF2021" w:rsidP="00B021FE">
      <w:pPr>
        <w:pStyle w:val="Heading2"/>
        <w:jc w:val="both"/>
        <w:rPr>
          <w:b/>
          <w:bCs/>
          <w:color w:val="auto"/>
        </w:rPr>
      </w:pPr>
      <w:bookmarkStart w:id="3" w:name="_Toc168655222"/>
      <w:r>
        <w:rPr>
          <w:b/>
          <w:bCs/>
          <w:color w:val="auto"/>
        </w:rPr>
        <w:t>Analysis &amp; Comparison</w:t>
      </w:r>
      <w:bookmarkEnd w:id="3"/>
    </w:p>
    <w:p w14:paraId="4AFB86C8" w14:textId="77777777" w:rsidR="00290677" w:rsidRDefault="00290677" w:rsidP="00B021FE">
      <w:pPr>
        <w:jc w:val="both"/>
        <w:rPr>
          <w:rFonts w:ascii="Arial" w:hAnsi="Arial" w:cs="Arial"/>
          <w:b/>
          <w:bCs/>
          <w:sz w:val="28"/>
          <w:szCs w:val="28"/>
        </w:rPr>
      </w:pPr>
    </w:p>
    <w:p w14:paraId="4AFB86C9" w14:textId="77777777" w:rsidR="00290677" w:rsidRDefault="00CF2021" w:rsidP="00BB28F9">
      <w:pPr>
        <w:ind w:firstLine="720"/>
        <w:jc w:val="both"/>
        <w:rPr>
          <w:rFonts w:ascii="Arial" w:hAnsi="Arial" w:cs="Arial"/>
          <w:sz w:val="24"/>
          <w:szCs w:val="24"/>
        </w:rPr>
      </w:pPr>
      <w:r>
        <w:rPr>
          <w:rFonts w:ascii="Arial" w:hAnsi="Arial" w:cs="Arial"/>
          <w:sz w:val="24"/>
          <w:szCs w:val="24"/>
        </w:rPr>
        <w:t xml:space="preserve">By analysing the GLOBE Project’s data from the 2004 study on “understanding the relationship between national culture, societal effectiveness, and desirable leadership attributes”, a lot of findings in the data revealed a definite comparison and </w:t>
      </w:r>
      <w:r>
        <w:rPr>
          <w:rFonts w:ascii="Arial" w:hAnsi="Arial" w:cs="Arial"/>
          <w:sz w:val="24"/>
          <w:szCs w:val="24"/>
        </w:rPr>
        <w:lastRenderedPageBreak/>
        <w:t>difference between Japan and England. To go in-depth, in the human orientation data found by the study, England is much less likely to encourage and reward individuals for fair and kind behaviour to others, whereas Japan highly encourages and rewards this sort of behaviour, to be kind and altruistic to others, regardless of any situation. Linking this to the hotel and hospitality provides a more in-depth certainty that the hotel located in Japan is more likely to outperform England in terms of hospitality and customer service.</w:t>
      </w:r>
    </w:p>
    <w:p w14:paraId="4AFB86CA" w14:textId="77777777" w:rsidR="00290677" w:rsidRDefault="00290677" w:rsidP="00B021FE">
      <w:pPr>
        <w:jc w:val="both"/>
        <w:rPr>
          <w:rFonts w:ascii="Arial" w:hAnsi="Arial" w:cs="Arial"/>
          <w:b/>
          <w:bCs/>
          <w:sz w:val="28"/>
          <w:szCs w:val="28"/>
        </w:rPr>
      </w:pPr>
    </w:p>
    <w:p w14:paraId="4AFB86CB" w14:textId="77777777" w:rsidR="00290677" w:rsidRDefault="00CF2021" w:rsidP="00B021FE">
      <w:pPr>
        <w:pStyle w:val="Heading2"/>
        <w:jc w:val="both"/>
        <w:rPr>
          <w:b/>
          <w:bCs/>
          <w:color w:val="auto"/>
        </w:rPr>
      </w:pPr>
      <w:bookmarkStart w:id="4" w:name="_Toc168655223"/>
      <w:r>
        <w:rPr>
          <w:b/>
          <w:bCs/>
          <w:color w:val="auto"/>
        </w:rPr>
        <w:t>Challenges of Intercultural Leadership</w:t>
      </w:r>
      <w:bookmarkEnd w:id="4"/>
    </w:p>
    <w:p w14:paraId="4AFB86CC" w14:textId="77777777" w:rsidR="00290677" w:rsidRDefault="00290677" w:rsidP="00B021FE">
      <w:pPr>
        <w:jc w:val="both"/>
        <w:rPr>
          <w:rFonts w:ascii="Arial" w:hAnsi="Arial" w:cs="Arial"/>
          <w:b/>
          <w:bCs/>
          <w:sz w:val="28"/>
          <w:szCs w:val="28"/>
        </w:rPr>
      </w:pPr>
    </w:p>
    <w:p w14:paraId="49F9AFE1"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In a study conducted by Edwin, N. Torres, findings revealed that among hotel guests of different nationalities visiting Central Florida, there were some universal service elements, including guests from different cultures, to be delighted by different services and amenities. However, in a similar study by Scott R. Swanson, a cross-cultural comparison of Chinese and American hospitality customers proved that many cultural differences </w:t>
      </w:r>
      <w:r w:rsidR="00BB28F9">
        <w:rPr>
          <w:rFonts w:ascii="Arial" w:hAnsi="Arial" w:cs="Arial"/>
          <w:sz w:val="24"/>
          <w:szCs w:val="24"/>
        </w:rPr>
        <w:t>could</w:t>
      </w:r>
      <w:r>
        <w:rPr>
          <w:rFonts w:ascii="Arial" w:hAnsi="Arial" w:cs="Arial"/>
          <w:sz w:val="24"/>
          <w:szCs w:val="24"/>
        </w:rPr>
        <w:t xml:space="preserve"> affect the types of incidents occurring in the hospitality industry, with recovery approaches and post-incident behaviours changing and damaging the hotel(s) more often (</w:t>
      </w:r>
      <w:proofErr w:type="spellStart"/>
      <w:r>
        <w:rPr>
          <w:rFonts w:ascii="Arial" w:hAnsi="Arial" w:cs="Arial"/>
          <w:sz w:val="24"/>
          <w:szCs w:val="24"/>
        </w:rPr>
        <w:t>Grobelna</w:t>
      </w:r>
      <w:proofErr w:type="spellEnd"/>
      <w:r>
        <w:rPr>
          <w:rFonts w:ascii="Arial" w:hAnsi="Arial" w:cs="Arial"/>
          <w:sz w:val="24"/>
          <w:szCs w:val="24"/>
        </w:rPr>
        <w:t xml:space="preserve">, 2015). </w:t>
      </w:r>
    </w:p>
    <w:p w14:paraId="60E252A9" w14:textId="77777777" w:rsidR="00BB28F9" w:rsidRDefault="00CF2021" w:rsidP="00BB28F9">
      <w:pPr>
        <w:ind w:firstLine="720"/>
        <w:jc w:val="both"/>
        <w:rPr>
          <w:rFonts w:ascii="Arial" w:hAnsi="Arial" w:cs="Arial"/>
          <w:sz w:val="24"/>
          <w:szCs w:val="24"/>
        </w:rPr>
      </w:pPr>
      <w:r>
        <w:rPr>
          <w:rFonts w:ascii="Arial" w:hAnsi="Arial" w:cs="Arial"/>
          <w:sz w:val="24"/>
          <w:szCs w:val="24"/>
        </w:rPr>
        <w:t xml:space="preserve">Linking these findings to the hospitality industry and its operations, it is important to consider that intercultural customs and differences to be integrated into this industry must first be thoroughly analysed and implemented with ease and steady flow, and not introduced without a plan or strategy beforehand. </w:t>
      </w:r>
    </w:p>
    <w:p w14:paraId="4AFB86CD" w14:textId="0ADD2508" w:rsidR="00290677" w:rsidRDefault="00CF2021" w:rsidP="00BB28F9">
      <w:pPr>
        <w:ind w:firstLine="720"/>
        <w:jc w:val="both"/>
        <w:rPr>
          <w:rFonts w:ascii="Arial" w:hAnsi="Arial" w:cs="Arial"/>
          <w:sz w:val="24"/>
          <w:szCs w:val="24"/>
        </w:rPr>
      </w:pPr>
      <w:r>
        <w:rPr>
          <w:rFonts w:ascii="Arial" w:hAnsi="Arial" w:cs="Arial"/>
          <w:sz w:val="24"/>
          <w:szCs w:val="24"/>
        </w:rPr>
        <w:t>As an example, if an international hotel had decided to expand to Confucian Asia from the West, without any plans or prior research into the area, the expansion would go into bankruptcy if they were to follow the same instructions and rules as the West, in terms of hospitality and general services. This is because in Asia, there are many countries with stricter and restrictive rules and law-like instructions to social interaction and hospitality that not many other countries would have or experience. By understanding these rules and expectations, it would become much easier to avoid any conflict and communication barriers, to build trust and diversify work practices and expectations worldwide (Tabata, 2020).</w:t>
      </w:r>
    </w:p>
    <w:p w14:paraId="4AFB86CE" w14:textId="77777777" w:rsidR="00290677" w:rsidRDefault="00290677" w:rsidP="00B021FE">
      <w:pPr>
        <w:jc w:val="both"/>
        <w:rPr>
          <w:rFonts w:ascii="Arial" w:hAnsi="Arial" w:cs="Arial"/>
          <w:sz w:val="32"/>
          <w:szCs w:val="32"/>
        </w:rPr>
      </w:pPr>
    </w:p>
    <w:p w14:paraId="4AFB86CF" w14:textId="77777777" w:rsidR="00290677" w:rsidRDefault="00CF2021" w:rsidP="00B021FE">
      <w:pPr>
        <w:pStyle w:val="Heading1"/>
        <w:jc w:val="both"/>
        <w:rPr>
          <w:b/>
          <w:bCs/>
          <w:color w:val="auto"/>
        </w:rPr>
      </w:pPr>
      <w:bookmarkStart w:id="5" w:name="_Toc168655224"/>
      <w:r>
        <w:rPr>
          <w:b/>
          <w:bCs/>
          <w:color w:val="auto"/>
        </w:rPr>
        <w:t>Conclusion</w:t>
      </w:r>
      <w:bookmarkEnd w:id="5"/>
    </w:p>
    <w:p w14:paraId="4AFB86D0" w14:textId="77777777" w:rsidR="00290677" w:rsidRDefault="00290677" w:rsidP="00B021FE">
      <w:pPr>
        <w:jc w:val="both"/>
        <w:rPr>
          <w:rFonts w:ascii="Arial" w:hAnsi="Arial" w:cs="Arial"/>
          <w:sz w:val="32"/>
          <w:szCs w:val="32"/>
        </w:rPr>
      </w:pPr>
    </w:p>
    <w:p w14:paraId="4AFB86D1" w14:textId="77777777" w:rsidR="00290677" w:rsidRDefault="00CF2021" w:rsidP="00B021FE">
      <w:pPr>
        <w:ind w:firstLine="720"/>
        <w:jc w:val="both"/>
        <w:rPr>
          <w:rFonts w:ascii="Arial" w:hAnsi="Arial" w:cs="Arial"/>
          <w:sz w:val="24"/>
          <w:szCs w:val="24"/>
        </w:rPr>
      </w:pPr>
      <w:r>
        <w:rPr>
          <w:rFonts w:ascii="Arial" w:hAnsi="Arial" w:cs="Arial"/>
          <w:sz w:val="24"/>
          <w:szCs w:val="24"/>
        </w:rPr>
        <w:t xml:space="preserve">In conclusion, the implementation of intercultural practices into the hospitality industry would assist a hotel brand to gain a better understanding of the cultural differences throughout the world and better train its staff internationally to prepare for the introduction of employees from around the world and possible expansions. Additionally, in comparison with Japan, England does not have similar customs at all, </w:t>
      </w:r>
      <w:r>
        <w:rPr>
          <w:rFonts w:ascii="Arial" w:hAnsi="Arial" w:cs="Arial"/>
          <w:sz w:val="24"/>
          <w:szCs w:val="24"/>
        </w:rPr>
        <w:lastRenderedPageBreak/>
        <w:t>as it focuses more on randomised traditions and interactions, whereas Japan is very traditional and focused on order and structured interactions.</w:t>
      </w:r>
    </w:p>
    <w:p w14:paraId="4AFB86D2" w14:textId="77777777" w:rsidR="00290677" w:rsidRDefault="00290677" w:rsidP="00B021FE">
      <w:pPr>
        <w:jc w:val="both"/>
        <w:rPr>
          <w:rFonts w:ascii="Arial" w:hAnsi="Arial" w:cs="Arial"/>
          <w:sz w:val="24"/>
          <w:szCs w:val="24"/>
        </w:rPr>
      </w:pPr>
    </w:p>
    <w:p w14:paraId="4AFB86D3" w14:textId="77777777" w:rsidR="00290677" w:rsidRDefault="00CF2021" w:rsidP="00B021FE">
      <w:pPr>
        <w:pStyle w:val="Heading1"/>
        <w:jc w:val="both"/>
        <w:rPr>
          <w:b/>
          <w:bCs/>
          <w:color w:val="auto"/>
        </w:rPr>
      </w:pPr>
      <w:bookmarkStart w:id="6" w:name="_Toc168655225"/>
      <w:r>
        <w:rPr>
          <w:b/>
          <w:bCs/>
          <w:color w:val="auto"/>
        </w:rPr>
        <w:t>Recommendations</w:t>
      </w:r>
      <w:bookmarkEnd w:id="6"/>
    </w:p>
    <w:p w14:paraId="4AFB86D4" w14:textId="77777777" w:rsidR="00290677" w:rsidRDefault="00290677" w:rsidP="00B021FE">
      <w:pPr>
        <w:jc w:val="both"/>
      </w:pPr>
    </w:p>
    <w:p w14:paraId="4AFB86D5" w14:textId="77777777" w:rsidR="00290677" w:rsidRDefault="00CF2021" w:rsidP="00B021FE">
      <w:pPr>
        <w:ind w:firstLine="720"/>
        <w:jc w:val="both"/>
        <w:rPr>
          <w:rFonts w:ascii="Arial" w:hAnsi="Arial" w:cs="Arial"/>
          <w:sz w:val="24"/>
          <w:szCs w:val="24"/>
        </w:rPr>
      </w:pPr>
      <w:proofErr w:type="gramStart"/>
      <w:r>
        <w:rPr>
          <w:rFonts w:ascii="Arial" w:hAnsi="Arial" w:cs="Arial"/>
          <w:sz w:val="24"/>
          <w:szCs w:val="24"/>
        </w:rPr>
        <w:t>In order for</w:t>
      </w:r>
      <w:proofErr w:type="gramEnd"/>
      <w:r>
        <w:rPr>
          <w:rFonts w:ascii="Arial" w:hAnsi="Arial" w:cs="Arial"/>
          <w:sz w:val="24"/>
          <w:szCs w:val="24"/>
        </w:rPr>
        <w:t xml:space="preserve"> the hospitality industry to improve on intercultural interaction and to prepare for any intercultural challenges that hospitality industry leadership may come to experience, recommendations are put in place to start off an idea of what to do in such situations.</w:t>
      </w:r>
    </w:p>
    <w:p w14:paraId="4AFB86D6" w14:textId="77777777" w:rsidR="00290677" w:rsidRDefault="00CF2021" w:rsidP="00B021FE">
      <w:pPr>
        <w:jc w:val="both"/>
        <w:rPr>
          <w:rFonts w:ascii="Arial" w:hAnsi="Arial" w:cs="Arial"/>
          <w:sz w:val="24"/>
          <w:szCs w:val="24"/>
        </w:rPr>
      </w:pPr>
      <w:r>
        <w:rPr>
          <w:rFonts w:ascii="Arial" w:hAnsi="Arial" w:cs="Arial"/>
          <w:sz w:val="24"/>
          <w:szCs w:val="24"/>
        </w:rPr>
        <w:t xml:space="preserve">1. </w:t>
      </w:r>
      <w:proofErr w:type="gramStart"/>
      <w:r>
        <w:rPr>
          <w:rFonts w:ascii="Arial" w:hAnsi="Arial" w:cs="Arial"/>
          <w:sz w:val="24"/>
          <w:szCs w:val="24"/>
        </w:rPr>
        <w:t>In order to</w:t>
      </w:r>
      <w:proofErr w:type="gramEnd"/>
      <w:r>
        <w:rPr>
          <w:rFonts w:ascii="Arial" w:hAnsi="Arial" w:cs="Arial"/>
          <w:sz w:val="24"/>
          <w:szCs w:val="24"/>
        </w:rPr>
        <w:t xml:space="preserve"> overcome communication and cultural barriers, intercultural leaders should focus more time and fund investments into language and cultural competence training, through workshops and additional classes so team members can improve their capabilities in this area. This sort of training could include learning key and common phrases in relevant languages, studying cultural norms in communication, and developing active listening skills for any social interaction. </w:t>
      </w:r>
    </w:p>
    <w:p w14:paraId="4AFB86D7" w14:textId="77777777" w:rsidR="00290677" w:rsidRDefault="00CF2021" w:rsidP="00B021FE">
      <w:pPr>
        <w:jc w:val="both"/>
        <w:rPr>
          <w:rFonts w:ascii="Arial" w:hAnsi="Arial" w:cs="Arial"/>
          <w:sz w:val="24"/>
          <w:szCs w:val="24"/>
        </w:rPr>
      </w:pPr>
      <w:r>
        <w:rPr>
          <w:rFonts w:ascii="Arial" w:hAnsi="Arial" w:cs="Arial"/>
          <w:sz w:val="24"/>
          <w:szCs w:val="24"/>
        </w:rPr>
        <w:t>2. Fostering a more flexible and inclusive work environment is crucial to accommodating diverse work practices and expectations. By promoting flexible working hours and a balance between individual and collective decision-making whilst also being open to various approaches and open-mindedness to secondary opinions, the main idea of a flexible and inclusive work environment can be achieved.</w:t>
      </w:r>
    </w:p>
    <w:p w14:paraId="4AFB86D8" w14:textId="77777777" w:rsidR="00290677" w:rsidRDefault="00CF2021" w:rsidP="00B021FE">
      <w:pPr>
        <w:jc w:val="both"/>
        <w:rPr>
          <w:rFonts w:ascii="Arial" w:hAnsi="Arial" w:cs="Arial"/>
          <w:sz w:val="24"/>
          <w:szCs w:val="24"/>
        </w:rPr>
      </w:pPr>
      <w:r>
        <w:rPr>
          <w:rFonts w:ascii="Arial" w:hAnsi="Arial" w:cs="Arial"/>
          <w:sz w:val="24"/>
          <w:szCs w:val="24"/>
        </w:rPr>
        <w:t>3. To develop conflict resolution strategies and build trust, intercultural leaders should become more proactive in developing conflict resolution strategies that respect cultural differences. Moreover, providing training in mediation techniques, promoting open dialogue, and ensuring to encourage a culture where diverse perspectives are more valued is crucial to making this happen.</w:t>
      </w:r>
    </w:p>
    <w:p w14:paraId="4AFB86D9" w14:textId="77777777" w:rsidR="00290677" w:rsidRDefault="00290677" w:rsidP="00B021FE">
      <w:pPr>
        <w:jc w:val="both"/>
        <w:rPr>
          <w:rFonts w:ascii="Arial" w:hAnsi="Arial" w:cs="Arial"/>
          <w:sz w:val="24"/>
          <w:szCs w:val="24"/>
        </w:rPr>
      </w:pPr>
    </w:p>
    <w:p w14:paraId="4AFB86DA" w14:textId="77777777" w:rsidR="00290677" w:rsidRDefault="00290677" w:rsidP="00B021FE">
      <w:pPr>
        <w:jc w:val="both"/>
        <w:rPr>
          <w:rFonts w:ascii="Arial" w:hAnsi="Arial" w:cs="Arial"/>
          <w:sz w:val="32"/>
          <w:szCs w:val="32"/>
        </w:rPr>
      </w:pPr>
    </w:p>
    <w:p w14:paraId="4AFB86DB" w14:textId="77777777" w:rsidR="00290677" w:rsidRDefault="00290677" w:rsidP="00B021FE">
      <w:pPr>
        <w:jc w:val="both"/>
        <w:rPr>
          <w:rFonts w:ascii="Arial" w:hAnsi="Arial" w:cs="Arial"/>
          <w:sz w:val="32"/>
          <w:szCs w:val="32"/>
        </w:rPr>
      </w:pPr>
    </w:p>
    <w:p w14:paraId="4AFB86DC" w14:textId="77777777" w:rsidR="00290677" w:rsidRDefault="00290677" w:rsidP="00B021FE">
      <w:pPr>
        <w:jc w:val="both"/>
        <w:rPr>
          <w:rFonts w:ascii="Arial" w:hAnsi="Arial" w:cs="Arial"/>
          <w:sz w:val="32"/>
          <w:szCs w:val="32"/>
        </w:rPr>
      </w:pPr>
    </w:p>
    <w:p w14:paraId="4AFB86DD" w14:textId="77777777" w:rsidR="00290677" w:rsidRDefault="00290677" w:rsidP="00B021FE">
      <w:pPr>
        <w:jc w:val="both"/>
        <w:rPr>
          <w:rFonts w:ascii="Arial" w:hAnsi="Arial" w:cs="Arial"/>
          <w:sz w:val="32"/>
          <w:szCs w:val="32"/>
        </w:rPr>
      </w:pPr>
    </w:p>
    <w:p w14:paraId="4AFB86DE" w14:textId="77777777" w:rsidR="00290677" w:rsidRDefault="00290677" w:rsidP="00B021FE">
      <w:pPr>
        <w:jc w:val="both"/>
        <w:rPr>
          <w:rFonts w:ascii="Arial" w:hAnsi="Arial" w:cs="Arial"/>
          <w:sz w:val="32"/>
          <w:szCs w:val="32"/>
        </w:rPr>
      </w:pPr>
    </w:p>
    <w:p w14:paraId="4AFB86DF" w14:textId="77777777" w:rsidR="00290677" w:rsidRDefault="00290677" w:rsidP="00B021FE">
      <w:pPr>
        <w:jc w:val="both"/>
        <w:rPr>
          <w:rFonts w:ascii="Arial" w:hAnsi="Arial" w:cs="Arial"/>
          <w:sz w:val="32"/>
          <w:szCs w:val="32"/>
        </w:rPr>
      </w:pPr>
    </w:p>
    <w:p w14:paraId="4AFB86E0" w14:textId="77777777" w:rsidR="00290677" w:rsidRDefault="00290677" w:rsidP="00B021FE">
      <w:pPr>
        <w:jc w:val="both"/>
        <w:rPr>
          <w:rFonts w:ascii="Arial" w:hAnsi="Arial" w:cs="Arial"/>
          <w:sz w:val="32"/>
          <w:szCs w:val="32"/>
        </w:rPr>
      </w:pPr>
    </w:p>
    <w:p w14:paraId="4AFB86E1" w14:textId="77777777" w:rsidR="00290677" w:rsidRDefault="00290677" w:rsidP="00B021FE">
      <w:pPr>
        <w:jc w:val="both"/>
        <w:rPr>
          <w:rFonts w:ascii="Arial" w:hAnsi="Arial" w:cs="Arial"/>
          <w:sz w:val="32"/>
          <w:szCs w:val="32"/>
        </w:rPr>
      </w:pPr>
    </w:p>
    <w:p w14:paraId="4AFB86E2" w14:textId="77777777" w:rsidR="00290677" w:rsidRDefault="00290677" w:rsidP="00B021FE">
      <w:pPr>
        <w:jc w:val="both"/>
        <w:rPr>
          <w:rFonts w:ascii="Arial" w:hAnsi="Arial" w:cs="Arial"/>
          <w:sz w:val="32"/>
          <w:szCs w:val="32"/>
        </w:rPr>
      </w:pPr>
    </w:p>
    <w:p w14:paraId="4AFB86E3" w14:textId="77777777" w:rsidR="00290677" w:rsidRDefault="00290677" w:rsidP="00B021FE">
      <w:pPr>
        <w:jc w:val="both"/>
        <w:rPr>
          <w:rFonts w:ascii="Arial" w:hAnsi="Arial" w:cs="Arial"/>
          <w:sz w:val="32"/>
          <w:szCs w:val="32"/>
        </w:rPr>
      </w:pPr>
    </w:p>
    <w:p w14:paraId="4AFB86E4" w14:textId="77777777" w:rsidR="00290677" w:rsidRDefault="00CF2021">
      <w:pPr>
        <w:pStyle w:val="Heading1"/>
        <w:rPr>
          <w:b/>
          <w:bCs/>
          <w:color w:val="auto"/>
        </w:rPr>
      </w:pPr>
      <w:bookmarkStart w:id="7" w:name="_Toc168655226"/>
      <w:r>
        <w:rPr>
          <w:b/>
          <w:bCs/>
          <w:color w:val="auto"/>
        </w:rPr>
        <w:t>Reference List</w:t>
      </w:r>
      <w:bookmarkEnd w:id="7"/>
    </w:p>
    <w:p w14:paraId="4AFB86E5" w14:textId="77777777" w:rsidR="00290677" w:rsidRDefault="00290677">
      <w:pPr>
        <w:rPr>
          <w:rFonts w:ascii="Arial" w:hAnsi="Arial" w:cs="Arial"/>
          <w:b/>
          <w:bCs/>
          <w:sz w:val="32"/>
          <w:szCs w:val="32"/>
        </w:rPr>
      </w:pPr>
    </w:p>
    <w:p w14:paraId="791FA78D" w14:textId="77777777" w:rsidR="00B021FE" w:rsidRDefault="00B021FE" w:rsidP="00B021FE">
      <w:pPr>
        <w:pStyle w:val="ListParagraph"/>
        <w:numPr>
          <w:ilvl w:val="0"/>
          <w:numId w:val="1"/>
        </w:numPr>
      </w:pPr>
      <w:r w:rsidRPr="00B021FE">
        <w:rPr>
          <w:rFonts w:ascii="Arial" w:hAnsi="Arial" w:cs="Arial"/>
          <w:sz w:val="24"/>
          <w:szCs w:val="24"/>
        </w:rPr>
        <w:t xml:space="preserve">Acar, A., (2023). ‘Japanese Culture and Traditions’. </w:t>
      </w:r>
      <w:r w:rsidRPr="00B021FE">
        <w:rPr>
          <w:rFonts w:ascii="Arial" w:hAnsi="Arial" w:cs="Arial"/>
          <w:i/>
          <w:iCs/>
          <w:sz w:val="24"/>
          <w:szCs w:val="24"/>
        </w:rPr>
        <w:t xml:space="preserve">Japanese Culture. </w:t>
      </w:r>
      <w:r w:rsidRPr="00B021FE">
        <w:rPr>
          <w:rFonts w:ascii="Arial" w:hAnsi="Arial" w:cs="Arial"/>
          <w:sz w:val="24"/>
          <w:szCs w:val="24"/>
        </w:rPr>
        <w:t xml:space="preserve">[Online] Accessible at: </w:t>
      </w:r>
      <w:hyperlink r:id="rId8" w:history="1">
        <w:r w:rsidRPr="00B021FE">
          <w:rPr>
            <w:rStyle w:val="Hyperlink"/>
            <w:rFonts w:ascii="Arial" w:hAnsi="Arial" w:cs="Arial"/>
            <w:sz w:val="24"/>
            <w:szCs w:val="24"/>
          </w:rPr>
          <w:t>https://mai-ko.com/travel/culture-in-japan/japanese-culture-1/</w:t>
        </w:r>
      </w:hyperlink>
      <w:r w:rsidRPr="00B021FE">
        <w:rPr>
          <w:rFonts w:ascii="Arial" w:hAnsi="Arial" w:cs="Arial"/>
          <w:sz w:val="24"/>
          <w:szCs w:val="24"/>
        </w:rPr>
        <w:t xml:space="preserve"> </w:t>
      </w:r>
    </w:p>
    <w:p w14:paraId="4E6BB9FE" w14:textId="77777777" w:rsidR="00B021FE" w:rsidRDefault="00B021FE" w:rsidP="00B021FE">
      <w:pPr>
        <w:pStyle w:val="ListParagraph"/>
        <w:numPr>
          <w:ilvl w:val="0"/>
          <w:numId w:val="1"/>
        </w:numPr>
      </w:pPr>
      <w:r w:rsidRPr="00B021FE">
        <w:rPr>
          <w:rFonts w:ascii="Arial" w:hAnsi="Arial" w:cs="Arial"/>
          <w:sz w:val="24"/>
          <w:szCs w:val="24"/>
          <w:shd w:val="clear" w:color="auto" w:fill="FFFFFF"/>
          <w:lang w:val="de-DE"/>
        </w:rPr>
        <w:t xml:space="preserve">Baum, T., Dutton, E., Karimi, S., Kokkranikal, J., Devine, F. and Hearns, N., (2007). </w:t>
      </w:r>
      <w:r w:rsidRPr="00B021FE">
        <w:rPr>
          <w:rFonts w:ascii="Arial" w:hAnsi="Arial" w:cs="Arial"/>
          <w:sz w:val="24"/>
          <w:szCs w:val="24"/>
          <w:shd w:val="clear" w:color="auto" w:fill="FFFFFF"/>
        </w:rPr>
        <w:t>‘Cultural diversity in hospitality work’. </w:t>
      </w:r>
      <w:r w:rsidRPr="00B021FE">
        <w:rPr>
          <w:rFonts w:ascii="Arial" w:hAnsi="Arial" w:cs="Arial"/>
          <w:i/>
          <w:iCs/>
          <w:sz w:val="24"/>
          <w:szCs w:val="24"/>
          <w:shd w:val="clear" w:color="auto" w:fill="FFFFFF"/>
        </w:rPr>
        <w:t>Cross cultural management: an international journal</w:t>
      </w:r>
      <w:r w:rsidRPr="00B021FE">
        <w:rPr>
          <w:rFonts w:ascii="Arial" w:hAnsi="Arial" w:cs="Arial"/>
          <w:sz w:val="24"/>
          <w:szCs w:val="24"/>
          <w:shd w:val="clear" w:color="auto" w:fill="FFFFFF"/>
        </w:rPr>
        <w:t>, </w:t>
      </w:r>
      <w:r w:rsidRPr="00B021FE">
        <w:rPr>
          <w:rFonts w:ascii="Arial" w:hAnsi="Arial" w:cs="Arial"/>
          <w:i/>
          <w:iCs/>
          <w:sz w:val="24"/>
          <w:szCs w:val="24"/>
          <w:shd w:val="clear" w:color="auto" w:fill="FFFFFF"/>
        </w:rPr>
        <w:t>14</w:t>
      </w:r>
      <w:r w:rsidRPr="00B021FE">
        <w:rPr>
          <w:rFonts w:ascii="Arial" w:hAnsi="Arial" w:cs="Arial"/>
          <w:sz w:val="24"/>
          <w:szCs w:val="24"/>
          <w:shd w:val="clear" w:color="auto" w:fill="FFFFFF"/>
        </w:rPr>
        <w:t>(3), pp.229-239.</w:t>
      </w:r>
    </w:p>
    <w:p w14:paraId="15CB2329" w14:textId="77777777" w:rsidR="00B021FE" w:rsidRPr="00B021FE" w:rsidRDefault="00B021FE" w:rsidP="00B021FE">
      <w:pPr>
        <w:pStyle w:val="ListParagraph"/>
        <w:numPr>
          <w:ilvl w:val="0"/>
          <w:numId w:val="1"/>
        </w:numPr>
        <w:rPr>
          <w:rFonts w:ascii="Arial" w:hAnsi="Arial" w:cs="Arial"/>
          <w:sz w:val="24"/>
          <w:szCs w:val="24"/>
          <w:shd w:val="clear" w:color="auto" w:fill="FFFFFF"/>
        </w:rPr>
      </w:pPr>
      <w:r w:rsidRPr="00B021FE">
        <w:rPr>
          <w:rFonts w:ascii="Arial" w:hAnsi="Arial" w:cs="Arial"/>
          <w:sz w:val="24"/>
          <w:szCs w:val="24"/>
          <w:shd w:val="clear" w:color="auto" w:fill="FFFFFF"/>
        </w:rPr>
        <w:t xml:space="preserve">Drake-Carnell, F.J., ‘2018’. ‘Old English customs and </w:t>
      </w:r>
      <w:proofErr w:type="gramStart"/>
      <w:r w:rsidRPr="00B021FE">
        <w:rPr>
          <w:rFonts w:ascii="Arial" w:hAnsi="Arial" w:cs="Arial"/>
          <w:sz w:val="24"/>
          <w:szCs w:val="24"/>
          <w:shd w:val="clear" w:color="auto" w:fill="FFFFFF"/>
        </w:rPr>
        <w:t>ceremonies’</w:t>
      </w:r>
      <w:proofErr w:type="gramEnd"/>
      <w:r w:rsidRPr="00B021FE">
        <w:rPr>
          <w:rFonts w:ascii="Arial" w:hAnsi="Arial" w:cs="Arial"/>
          <w:sz w:val="24"/>
          <w:szCs w:val="24"/>
          <w:shd w:val="clear" w:color="auto" w:fill="FFFFFF"/>
        </w:rPr>
        <w:t>. Read Books Ltd.</w:t>
      </w:r>
    </w:p>
    <w:p w14:paraId="2D10A63A" w14:textId="77777777" w:rsidR="00B021FE" w:rsidRDefault="00B021FE" w:rsidP="00B021FE">
      <w:pPr>
        <w:pStyle w:val="ListParagraph"/>
        <w:numPr>
          <w:ilvl w:val="0"/>
          <w:numId w:val="1"/>
        </w:numPr>
      </w:pPr>
      <w:r w:rsidRPr="00B021FE">
        <w:rPr>
          <w:rFonts w:ascii="Arial" w:hAnsi="Arial" w:cs="Arial"/>
          <w:sz w:val="24"/>
          <w:szCs w:val="24"/>
          <w:shd w:val="clear" w:color="auto" w:fill="FFFFFF"/>
        </w:rPr>
        <w:t xml:space="preserve">Gong, Y., (2008). ‘Managing cultural diversity in hospitality industry’. </w:t>
      </w:r>
      <w:r w:rsidRPr="00B021FE">
        <w:rPr>
          <w:rFonts w:ascii="Arial" w:hAnsi="Arial" w:cs="Arial"/>
          <w:i/>
          <w:iCs/>
          <w:sz w:val="24"/>
          <w:szCs w:val="24"/>
          <w:shd w:val="clear" w:color="auto" w:fill="FFFFFF"/>
        </w:rPr>
        <w:t>University of Nevada, Las Vegas.</w:t>
      </w:r>
    </w:p>
    <w:p w14:paraId="72C5B9BD" w14:textId="77777777" w:rsidR="00B021FE" w:rsidRDefault="00B021FE" w:rsidP="00B021FE">
      <w:pPr>
        <w:pStyle w:val="ListParagraph"/>
        <w:numPr>
          <w:ilvl w:val="0"/>
          <w:numId w:val="1"/>
        </w:numPr>
      </w:pPr>
      <w:proofErr w:type="spellStart"/>
      <w:r w:rsidRPr="00B021FE">
        <w:rPr>
          <w:rFonts w:ascii="Arial" w:hAnsi="Arial" w:cs="Arial"/>
          <w:sz w:val="24"/>
          <w:szCs w:val="24"/>
        </w:rPr>
        <w:t>Grobelna</w:t>
      </w:r>
      <w:proofErr w:type="spellEnd"/>
      <w:r w:rsidRPr="00B021FE">
        <w:rPr>
          <w:rFonts w:ascii="Arial" w:hAnsi="Arial" w:cs="Arial"/>
          <w:sz w:val="24"/>
          <w:szCs w:val="24"/>
        </w:rPr>
        <w:t xml:space="preserve">, A., (2015). ‘Intercultural Challenges Facing the Hospitality Industry. Implications for Education and Hospitality Management. </w:t>
      </w:r>
      <w:r w:rsidRPr="00B021FE">
        <w:rPr>
          <w:rFonts w:ascii="Arial" w:hAnsi="Arial" w:cs="Arial"/>
          <w:i/>
          <w:iCs/>
          <w:sz w:val="24"/>
          <w:szCs w:val="24"/>
        </w:rPr>
        <w:t xml:space="preserve">Journal of Intercultural Management, </w:t>
      </w:r>
      <w:r w:rsidRPr="00B021FE">
        <w:rPr>
          <w:rFonts w:ascii="Arial" w:hAnsi="Arial" w:cs="Arial"/>
          <w:sz w:val="24"/>
          <w:szCs w:val="24"/>
        </w:rPr>
        <w:t>7(3), pp. 101-117. DOI: 10.1515/joim-2015-0023</w:t>
      </w:r>
    </w:p>
    <w:p w14:paraId="26736A1E" w14:textId="77777777" w:rsidR="00B021FE" w:rsidRDefault="00B021FE" w:rsidP="00B021FE">
      <w:pPr>
        <w:pStyle w:val="ListParagraph"/>
        <w:numPr>
          <w:ilvl w:val="0"/>
          <w:numId w:val="1"/>
        </w:numPr>
      </w:pPr>
      <w:r w:rsidRPr="00B021FE">
        <w:rPr>
          <w:rFonts w:ascii="Arial" w:hAnsi="Arial" w:cs="Arial"/>
          <w:sz w:val="24"/>
          <w:szCs w:val="24"/>
        </w:rPr>
        <w:t xml:space="preserve">Iddon, C., Ricker, J., (2023). ‘British Culture Facts &amp; Customs’. </w:t>
      </w:r>
      <w:r w:rsidRPr="00B021FE">
        <w:rPr>
          <w:rFonts w:ascii="Arial" w:hAnsi="Arial" w:cs="Arial"/>
          <w:i/>
          <w:iCs/>
          <w:sz w:val="24"/>
          <w:szCs w:val="24"/>
        </w:rPr>
        <w:t xml:space="preserve">World Cultures Lesson Plans &amp; Resources. </w:t>
      </w:r>
      <w:r w:rsidRPr="00B021FE">
        <w:rPr>
          <w:rFonts w:ascii="Arial" w:hAnsi="Arial" w:cs="Arial"/>
          <w:sz w:val="24"/>
          <w:szCs w:val="24"/>
        </w:rPr>
        <w:t xml:space="preserve">[Online] Accessible at: </w:t>
      </w:r>
      <w:hyperlink r:id="rId9" w:anchor=":~:text=A%20passionate%20following%20of%20football,for%20the%20Queen%20and%20Crown" w:history="1">
        <w:r w:rsidRPr="00B021FE">
          <w:rPr>
            <w:rStyle w:val="Hyperlink"/>
            <w:rFonts w:ascii="Arial" w:hAnsi="Arial" w:cs="Arial"/>
            <w:sz w:val="24"/>
            <w:szCs w:val="24"/>
          </w:rPr>
          <w:t>https://study.com/academy/lesson/british-culture-facts-customs.html#:~:text=A%20passionate%20following%20of%20football,for%20the%20Queen%20and%20Crown</w:t>
        </w:r>
      </w:hyperlink>
      <w:r w:rsidRPr="00B021FE">
        <w:rPr>
          <w:rFonts w:ascii="Arial" w:hAnsi="Arial" w:cs="Arial"/>
          <w:sz w:val="24"/>
          <w:szCs w:val="24"/>
        </w:rPr>
        <w:t>. (Accessed at 06/06/2024)</w:t>
      </w:r>
    </w:p>
    <w:p w14:paraId="34BACE73" w14:textId="77777777" w:rsidR="00B021FE" w:rsidRDefault="00B021FE" w:rsidP="00B021FE">
      <w:pPr>
        <w:pStyle w:val="ListParagraph"/>
        <w:numPr>
          <w:ilvl w:val="0"/>
          <w:numId w:val="1"/>
        </w:numPr>
      </w:pPr>
      <w:r w:rsidRPr="00B021FE">
        <w:rPr>
          <w:rFonts w:ascii="Arial" w:hAnsi="Arial" w:cs="Arial"/>
          <w:sz w:val="24"/>
          <w:szCs w:val="24"/>
          <w:shd w:val="clear" w:color="auto" w:fill="FFFFFF"/>
        </w:rPr>
        <w:t>Macfarlane, A., (1995). ‘Work and culture: some comparisons of England and Japan’. </w:t>
      </w:r>
      <w:r w:rsidRPr="00B021FE">
        <w:rPr>
          <w:rFonts w:ascii="Arial" w:hAnsi="Arial" w:cs="Arial"/>
          <w:i/>
          <w:iCs/>
          <w:sz w:val="24"/>
          <w:szCs w:val="24"/>
          <w:shd w:val="clear" w:color="auto" w:fill="FFFFFF"/>
        </w:rPr>
        <w:t>Wellsprings of Achievement: Cultural and Economic Dynamics in Early Modern England and Japan. Aldershot: Variorum</w:t>
      </w:r>
      <w:r w:rsidRPr="00B021FE">
        <w:rPr>
          <w:rFonts w:ascii="Arial" w:hAnsi="Arial" w:cs="Arial"/>
          <w:sz w:val="24"/>
          <w:szCs w:val="24"/>
          <w:shd w:val="clear" w:color="auto" w:fill="FFFFFF"/>
        </w:rPr>
        <w:t>, pp. 201-20.</w:t>
      </w:r>
    </w:p>
    <w:p w14:paraId="7D8EEB8A" w14:textId="77777777" w:rsidR="00B021FE" w:rsidRDefault="00B021FE" w:rsidP="00B021FE">
      <w:pPr>
        <w:pStyle w:val="ListParagraph"/>
        <w:numPr>
          <w:ilvl w:val="0"/>
          <w:numId w:val="1"/>
        </w:numPr>
      </w:pPr>
      <w:proofErr w:type="spellStart"/>
      <w:r w:rsidRPr="00B021FE">
        <w:rPr>
          <w:rFonts w:ascii="Arial" w:hAnsi="Arial" w:cs="Arial"/>
          <w:sz w:val="24"/>
          <w:szCs w:val="24"/>
          <w:shd w:val="clear" w:color="auto" w:fill="FFFFFF"/>
        </w:rPr>
        <w:t>Maslakci</w:t>
      </w:r>
      <w:proofErr w:type="spellEnd"/>
      <w:r w:rsidRPr="00B021FE">
        <w:rPr>
          <w:rFonts w:ascii="Arial" w:hAnsi="Arial" w:cs="Arial"/>
          <w:sz w:val="24"/>
          <w:szCs w:val="24"/>
          <w:shd w:val="clear" w:color="auto" w:fill="FFFFFF"/>
        </w:rPr>
        <w:t>, A. and Sesen, H., (2019). ‘Multicultural Personality Traits and Employee-Perceived Service Quality in the Hospitality Industry: The Mediating Role of Cross-Cultural Psychological Capital’. </w:t>
      </w:r>
      <w:proofErr w:type="spellStart"/>
      <w:r w:rsidRPr="00B021FE">
        <w:rPr>
          <w:rFonts w:ascii="Arial" w:hAnsi="Arial" w:cs="Arial"/>
          <w:i/>
          <w:iCs/>
          <w:sz w:val="24"/>
          <w:szCs w:val="24"/>
          <w:shd w:val="clear" w:color="auto" w:fill="FFFFFF"/>
        </w:rPr>
        <w:t>Revista</w:t>
      </w:r>
      <w:proofErr w:type="spellEnd"/>
      <w:r w:rsidRPr="00B021FE">
        <w:rPr>
          <w:rFonts w:ascii="Arial" w:hAnsi="Arial" w:cs="Arial"/>
          <w:i/>
          <w:iCs/>
          <w:sz w:val="24"/>
          <w:szCs w:val="24"/>
          <w:shd w:val="clear" w:color="auto" w:fill="FFFFFF"/>
        </w:rPr>
        <w:t xml:space="preserve"> de </w:t>
      </w:r>
      <w:proofErr w:type="spellStart"/>
      <w:r w:rsidRPr="00B021FE">
        <w:rPr>
          <w:rFonts w:ascii="Arial" w:hAnsi="Arial" w:cs="Arial"/>
          <w:i/>
          <w:iCs/>
          <w:sz w:val="24"/>
          <w:szCs w:val="24"/>
          <w:shd w:val="clear" w:color="auto" w:fill="FFFFFF"/>
        </w:rPr>
        <w:t>Cercetare</w:t>
      </w:r>
      <w:proofErr w:type="spellEnd"/>
      <w:r w:rsidRPr="00B021FE">
        <w:rPr>
          <w:rFonts w:ascii="Arial" w:hAnsi="Arial" w:cs="Arial"/>
          <w:i/>
          <w:iCs/>
          <w:sz w:val="24"/>
          <w:szCs w:val="24"/>
          <w:shd w:val="clear" w:color="auto" w:fill="FFFFFF"/>
        </w:rPr>
        <w:t xml:space="preserve"> </w:t>
      </w:r>
      <w:proofErr w:type="spellStart"/>
      <w:r w:rsidRPr="00B021FE">
        <w:rPr>
          <w:rFonts w:ascii="Arial" w:hAnsi="Arial" w:cs="Arial"/>
          <w:i/>
          <w:iCs/>
          <w:sz w:val="24"/>
          <w:szCs w:val="24"/>
          <w:shd w:val="clear" w:color="auto" w:fill="FFFFFF"/>
        </w:rPr>
        <w:t>si</w:t>
      </w:r>
      <w:proofErr w:type="spellEnd"/>
      <w:r w:rsidRPr="00B021FE">
        <w:rPr>
          <w:rFonts w:ascii="Arial" w:hAnsi="Arial" w:cs="Arial"/>
          <w:i/>
          <w:iCs/>
          <w:sz w:val="24"/>
          <w:szCs w:val="24"/>
          <w:shd w:val="clear" w:color="auto" w:fill="FFFFFF"/>
        </w:rPr>
        <w:t xml:space="preserve"> </w:t>
      </w:r>
      <w:proofErr w:type="spellStart"/>
      <w:r w:rsidRPr="00B021FE">
        <w:rPr>
          <w:rFonts w:ascii="Arial" w:hAnsi="Arial" w:cs="Arial"/>
          <w:i/>
          <w:iCs/>
          <w:sz w:val="24"/>
          <w:szCs w:val="24"/>
          <w:shd w:val="clear" w:color="auto" w:fill="FFFFFF"/>
        </w:rPr>
        <w:t>Interventie</w:t>
      </w:r>
      <w:proofErr w:type="spellEnd"/>
      <w:r w:rsidRPr="00B021FE">
        <w:rPr>
          <w:rFonts w:ascii="Arial" w:hAnsi="Arial" w:cs="Arial"/>
          <w:i/>
          <w:iCs/>
          <w:sz w:val="24"/>
          <w:szCs w:val="24"/>
          <w:shd w:val="clear" w:color="auto" w:fill="FFFFFF"/>
        </w:rPr>
        <w:t xml:space="preserve"> </w:t>
      </w:r>
      <w:proofErr w:type="spellStart"/>
      <w:r w:rsidRPr="00B021FE">
        <w:rPr>
          <w:rFonts w:ascii="Arial" w:hAnsi="Arial" w:cs="Arial"/>
          <w:i/>
          <w:iCs/>
          <w:sz w:val="24"/>
          <w:szCs w:val="24"/>
          <w:shd w:val="clear" w:color="auto" w:fill="FFFFFF"/>
        </w:rPr>
        <w:t>Sociala</w:t>
      </w:r>
      <w:proofErr w:type="spellEnd"/>
      <w:r w:rsidRPr="00B021FE">
        <w:rPr>
          <w:rFonts w:ascii="Arial" w:hAnsi="Arial" w:cs="Arial"/>
          <w:sz w:val="24"/>
          <w:szCs w:val="24"/>
          <w:shd w:val="clear" w:color="auto" w:fill="FFFFFF"/>
        </w:rPr>
        <w:t>, </w:t>
      </w:r>
      <w:r w:rsidRPr="00B021FE">
        <w:rPr>
          <w:rFonts w:ascii="Arial" w:hAnsi="Arial" w:cs="Arial"/>
          <w:i/>
          <w:iCs/>
          <w:sz w:val="24"/>
          <w:szCs w:val="24"/>
          <w:shd w:val="clear" w:color="auto" w:fill="FFFFFF"/>
        </w:rPr>
        <w:t>65</w:t>
      </w:r>
      <w:r w:rsidRPr="00B021FE">
        <w:rPr>
          <w:rFonts w:ascii="Arial" w:hAnsi="Arial" w:cs="Arial"/>
          <w:sz w:val="24"/>
          <w:szCs w:val="24"/>
          <w:shd w:val="clear" w:color="auto" w:fill="FFFFFF"/>
        </w:rPr>
        <w:t>.</w:t>
      </w:r>
    </w:p>
    <w:p w14:paraId="6EEEFE32" w14:textId="77777777" w:rsidR="00B021FE" w:rsidRDefault="00B021FE" w:rsidP="00B021FE">
      <w:pPr>
        <w:pStyle w:val="ListParagraph"/>
        <w:numPr>
          <w:ilvl w:val="0"/>
          <w:numId w:val="1"/>
        </w:numPr>
      </w:pPr>
      <w:r w:rsidRPr="00B021FE">
        <w:rPr>
          <w:rFonts w:ascii="Arial" w:hAnsi="Arial" w:cs="Arial"/>
          <w:sz w:val="24"/>
          <w:szCs w:val="24"/>
        </w:rPr>
        <w:t xml:space="preserve">Tabata, N., Vrij, A., (2020). ‘Differences between Japanese and British participants in self-reported verbal strategies to appear convincing’. </w:t>
      </w:r>
      <w:proofErr w:type="spellStart"/>
      <w:r w:rsidRPr="00B021FE">
        <w:rPr>
          <w:rFonts w:ascii="Arial" w:hAnsi="Arial" w:cs="Arial"/>
          <w:i/>
          <w:iCs/>
          <w:sz w:val="24"/>
          <w:szCs w:val="24"/>
        </w:rPr>
        <w:t>Psychiatr</w:t>
      </w:r>
      <w:proofErr w:type="spellEnd"/>
      <w:r w:rsidRPr="00B021FE">
        <w:rPr>
          <w:rFonts w:ascii="Arial" w:hAnsi="Arial" w:cs="Arial"/>
          <w:i/>
          <w:iCs/>
          <w:sz w:val="24"/>
          <w:szCs w:val="24"/>
        </w:rPr>
        <w:t xml:space="preserve"> </w:t>
      </w:r>
      <w:proofErr w:type="spellStart"/>
      <w:r w:rsidRPr="00B021FE">
        <w:rPr>
          <w:rFonts w:ascii="Arial" w:hAnsi="Arial" w:cs="Arial"/>
          <w:i/>
          <w:iCs/>
          <w:sz w:val="24"/>
          <w:szCs w:val="24"/>
        </w:rPr>
        <w:t>Psychol</w:t>
      </w:r>
      <w:proofErr w:type="spellEnd"/>
      <w:r w:rsidRPr="00B021FE">
        <w:rPr>
          <w:rFonts w:ascii="Arial" w:hAnsi="Arial" w:cs="Arial"/>
          <w:i/>
          <w:iCs/>
          <w:sz w:val="24"/>
          <w:szCs w:val="24"/>
        </w:rPr>
        <w:t xml:space="preserve"> Law, </w:t>
      </w:r>
      <w:r w:rsidRPr="00B021FE">
        <w:rPr>
          <w:rFonts w:ascii="Arial" w:hAnsi="Arial" w:cs="Arial"/>
          <w:sz w:val="24"/>
          <w:szCs w:val="24"/>
        </w:rPr>
        <w:t>30(2), pp. 177-191. DOI: 10.1080/13218719.2021.2003269</w:t>
      </w:r>
    </w:p>
    <w:p w14:paraId="619AC81C" w14:textId="77777777" w:rsidR="00B021FE" w:rsidRDefault="00B021FE" w:rsidP="00B021FE">
      <w:pPr>
        <w:pStyle w:val="ListParagraph"/>
        <w:numPr>
          <w:ilvl w:val="0"/>
          <w:numId w:val="1"/>
        </w:numPr>
      </w:pPr>
      <w:r w:rsidRPr="00B021FE">
        <w:rPr>
          <w:rFonts w:ascii="Arial" w:hAnsi="Arial" w:cs="Arial"/>
          <w:sz w:val="24"/>
          <w:szCs w:val="24"/>
        </w:rPr>
        <w:t xml:space="preserve">Wang, H., Waldman, D., and Zhang, H., (2012). ‘Strategic leadership across cultures: Current findings and future research </w:t>
      </w:r>
      <w:proofErr w:type="gramStart"/>
      <w:r w:rsidRPr="00B021FE">
        <w:rPr>
          <w:rFonts w:ascii="Arial" w:hAnsi="Arial" w:cs="Arial"/>
          <w:sz w:val="24"/>
          <w:szCs w:val="24"/>
        </w:rPr>
        <w:t>directions’</w:t>
      </w:r>
      <w:proofErr w:type="gramEnd"/>
      <w:r w:rsidRPr="00B021FE">
        <w:rPr>
          <w:rFonts w:ascii="Arial" w:hAnsi="Arial" w:cs="Arial"/>
          <w:sz w:val="24"/>
          <w:szCs w:val="24"/>
        </w:rPr>
        <w:t xml:space="preserve">. </w:t>
      </w:r>
      <w:r w:rsidRPr="00B021FE">
        <w:rPr>
          <w:rFonts w:ascii="Arial" w:hAnsi="Arial" w:cs="Arial"/>
          <w:i/>
          <w:iCs/>
          <w:sz w:val="24"/>
          <w:szCs w:val="24"/>
        </w:rPr>
        <w:t xml:space="preserve">Journal of World Business, </w:t>
      </w:r>
      <w:r w:rsidRPr="00B021FE">
        <w:rPr>
          <w:rFonts w:ascii="Arial" w:hAnsi="Arial" w:cs="Arial"/>
          <w:sz w:val="24"/>
          <w:szCs w:val="24"/>
        </w:rPr>
        <w:t>47(4), pp. 571-580. DOI: 10.1016/j.jwb.2012.01.010</w:t>
      </w:r>
    </w:p>
    <w:sectPr w:rsidR="00B021FE" w:rsidSect="00B021FE">
      <w:footerReference w:type="default" r:id="rId10"/>
      <w:pgSz w:w="11906" w:h="16838"/>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FB867D" w14:textId="77777777" w:rsidR="00CF2021" w:rsidRDefault="00CF2021">
      <w:pPr>
        <w:spacing w:after="0" w:line="240" w:lineRule="auto"/>
      </w:pPr>
      <w:r>
        <w:separator/>
      </w:r>
    </w:p>
  </w:endnote>
  <w:endnote w:type="continuationSeparator" w:id="0">
    <w:p w14:paraId="4AFB867F" w14:textId="77777777" w:rsidR="00CF2021" w:rsidRDefault="00CF20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48629546"/>
      <w:docPartObj>
        <w:docPartGallery w:val="Page Numbers (Bottom of Page)"/>
        <w:docPartUnique/>
      </w:docPartObj>
    </w:sdtPr>
    <w:sdtEndPr>
      <w:rPr>
        <w:color w:val="7F7F7F" w:themeColor="background1" w:themeShade="7F"/>
        <w:spacing w:val="60"/>
      </w:rPr>
    </w:sdtEndPr>
    <w:sdtContent>
      <w:p w14:paraId="25895C0A" w14:textId="16000841" w:rsidR="00B021FE" w:rsidRDefault="00B021F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037BF56" w14:textId="77777777" w:rsidR="00B021FE" w:rsidRDefault="00B021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FB8679" w14:textId="77777777" w:rsidR="00CF2021" w:rsidRDefault="00CF2021">
      <w:pPr>
        <w:spacing w:after="0" w:line="240" w:lineRule="auto"/>
      </w:pPr>
      <w:r>
        <w:rPr>
          <w:color w:val="000000"/>
        </w:rPr>
        <w:separator/>
      </w:r>
    </w:p>
  </w:footnote>
  <w:footnote w:type="continuationSeparator" w:id="0">
    <w:p w14:paraId="4AFB867B" w14:textId="77777777" w:rsidR="00CF2021" w:rsidRDefault="00CF20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63506D"/>
    <w:multiLevelType w:val="hybridMultilevel"/>
    <w:tmpl w:val="7990EF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97421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0677"/>
    <w:rsid w:val="000D3F87"/>
    <w:rsid w:val="000F08C7"/>
    <w:rsid w:val="00290677"/>
    <w:rsid w:val="00434B61"/>
    <w:rsid w:val="00B021FE"/>
    <w:rsid w:val="00BB28F9"/>
    <w:rsid w:val="00CF2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FB8679"/>
  <w15:docId w15:val="{D8CB83F5-0A89-4303-A446-2DC0AC354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ptos" w:eastAsia="Aptos" w:hAnsi="Aptos" w:cs="Times New Roman"/>
        <w:kern w:val="3"/>
        <w:sz w:val="22"/>
        <w:szCs w:val="22"/>
        <w:lang w:val="en-GB" w:eastAsia="en-US" w:bidi="ar-SA"/>
      </w:rPr>
    </w:rPrDefault>
    <w:pPrDefault>
      <w:pPr>
        <w:autoSpaceDN w:val="0"/>
        <w:spacing w:after="160" w:line="251"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TOCHeading">
    <w:name w:val="TOC Heading"/>
    <w:basedOn w:val="Heading1"/>
    <w:next w:val="Normal"/>
    <w:pPr>
      <w:suppressAutoHyphens w:val="0"/>
      <w:spacing w:before="240" w:after="0" w:line="254" w:lineRule="auto"/>
    </w:pPr>
    <w:rPr>
      <w:kern w:val="0"/>
      <w:sz w:val="32"/>
      <w:szCs w:val="32"/>
      <w:lang w:val="en-US"/>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Header">
    <w:name w:val="header"/>
    <w:basedOn w:val="Normal"/>
    <w:link w:val="HeaderChar"/>
    <w:uiPriority w:val="99"/>
    <w:unhideWhenUsed/>
    <w:rsid w:val="00B02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21FE"/>
  </w:style>
  <w:style w:type="paragraph" w:styleId="Footer">
    <w:name w:val="footer"/>
    <w:basedOn w:val="Normal"/>
    <w:link w:val="FooterChar"/>
    <w:uiPriority w:val="99"/>
    <w:unhideWhenUsed/>
    <w:rsid w:val="00B02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21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mai-ko.com/travel/culture-in-japan/japanese-culture-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study.com/academy/lesson/british-culture-facts-custom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7</Pages>
  <Words>1383</Words>
  <Characters>8965</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Tanase</dc:creator>
  <dc:description/>
  <cp:lastModifiedBy>Iulia Tanase</cp:lastModifiedBy>
  <cp:revision>2</cp:revision>
  <dcterms:created xsi:type="dcterms:W3CDTF">2024-06-07T20:02:00Z</dcterms:created>
  <dcterms:modified xsi:type="dcterms:W3CDTF">2024-06-07T20:02:00Z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162689f5-96be-4424-ab13-cfd1c1485017</vt:lpwstr>
  </property>
</Properties>
</file>