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DAFFE" w14:textId="7DF8777F" w:rsidR="78C2D6D8" w:rsidRPr="00DB228D" w:rsidRDefault="78C2D6D8" w:rsidP="70BC24BD">
      <w:pPr>
        <w:jc w:val="center"/>
        <w:rPr>
          <w:rFonts w:ascii="Arial" w:hAnsi="Arial" w:cs="Arial"/>
        </w:rPr>
      </w:pPr>
      <w:r w:rsidRPr="00DB228D">
        <w:rPr>
          <w:rFonts w:ascii="Arial" w:hAnsi="Arial" w:cs="Arial"/>
        </w:rPr>
        <w:t xml:space="preserve">Reflective fieldwork management plan for </w:t>
      </w:r>
      <w:proofErr w:type="spellStart"/>
      <w:r w:rsidRPr="00DB228D">
        <w:rPr>
          <w:rFonts w:ascii="Arial" w:hAnsi="Arial" w:cs="Arial"/>
        </w:rPr>
        <w:t>Dinefwr</w:t>
      </w:r>
      <w:proofErr w:type="spellEnd"/>
      <w:r w:rsidRPr="00DB228D">
        <w:rPr>
          <w:rFonts w:ascii="Arial" w:hAnsi="Arial" w:cs="Arial"/>
        </w:rPr>
        <w:t xml:space="preserve"> Park</w:t>
      </w:r>
    </w:p>
    <w:p w14:paraId="1D1E063B" w14:textId="628E5A0E" w:rsidR="78C2D6D8" w:rsidRPr="00DB228D" w:rsidRDefault="78C2D6D8" w:rsidP="70BC24BD">
      <w:pPr>
        <w:jc w:val="center"/>
        <w:rPr>
          <w:rFonts w:ascii="Arial" w:hAnsi="Arial" w:cs="Arial"/>
        </w:rPr>
      </w:pPr>
      <w:r w:rsidRPr="00DB228D">
        <w:rPr>
          <w:rFonts w:ascii="Arial" w:hAnsi="Arial" w:cs="Arial"/>
        </w:rPr>
        <w:t xml:space="preserve">BMOE6003- Anthony Burns </w:t>
      </w:r>
    </w:p>
    <w:p w14:paraId="5B3BBFAE" w14:textId="53F4B09E" w:rsidR="78C2D6D8" w:rsidRPr="00DB228D" w:rsidRDefault="78C2D6D8" w:rsidP="70BC24BD">
      <w:pPr>
        <w:jc w:val="center"/>
        <w:rPr>
          <w:rFonts w:ascii="Arial" w:hAnsi="Arial" w:cs="Arial"/>
        </w:rPr>
      </w:pPr>
      <w:r w:rsidRPr="00DB228D">
        <w:rPr>
          <w:rFonts w:ascii="Arial" w:hAnsi="Arial" w:cs="Arial"/>
        </w:rPr>
        <w:t>Morgan Evans – 2005007</w:t>
      </w:r>
    </w:p>
    <w:p w14:paraId="0B7A400F" w14:textId="74D7CB62" w:rsidR="70BC24BD" w:rsidRPr="00DB228D" w:rsidRDefault="70BC24BD">
      <w:pPr>
        <w:rPr>
          <w:rFonts w:ascii="Arial" w:hAnsi="Arial" w:cs="Arial"/>
        </w:rPr>
      </w:pPr>
      <w:r w:rsidRPr="00DB228D">
        <w:rPr>
          <w:rFonts w:ascii="Arial" w:hAnsi="Arial" w:cs="Arial"/>
        </w:rPr>
        <w:br w:type="page"/>
      </w:r>
    </w:p>
    <w:p w14:paraId="178BD01C" w14:textId="61752700" w:rsidR="6B512148" w:rsidRPr="00DB228D" w:rsidRDefault="6B512148" w:rsidP="70BC24BD">
      <w:pPr>
        <w:rPr>
          <w:rFonts w:ascii="Arial" w:hAnsi="Arial" w:cs="Arial"/>
        </w:rPr>
      </w:pPr>
      <w:r w:rsidRPr="00DB228D">
        <w:rPr>
          <w:rFonts w:ascii="Arial" w:hAnsi="Arial" w:cs="Arial"/>
        </w:rPr>
        <w:lastRenderedPageBreak/>
        <w:t xml:space="preserve">Table of Contents </w:t>
      </w:r>
    </w:p>
    <w:p w14:paraId="2F590D94" w14:textId="643C2EE4" w:rsidR="78C2D6D8" w:rsidRPr="00DB228D" w:rsidRDefault="78C2D6D8" w:rsidP="70BC24BD">
      <w:pPr>
        <w:pStyle w:val="ListParagraph"/>
        <w:numPr>
          <w:ilvl w:val="0"/>
          <w:numId w:val="7"/>
        </w:numPr>
        <w:rPr>
          <w:rFonts w:ascii="Arial" w:hAnsi="Arial" w:cs="Arial"/>
        </w:rPr>
      </w:pPr>
      <w:r w:rsidRPr="00DB228D">
        <w:rPr>
          <w:rFonts w:ascii="Arial" w:hAnsi="Arial" w:cs="Arial"/>
        </w:rPr>
        <w:t xml:space="preserve">Executive summary </w:t>
      </w:r>
    </w:p>
    <w:p w14:paraId="655C3605" w14:textId="164D3525" w:rsidR="78C2D6D8" w:rsidRPr="00DB228D" w:rsidRDefault="78C2D6D8" w:rsidP="70BC24BD">
      <w:pPr>
        <w:pStyle w:val="ListParagraph"/>
        <w:numPr>
          <w:ilvl w:val="0"/>
          <w:numId w:val="7"/>
        </w:numPr>
        <w:rPr>
          <w:rFonts w:ascii="Arial" w:hAnsi="Arial" w:cs="Arial"/>
        </w:rPr>
      </w:pPr>
      <w:r w:rsidRPr="00DB228D">
        <w:rPr>
          <w:rFonts w:ascii="Arial" w:hAnsi="Arial" w:cs="Arial"/>
        </w:rPr>
        <w:t xml:space="preserve">Introduction </w:t>
      </w:r>
    </w:p>
    <w:p w14:paraId="461A19DC" w14:textId="7696A031" w:rsidR="457798D3" w:rsidRPr="00DB228D" w:rsidRDefault="457798D3" w:rsidP="70BC24BD">
      <w:pPr>
        <w:pStyle w:val="ListParagraph"/>
        <w:numPr>
          <w:ilvl w:val="0"/>
          <w:numId w:val="7"/>
        </w:numPr>
        <w:rPr>
          <w:rFonts w:ascii="Arial" w:hAnsi="Arial" w:cs="Arial"/>
        </w:rPr>
      </w:pPr>
      <w:r w:rsidRPr="00DB228D">
        <w:rPr>
          <w:rFonts w:ascii="Arial" w:hAnsi="Arial" w:cs="Arial"/>
        </w:rPr>
        <w:t xml:space="preserve">Body </w:t>
      </w:r>
    </w:p>
    <w:p w14:paraId="0D3ACA72" w14:textId="46AD8B43" w:rsidR="78C2D6D8" w:rsidRPr="00DB228D" w:rsidRDefault="78C2D6D8" w:rsidP="70BC24BD">
      <w:pPr>
        <w:pStyle w:val="ListParagraph"/>
        <w:numPr>
          <w:ilvl w:val="1"/>
          <w:numId w:val="7"/>
        </w:numPr>
        <w:rPr>
          <w:rFonts w:ascii="Arial" w:hAnsi="Arial" w:cs="Arial"/>
        </w:rPr>
      </w:pPr>
      <w:r w:rsidRPr="00DB228D">
        <w:rPr>
          <w:rFonts w:ascii="Arial" w:hAnsi="Arial" w:cs="Arial"/>
        </w:rPr>
        <w:t xml:space="preserve">Management plan </w:t>
      </w:r>
    </w:p>
    <w:p w14:paraId="79CB0BCE" w14:textId="3080B150" w:rsidR="78C2D6D8" w:rsidRPr="00DB228D" w:rsidRDefault="78C2D6D8" w:rsidP="70BC24BD">
      <w:pPr>
        <w:pStyle w:val="ListParagraph"/>
        <w:numPr>
          <w:ilvl w:val="1"/>
          <w:numId w:val="7"/>
        </w:numPr>
        <w:rPr>
          <w:rFonts w:ascii="Arial" w:hAnsi="Arial" w:cs="Arial"/>
        </w:rPr>
      </w:pPr>
      <w:r w:rsidRPr="00DB228D">
        <w:rPr>
          <w:rFonts w:ascii="Arial" w:hAnsi="Arial" w:cs="Arial"/>
        </w:rPr>
        <w:t>Conceptual frameworks</w:t>
      </w:r>
      <w:r w:rsidR="2911D25B" w:rsidRPr="00DB228D">
        <w:rPr>
          <w:rFonts w:ascii="Arial" w:hAnsi="Arial" w:cs="Arial"/>
        </w:rPr>
        <w:t xml:space="preserve"> and their applications in context </w:t>
      </w:r>
    </w:p>
    <w:p w14:paraId="0C1CA653" w14:textId="60BC0D95" w:rsidR="52684A59" w:rsidRPr="00DB228D" w:rsidRDefault="52684A59" w:rsidP="70BC24BD">
      <w:pPr>
        <w:pStyle w:val="ListParagraph"/>
        <w:numPr>
          <w:ilvl w:val="0"/>
          <w:numId w:val="7"/>
        </w:numPr>
        <w:rPr>
          <w:rFonts w:ascii="Arial" w:hAnsi="Arial" w:cs="Arial"/>
        </w:rPr>
      </w:pPr>
      <w:r w:rsidRPr="00DB228D">
        <w:rPr>
          <w:rFonts w:ascii="Arial" w:hAnsi="Arial" w:cs="Arial"/>
        </w:rPr>
        <w:t>Conclusion</w:t>
      </w:r>
    </w:p>
    <w:p w14:paraId="6E83BB71" w14:textId="24F63749" w:rsidR="52684A59" w:rsidRPr="00DB228D" w:rsidRDefault="52684A59" w:rsidP="70BC24BD">
      <w:pPr>
        <w:pStyle w:val="ListParagraph"/>
        <w:numPr>
          <w:ilvl w:val="0"/>
          <w:numId w:val="7"/>
        </w:numPr>
        <w:rPr>
          <w:rFonts w:ascii="Arial" w:hAnsi="Arial" w:cs="Arial"/>
        </w:rPr>
      </w:pPr>
      <w:r w:rsidRPr="00DB228D">
        <w:rPr>
          <w:rFonts w:ascii="Arial" w:hAnsi="Arial" w:cs="Arial"/>
        </w:rPr>
        <w:t xml:space="preserve">References </w:t>
      </w:r>
    </w:p>
    <w:p w14:paraId="5D0ED703" w14:textId="40CBC127" w:rsidR="70BC24BD" w:rsidRPr="00DB228D" w:rsidRDefault="70BC24BD">
      <w:pPr>
        <w:rPr>
          <w:rFonts w:ascii="Arial" w:hAnsi="Arial" w:cs="Arial"/>
        </w:rPr>
      </w:pPr>
      <w:r w:rsidRPr="00DB228D">
        <w:rPr>
          <w:rFonts w:ascii="Arial" w:hAnsi="Arial" w:cs="Arial"/>
        </w:rPr>
        <w:br w:type="page"/>
      </w:r>
    </w:p>
    <w:p w14:paraId="307A7E15" w14:textId="6A957622" w:rsidR="1A0EF57F" w:rsidRPr="00DB228D" w:rsidRDefault="1A0EF57F" w:rsidP="70BC24BD">
      <w:pPr>
        <w:rPr>
          <w:rFonts w:ascii="Arial" w:hAnsi="Arial" w:cs="Arial"/>
        </w:rPr>
      </w:pPr>
      <w:r w:rsidRPr="00DB228D">
        <w:rPr>
          <w:rFonts w:ascii="Arial" w:hAnsi="Arial" w:cs="Arial"/>
        </w:rPr>
        <w:lastRenderedPageBreak/>
        <w:t>Executive summary:</w:t>
      </w:r>
    </w:p>
    <w:p w14:paraId="144E4204" w14:textId="6306E133" w:rsidR="4FCBE996" w:rsidRPr="00DB228D" w:rsidRDefault="00813E8B" w:rsidP="70BC24BD">
      <w:pPr>
        <w:rPr>
          <w:rFonts w:ascii="Arial" w:hAnsi="Arial" w:cs="Arial"/>
          <w:highlight w:val="yellow"/>
        </w:rPr>
      </w:pPr>
      <w:proofErr w:type="spellStart"/>
      <w:r w:rsidRPr="00DB228D">
        <w:rPr>
          <w:rFonts w:ascii="Arial" w:eastAsia="Times New Roman" w:hAnsi="Arial" w:cs="Arial"/>
          <w:color w:val="000000"/>
        </w:rPr>
        <w:t>Dinefwr</w:t>
      </w:r>
      <w:proofErr w:type="spellEnd"/>
      <w:r w:rsidRPr="00DB228D">
        <w:rPr>
          <w:rFonts w:ascii="Arial" w:eastAsia="Times New Roman" w:hAnsi="Arial" w:cs="Arial"/>
          <w:color w:val="000000"/>
        </w:rPr>
        <w:t xml:space="preserve"> Park in </w:t>
      </w:r>
      <w:proofErr w:type="spellStart"/>
      <w:r w:rsidRPr="00DB228D">
        <w:rPr>
          <w:rFonts w:ascii="Arial" w:eastAsia="Times New Roman" w:hAnsi="Arial" w:cs="Arial"/>
          <w:color w:val="000000"/>
        </w:rPr>
        <w:t>Llandeilo</w:t>
      </w:r>
      <w:proofErr w:type="spellEnd"/>
      <w:r w:rsidRPr="00DB228D">
        <w:rPr>
          <w:rFonts w:ascii="Arial" w:eastAsia="Times New Roman" w:hAnsi="Arial" w:cs="Arial"/>
          <w:color w:val="000000"/>
        </w:rPr>
        <w:t>, Wales, is a popular outdoor recreation destination that offers a blend of nature and historical significance. With attractions like rare species of lichen and insects, historic infrastructure, and 800 acres of parkland, the park is a valuable resource for both academic study and personal growth. Outdoor recreation involves activities such as hiking, camping, and observing wildlife, fostering a connection with the environment and personal development. However, the park faces challenges such as environmental degradation, foot traffic on fragile ecosystems, and threats to historic structures and cultural artifacts.</w:t>
      </w:r>
      <w:r w:rsidRPr="00DB228D">
        <w:rPr>
          <w:rFonts w:ascii="Arial" w:eastAsia="Times New Roman" w:hAnsi="Arial" w:cs="Arial"/>
          <w:color w:val="000000"/>
        </w:rPr>
        <w:br/>
      </w:r>
      <w:r w:rsidRPr="00DB228D">
        <w:rPr>
          <w:rFonts w:ascii="Arial" w:eastAsia="Times New Roman" w:hAnsi="Arial" w:cs="Arial"/>
          <w:color w:val="000000"/>
        </w:rPr>
        <w:br/>
        <w:t>To address these issues, a comprehensive management plan is needed. This plan should include visitor education and interpretation programs, allocating resources towards enhancing infrastructure, implementing a robust monitoring and enforcement framework, and collaborating with local communities, conservation groups, and governmental bodies. Collaborations can help the park maintain its natural and cultural treasures while ensuring sustainable visitor enjoyment.</w:t>
      </w:r>
      <w:r w:rsidRPr="00DB228D">
        <w:rPr>
          <w:rFonts w:ascii="Arial" w:eastAsia="Times New Roman" w:hAnsi="Arial" w:cs="Arial"/>
          <w:color w:val="000000"/>
        </w:rPr>
        <w:br/>
      </w:r>
      <w:r w:rsidRPr="00DB228D">
        <w:rPr>
          <w:rFonts w:ascii="Arial" w:eastAsia="Times New Roman" w:hAnsi="Arial" w:cs="Arial"/>
          <w:color w:val="000000"/>
        </w:rPr>
        <w:br/>
        <w:t xml:space="preserve">The management of </w:t>
      </w:r>
      <w:proofErr w:type="spellStart"/>
      <w:r w:rsidRPr="00DB228D">
        <w:rPr>
          <w:rFonts w:ascii="Arial" w:eastAsia="Times New Roman" w:hAnsi="Arial" w:cs="Arial"/>
          <w:color w:val="000000"/>
        </w:rPr>
        <w:t>Dinefwr</w:t>
      </w:r>
      <w:proofErr w:type="spellEnd"/>
      <w:r w:rsidRPr="00DB228D">
        <w:rPr>
          <w:rFonts w:ascii="Arial" w:eastAsia="Times New Roman" w:hAnsi="Arial" w:cs="Arial"/>
          <w:color w:val="000000"/>
        </w:rPr>
        <w:t xml:space="preserve"> Park requires a holistic approach integrating principles of outdoor recreation, natural resource management, and visitor experience. By adopting conceptual frameworks such as the ROS and LAC, managers can assess diverse recreational opportunities, set goals for resource protection and visitor experience, and implement strategies to achieve these objectives.</w:t>
      </w:r>
    </w:p>
    <w:p w14:paraId="488AE780" w14:textId="73DE8AA7" w:rsidR="23D1E7B3" w:rsidRPr="00DB228D" w:rsidRDefault="23D1E7B3" w:rsidP="70BC24BD">
      <w:pPr>
        <w:rPr>
          <w:rFonts w:ascii="Arial" w:eastAsia="Aptos" w:hAnsi="Arial" w:cs="Arial"/>
        </w:rPr>
      </w:pPr>
      <w:r w:rsidRPr="00DB228D">
        <w:rPr>
          <w:rFonts w:ascii="Arial" w:eastAsia="Aptos" w:hAnsi="Arial" w:cs="Arial"/>
        </w:rPr>
        <w:t>Introduction:</w:t>
      </w:r>
    </w:p>
    <w:p w14:paraId="07532096" w14:textId="49F09F63" w:rsidR="2954F0A9" w:rsidRPr="00DB228D" w:rsidRDefault="2954F0A9" w:rsidP="7E66BC03">
      <w:pPr>
        <w:rPr>
          <w:rFonts w:ascii="Arial" w:hAnsi="Arial" w:cs="Arial"/>
        </w:rPr>
      </w:pPr>
      <w:proofErr w:type="spellStart"/>
      <w:r w:rsidRPr="00DB228D">
        <w:rPr>
          <w:rFonts w:ascii="Arial" w:hAnsi="Arial" w:cs="Arial"/>
        </w:rPr>
        <w:t>Dinefwr</w:t>
      </w:r>
      <w:proofErr w:type="spellEnd"/>
      <w:r w:rsidRPr="00DB228D">
        <w:rPr>
          <w:rFonts w:ascii="Arial" w:hAnsi="Arial" w:cs="Arial"/>
        </w:rPr>
        <w:t xml:space="preserve"> Park, located in </w:t>
      </w:r>
      <w:proofErr w:type="spellStart"/>
      <w:r w:rsidR="3994A6DC" w:rsidRPr="00DB228D">
        <w:rPr>
          <w:rFonts w:ascii="Arial" w:hAnsi="Arial" w:cs="Arial"/>
        </w:rPr>
        <w:t>L</w:t>
      </w:r>
      <w:r w:rsidRPr="00DB228D">
        <w:rPr>
          <w:rFonts w:ascii="Arial" w:hAnsi="Arial" w:cs="Arial"/>
        </w:rPr>
        <w:t>lande</w:t>
      </w:r>
      <w:r w:rsidR="590A8C3C" w:rsidRPr="00DB228D">
        <w:rPr>
          <w:rFonts w:ascii="Arial" w:hAnsi="Arial" w:cs="Arial"/>
        </w:rPr>
        <w:t>i</w:t>
      </w:r>
      <w:r w:rsidRPr="00DB228D">
        <w:rPr>
          <w:rFonts w:ascii="Arial" w:hAnsi="Arial" w:cs="Arial"/>
        </w:rPr>
        <w:t>lo</w:t>
      </w:r>
      <w:proofErr w:type="spellEnd"/>
      <w:r w:rsidRPr="00DB228D">
        <w:rPr>
          <w:rFonts w:ascii="Arial" w:hAnsi="Arial" w:cs="Arial"/>
        </w:rPr>
        <w:t>, Wales, is an ideal destination for outdoor recreation, combining the appeal of nature with its historical importance</w:t>
      </w:r>
      <w:r w:rsidR="22CE3E33" w:rsidRPr="00DB228D">
        <w:rPr>
          <w:rFonts w:ascii="Arial" w:hAnsi="Arial" w:cs="Arial"/>
        </w:rPr>
        <w:t xml:space="preserve"> </w:t>
      </w:r>
      <w:r w:rsidR="22CE3E33" w:rsidRPr="00DB228D">
        <w:rPr>
          <w:rFonts w:ascii="Arial" w:eastAsia="Times New Roman" w:hAnsi="Arial" w:cs="Arial"/>
        </w:rPr>
        <w:t xml:space="preserve">(“History of </w:t>
      </w:r>
      <w:proofErr w:type="spellStart"/>
      <w:r w:rsidR="22CE3E33" w:rsidRPr="00DB228D">
        <w:rPr>
          <w:rFonts w:ascii="Arial" w:eastAsia="Times New Roman" w:hAnsi="Arial" w:cs="Arial"/>
        </w:rPr>
        <w:t>Dinefwr</w:t>
      </w:r>
      <w:proofErr w:type="spellEnd"/>
      <w:r w:rsidR="22CE3E33" w:rsidRPr="00DB228D">
        <w:rPr>
          <w:rFonts w:ascii="Arial" w:eastAsia="Times New Roman" w:hAnsi="Arial" w:cs="Arial"/>
        </w:rPr>
        <w:t xml:space="preserve">| </w:t>
      </w:r>
      <w:proofErr w:type="spellStart"/>
      <w:r w:rsidR="22CE3E33" w:rsidRPr="00DB228D">
        <w:rPr>
          <w:rFonts w:ascii="Arial" w:eastAsia="Times New Roman" w:hAnsi="Arial" w:cs="Arial"/>
        </w:rPr>
        <w:t>Llandeilo</w:t>
      </w:r>
      <w:proofErr w:type="spellEnd"/>
      <w:r w:rsidR="22CE3E33" w:rsidRPr="00DB228D">
        <w:rPr>
          <w:rFonts w:ascii="Arial" w:eastAsia="Times New Roman" w:hAnsi="Arial" w:cs="Arial"/>
        </w:rPr>
        <w:t xml:space="preserve"> |Wales”)</w:t>
      </w:r>
      <w:r w:rsidRPr="00DB228D">
        <w:rPr>
          <w:rFonts w:ascii="Arial" w:hAnsi="Arial" w:cs="Arial"/>
        </w:rPr>
        <w:t xml:space="preserve">. </w:t>
      </w:r>
      <w:r w:rsidR="11B563A4" w:rsidRPr="00DB228D">
        <w:rPr>
          <w:rFonts w:ascii="Arial" w:hAnsi="Arial" w:cs="Arial"/>
        </w:rPr>
        <w:t xml:space="preserve">With attractions including rare species of lichen and insects, </w:t>
      </w:r>
      <w:r w:rsidR="170C60F2" w:rsidRPr="00DB228D">
        <w:rPr>
          <w:rFonts w:ascii="Arial" w:hAnsi="Arial" w:cs="Arial"/>
        </w:rPr>
        <w:t>infrastructure from both the 12</w:t>
      </w:r>
      <w:r w:rsidR="170C60F2" w:rsidRPr="00DB228D">
        <w:rPr>
          <w:rFonts w:ascii="Arial" w:hAnsi="Arial" w:cs="Arial"/>
          <w:vertAlign w:val="superscript"/>
        </w:rPr>
        <w:t>th</w:t>
      </w:r>
      <w:r w:rsidR="170C60F2" w:rsidRPr="00DB228D">
        <w:rPr>
          <w:rFonts w:ascii="Arial" w:hAnsi="Arial" w:cs="Arial"/>
        </w:rPr>
        <w:t xml:space="preserve"> and the 1</w:t>
      </w:r>
      <w:r w:rsidR="54AB275C" w:rsidRPr="00DB228D">
        <w:rPr>
          <w:rFonts w:ascii="Arial" w:hAnsi="Arial" w:cs="Arial"/>
        </w:rPr>
        <w:t>7</w:t>
      </w:r>
      <w:r w:rsidR="170C60F2" w:rsidRPr="00DB228D">
        <w:rPr>
          <w:rFonts w:ascii="Arial" w:hAnsi="Arial" w:cs="Arial"/>
          <w:vertAlign w:val="superscript"/>
        </w:rPr>
        <w:t>th</w:t>
      </w:r>
      <w:r w:rsidR="170C60F2" w:rsidRPr="00DB228D">
        <w:rPr>
          <w:rFonts w:ascii="Arial" w:hAnsi="Arial" w:cs="Arial"/>
        </w:rPr>
        <w:t xml:space="preserve"> century and</w:t>
      </w:r>
      <w:r w:rsidR="445C1F6E" w:rsidRPr="00DB228D">
        <w:rPr>
          <w:rFonts w:ascii="Arial" w:hAnsi="Arial" w:cs="Arial"/>
        </w:rPr>
        <w:t xml:space="preserve"> 800 acres of parkland</w:t>
      </w:r>
      <w:r w:rsidR="23CD9F79" w:rsidRPr="00DB228D">
        <w:rPr>
          <w:rFonts w:ascii="Arial" w:hAnsi="Arial" w:cs="Arial"/>
        </w:rPr>
        <w:t xml:space="preserve"> </w:t>
      </w:r>
      <w:r w:rsidR="23CD9F79" w:rsidRPr="00DB228D">
        <w:rPr>
          <w:rFonts w:ascii="Arial" w:eastAsia="Times New Roman" w:hAnsi="Arial" w:cs="Arial"/>
        </w:rPr>
        <w:t>(“</w:t>
      </w:r>
      <w:proofErr w:type="spellStart"/>
      <w:r w:rsidR="23CD9F79" w:rsidRPr="00DB228D">
        <w:rPr>
          <w:rFonts w:ascii="Arial" w:eastAsia="Times New Roman" w:hAnsi="Arial" w:cs="Arial"/>
        </w:rPr>
        <w:t>Dinefwr</w:t>
      </w:r>
      <w:proofErr w:type="spellEnd"/>
      <w:r w:rsidR="23CD9F79" w:rsidRPr="00DB228D">
        <w:rPr>
          <w:rFonts w:ascii="Arial" w:eastAsia="Times New Roman" w:hAnsi="Arial" w:cs="Arial"/>
        </w:rPr>
        <w:t xml:space="preserve"> | Carmarthenshire | Wales”)</w:t>
      </w:r>
      <w:r w:rsidR="445C1F6E" w:rsidRPr="00DB228D">
        <w:rPr>
          <w:rFonts w:ascii="Arial" w:hAnsi="Arial" w:cs="Arial"/>
        </w:rPr>
        <w:t xml:space="preserve">. Some of the park </w:t>
      </w:r>
      <w:proofErr w:type="spellStart"/>
      <w:r w:rsidR="445C1F6E" w:rsidRPr="00DB228D">
        <w:rPr>
          <w:rFonts w:ascii="Arial" w:hAnsi="Arial" w:cs="Arial"/>
        </w:rPr>
        <w:t>bosts</w:t>
      </w:r>
      <w:proofErr w:type="spellEnd"/>
      <w:r w:rsidR="445C1F6E" w:rsidRPr="00DB228D">
        <w:rPr>
          <w:rFonts w:ascii="Arial" w:hAnsi="Arial" w:cs="Arial"/>
        </w:rPr>
        <w:t xml:space="preserve"> titles of SSS</w:t>
      </w:r>
      <w:r w:rsidR="6C781FBB" w:rsidRPr="00DB228D">
        <w:rPr>
          <w:rFonts w:ascii="Arial" w:hAnsi="Arial" w:cs="Arial"/>
        </w:rPr>
        <w:t xml:space="preserve">I’s (Sites of specific scientific interest) </w:t>
      </w:r>
      <w:r w:rsidR="1ECA3530" w:rsidRPr="00DB228D">
        <w:rPr>
          <w:rFonts w:ascii="Arial" w:eastAsia="Times New Roman" w:hAnsi="Arial" w:cs="Arial"/>
        </w:rPr>
        <w:t>(“Natural Resources Wales / Sites of Special Scientific Interest: Responsibilities of Owners and Occupiers”)</w:t>
      </w:r>
      <w:r w:rsidR="1ECA3530" w:rsidRPr="00DB228D">
        <w:rPr>
          <w:rFonts w:ascii="Arial" w:hAnsi="Arial" w:cs="Arial"/>
        </w:rPr>
        <w:t xml:space="preserve">  </w:t>
      </w:r>
      <w:r w:rsidR="6C781FBB" w:rsidRPr="00DB228D">
        <w:rPr>
          <w:rFonts w:ascii="Arial" w:hAnsi="Arial" w:cs="Arial"/>
        </w:rPr>
        <w:t xml:space="preserve">and </w:t>
      </w:r>
      <w:proofErr w:type="spellStart"/>
      <w:r w:rsidR="0B964BA7" w:rsidRPr="00DB228D">
        <w:rPr>
          <w:rFonts w:ascii="Arial" w:hAnsi="Arial" w:cs="Arial"/>
        </w:rPr>
        <w:t>Dinefwr</w:t>
      </w:r>
      <w:proofErr w:type="spellEnd"/>
      <w:r w:rsidR="0B964BA7" w:rsidRPr="00DB228D">
        <w:rPr>
          <w:rFonts w:ascii="Arial" w:hAnsi="Arial" w:cs="Arial"/>
        </w:rPr>
        <w:t xml:space="preserve"> park is the only parkland National Nature Reserve (NNR) within Wales</w:t>
      </w:r>
      <w:r w:rsidR="14B63693" w:rsidRPr="00DB228D">
        <w:rPr>
          <w:rFonts w:ascii="Arial" w:hAnsi="Arial" w:cs="Arial"/>
        </w:rPr>
        <w:t xml:space="preserve"> </w:t>
      </w:r>
      <w:r w:rsidR="14B63693" w:rsidRPr="00DB228D">
        <w:rPr>
          <w:rFonts w:ascii="Arial" w:eastAsia="Times New Roman" w:hAnsi="Arial" w:cs="Arial"/>
        </w:rPr>
        <w:t>(“</w:t>
      </w:r>
      <w:proofErr w:type="spellStart"/>
      <w:r w:rsidR="14B63693" w:rsidRPr="00DB228D">
        <w:rPr>
          <w:rFonts w:ascii="Arial" w:eastAsia="Times New Roman" w:hAnsi="Arial" w:cs="Arial"/>
        </w:rPr>
        <w:t>Sgwrs</w:t>
      </w:r>
      <w:proofErr w:type="spellEnd"/>
      <w:r w:rsidR="14B63693" w:rsidRPr="00DB228D">
        <w:rPr>
          <w:rFonts w:ascii="Arial" w:eastAsia="Times New Roman" w:hAnsi="Arial" w:cs="Arial"/>
        </w:rPr>
        <w:t xml:space="preserve"> : </w:t>
      </w:r>
      <w:proofErr w:type="spellStart"/>
      <w:r w:rsidR="14B63693" w:rsidRPr="00DB228D">
        <w:rPr>
          <w:rFonts w:ascii="Arial" w:eastAsia="Times New Roman" w:hAnsi="Arial" w:cs="Arial"/>
        </w:rPr>
        <w:t>Dinefwr</w:t>
      </w:r>
      <w:proofErr w:type="spellEnd"/>
      <w:r w:rsidR="14B63693" w:rsidRPr="00DB228D">
        <w:rPr>
          <w:rFonts w:ascii="Arial" w:eastAsia="Times New Roman" w:hAnsi="Arial" w:cs="Arial"/>
        </w:rPr>
        <w:t xml:space="preserve"> as a National Nature Reserve”)</w:t>
      </w:r>
      <w:r w:rsidR="0B964BA7" w:rsidRPr="00DB228D">
        <w:rPr>
          <w:rFonts w:ascii="Arial" w:hAnsi="Arial" w:cs="Arial"/>
        </w:rPr>
        <w:t xml:space="preserve">. </w:t>
      </w:r>
      <w:proofErr w:type="spellStart"/>
      <w:r w:rsidRPr="00DB228D">
        <w:rPr>
          <w:rFonts w:ascii="Arial" w:hAnsi="Arial" w:cs="Arial"/>
        </w:rPr>
        <w:t>Dinefwr</w:t>
      </w:r>
      <w:proofErr w:type="spellEnd"/>
      <w:r w:rsidRPr="00DB228D">
        <w:rPr>
          <w:rFonts w:ascii="Arial" w:hAnsi="Arial" w:cs="Arial"/>
        </w:rPr>
        <w:t xml:space="preserve"> Park is a wonderful resource for individuals who want to explore nature, history, and culture in an outdoor environment that is suitable for both academic study and personal growth</w:t>
      </w:r>
      <w:r w:rsidR="3B7DA1E5" w:rsidRPr="00DB228D">
        <w:rPr>
          <w:rFonts w:ascii="Arial" w:hAnsi="Arial" w:cs="Arial"/>
        </w:rPr>
        <w:t xml:space="preserve"> </w:t>
      </w:r>
      <w:r w:rsidR="3B7DA1E5" w:rsidRPr="00DB228D">
        <w:rPr>
          <w:rFonts w:ascii="Arial" w:eastAsia="Times New Roman" w:hAnsi="Arial" w:cs="Arial"/>
        </w:rPr>
        <w:t>(“</w:t>
      </w:r>
      <w:proofErr w:type="spellStart"/>
      <w:r w:rsidR="3B7DA1E5" w:rsidRPr="00DB228D">
        <w:rPr>
          <w:rFonts w:ascii="Arial" w:eastAsia="Times New Roman" w:hAnsi="Arial" w:cs="Arial"/>
        </w:rPr>
        <w:t>Llandeilo</w:t>
      </w:r>
      <w:proofErr w:type="spellEnd"/>
      <w:r w:rsidR="3B7DA1E5" w:rsidRPr="00DB228D">
        <w:rPr>
          <w:rFonts w:ascii="Arial" w:eastAsia="Times New Roman" w:hAnsi="Arial" w:cs="Arial"/>
        </w:rPr>
        <w:t xml:space="preserve"> History - </w:t>
      </w:r>
      <w:proofErr w:type="spellStart"/>
      <w:r w:rsidR="3B7DA1E5" w:rsidRPr="00DB228D">
        <w:rPr>
          <w:rFonts w:ascii="Arial" w:eastAsia="Times New Roman" w:hAnsi="Arial" w:cs="Arial"/>
        </w:rPr>
        <w:t>Dinefwr</w:t>
      </w:r>
      <w:proofErr w:type="spellEnd"/>
      <w:r w:rsidR="3B7DA1E5" w:rsidRPr="00DB228D">
        <w:rPr>
          <w:rFonts w:ascii="Arial" w:eastAsia="Times New Roman" w:hAnsi="Arial" w:cs="Arial"/>
        </w:rPr>
        <w:t xml:space="preserve"> Park - Introduction”). </w:t>
      </w:r>
    </w:p>
    <w:p w14:paraId="204DF6B2" w14:textId="53ED08AE" w:rsidR="08FC4338" w:rsidRPr="00DB228D" w:rsidRDefault="08FC4338" w:rsidP="7E66BC03">
      <w:pPr>
        <w:rPr>
          <w:rFonts w:ascii="Arial" w:hAnsi="Arial" w:cs="Arial"/>
          <w:highlight w:val="yellow"/>
        </w:rPr>
      </w:pPr>
      <w:r w:rsidRPr="00DB228D">
        <w:rPr>
          <w:rFonts w:ascii="Arial" w:hAnsi="Arial" w:cs="Arial"/>
        </w:rPr>
        <w:t>Outdoor recreation encompasses a wide range of activities that involve intentionally seeking leisure and adventure in natural areas</w:t>
      </w:r>
      <w:r w:rsidR="302726E8" w:rsidRPr="00DB228D">
        <w:rPr>
          <w:rFonts w:ascii="Arial" w:eastAsia="Times New Roman" w:hAnsi="Arial" w:cs="Arial"/>
        </w:rPr>
        <w:t xml:space="preserve"> (</w:t>
      </w:r>
      <w:proofErr w:type="spellStart"/>
      <w:r w:rsidR="302726E8" w:rsidRPr="00DB228D">
        <w:rPr>
          <w:rFonts w:ascii="Arial" w:eastAsia="Times New Roman" w:hAnsi="Arial" w:cs="Arial"/>
        </w:rPr>
        <w:t>Pashley</w:t>
      </w:r>
      <w:proofErr w:type="spellEnd"/>
      <w:r w:rsidR="302726E8" w:rsidRPr="00DB228D">
        <w:rPr>
          <w:rFonts w:ascii="Arial" w:eastAsia="Times New Roman" w:hAnsi="Arial" w:cs="Arial"/>
        </w:rPr>
        <w:t>)</w:t>
      </w:r>
      <w:r w:rsidRPr="00DB228D">
        <w:rPr>
          <w:rFonts w:ascii="Arial" w:hAnsi="Arial" w:cs="Arial"/>
        </w:rPr>
        <w:t xml:space="preserve">. These activities include hiking, camping, and observing wildlife. This dimension of experience combines human interaction with the natural environment, creating a mutually beneficial relationship </w:t>
      </w:r>
      <w:r w:rsidRPr="00DB228D">
        <w:rPr>
          <w:rFonts w:ascii="Arial" w:hAnsi="Arial" w:cs="Arial"/>
        </w:rPr>
        <w:lastRenderedPageBreak/>
        <w:t>between persons and their surroundings</w:t>
      </w:r>
      <w:r w:rsidR="5777FB27" w:rsidRPr="00DB228D">
        <w:rPr>
          <w:rFonts w:ascii="Arial" w:hAnsi="Arial" w:cs="Arial"/>
        </w:rPr>
        <w:t xml:space="preserve"> </w:t>
      </w:r>
      <w:r w:rsidR="5777FB27" w:rsidRPr="00DB228D">
        <w:rPr>
          <w:rFonts w:ascii="Arial" w:eastAsia="Times New Roman" w:hAnsi="Arial" w:cs="Arial"/>
        </w:rPr>
        <w:t>(</w:t>
      </w:r>
      <w:proofErr w:type="spellStart"/>
      <w:r w:rsidR="5777FB27" w:rsidRPr="00DB228D">
        <w:rPr>
          <w:rFonts w:ascii="Arial" w:eastAsia="Times New Roman" w:hAnsi="Arial" w:cs="Arial"/>
        </w:rPr>
        <w:t>Soga</w:t>
      </w:r>
      <w:proofErr w:type="spellEnd"/>
      <w:r w:rsidR="5777FB27" w:rsidRPr="00DB228D">
        <w:rPr>
          <w:rFonts w:ascii="Arial" w:eastAsia="Times New Roman" w:hAnsi="Arial" w:cs="Arial"/>
        </w:rPr>
        <w:t xml:space="preserve"> and Gaston)</w:t>
      </w:r>
      <w:r w:rsidRPr="00DB228D">
        <w:rPr>
          <w:rFonts w:ascii="Arial" w:hAnsi="Arial" w:cs="Arial"/>
        </w:rPr>
        <w:t>. Outdoor recreation encompasses a combination of physical effort, sensory engagement, and emotional satisfaction, providing individuals with chances for personal development, revitalization, and a connection with the environment. Outdoor leisure entices individuals to explore landscapes, push boundaries, and embrace the inherent pleasures of living outdoors, using different methods such as solo contemplation or communal exploration. It functions as both a means of entertainment and a driving force for taking care of the environment, fostering a sense of admiration, comprehension, and support for the conservation and sustainable administration of the various ecosystems on our world</w:t>
      </w:r>
      <w:r w:rsidR="6567AF5E" w:rsidRPr="00DB228D">
        <w:rPr>
          <w:rFonts w:ascii="Arial" w:hAnsi="Arial" w:cs="Arial"/>
        </w:rPr>
        <w:t xml:space="preserve"> </w:t>
      </w:r>
      <w:r w:rsidR="6567AF5E" w:rsidRPr="00DB228D">
        <w:rPr>
          <w:rFonts w:ascii="Arial" w:eastAsia="Times New Roman" w:hAnsi="Arial" w:cs="Arial"/>
        </w:rPr>
        <w:t>(</w:t>
      </w:r>
      <w:proofErr w:type="spellStart"/>
      <w:r w:rsidR="6567AF5E" w:rsidRPr="00DB228D">
        <w:rPr>
          <w:rFonts w:ascii="Arial" w:eastAsia="Times New Roman" w:hAnsi="Arial" w:cs="Arial"/>
        </w:rPr>
        <w:t>Ojeda</w:t>
      </w:r>
      <w:proofErr w:type="spellEnd"/>
      <w:r w:rsidR="6567AF5E" w:rsidRPr="00DB228D">
        <w:rPr>
          <w:rFonts w:ascii="Arial" w:eastAsia="Times New Roman" w:hAnsi="Arial" w:cs="Arial"/>
        </w:rPr>
        <w:t xml:space="preserve"> et al.)</w:t>
      </w:r>
      <w:r w:rsidRPr="00DB228D">
        <w:rPr>
          <w:rFonts w:ascii="Arial" w:hAnsi="Arial" w:cs="Arial"/>
        </w:rPr>
        <w:t>.</w:t>
      </w:r>
      <w:r w:rsidR="62E6555F" w:rsidRPr="00DB228D">
        <w:rPr>
          <w:rFonts w:ascii="Arial" w:hAnsi="Arial" w:cs="Arial"/>
        </w:rPr>
        <w:t xml:space="preserve"> </w:t>
      </w:r>
    </w:p>
    <w:p w14:paraId="5D0AA87A" w14:textId="161C5A16" w:rsidR="3B840F0E" w:rsidRPr="00DB228D" w:rsidRDefault="3B840F0E" w:rsidP="7E66BC03">
      <w:pPr>
        <w:spacing w:before="300" w:after="300"/>
        <w:rPr>
          <w:rFonts w:ascii="Arial" w:eastAsia="Aptos" w:hAnsi="Arial" w:cs="Arial"/>
        </w:rPr>
      </w:pPr>
      <w:r w:rsidRPr="00DB228D">
        <w:rPr>
          <w:rFonts w:ascii="Arial" w:eastAsia="system-ui" w:hAnsi="Arial" w:cs="Arial"/>
          <w:color w:val="000000" w:themeColor="text1"/>
        </w:rPr>
        <w:t xml:space="preserve">Introducing the problems that outdoor recreation poses to </w:t>
      </w:r>
      <w:proofErr w:type="spellStart"/>
      <w:r w:rsidRPr="00DB228D">
        <w:rPr>
          <w:rFonts w:ascii="Arial" w:eastAsia="system-ui" w:hAnsi="Arial" w:cs="Arial"/>
          <w:color w:val="000000" w:themeColor="text1"/>
        </w:rPr>
        <w:t>Dinefwr</w:t>
      </w:r>
      <w:proofErr w:type="spellEnd"/>
      <w:r w:rsidRPr="00DB228D">
        <w:rPr>
          <w:rFonts w:ascii="Arial" w:eastAsia="system-ui" w:hAnsi="Arial" w:cs="Arial"/>
          <w:color w:val="000000" w:themeColor="text1"/>
        </w:rPr>
        <w:t xml:space="preserve"> Park necessitates a comprehensive examination of the delicate balance between human enjoyment and ecological preservation within this cherished natural space. As visitors flock to </w:t>
      </w:r>
      <w:proofErr w:type="spellStart"/>
      <w:r w:rsidRPr="00DB228D">
        <w:rPr>
          <w:rFonts w:ascii="Arial" w:eastAsia="system-ui" w:hAnsi="Arial" w:cs="Arial"/>
          <w:color w:val="000000" w:themeColor="text1"/>
        </w:rPr>
        <w:t>Dinefwr</w:t>
      </w:r>
      <w:proofErr w:type="spellEnd"/>
      <w:r w:rsidRPr="00DB228D">
        <w:rPr>
          <w:rFonts w:ascii="Arial" w:eastAsia="system-ui" w:hAnsi="Arial" w:cs="Arial"/>
          <w:color w:val="000000" w:themeColor="text1"/>
        </w:rPr>
        <w:t xml:space="preserve"> Park seeking respite and recreation, several challenges emerge, threatening the park's ecological integrity and cultural heritage.</w:t>
      </w:r>
      <w:r w:rsidR="25A76370" w:rsidRPr="00DB228D">
        <w:rPr>
          <w:rFonts w:ascii="Arial" w:eastAsia="system-ui" w:hAnsi="Arial" w:cs="Arial"/>
          <w:color w:val="000000" w:themeColor="text1"/>
        </w:rPr>
        <w:t xml:space="preserve"> </w:t>
      </w:r>
      <w:r w:rsidRPr="00DB228D">
        <w:rPr>
          <w:rFonts w:ascii="Arial" w:eastAsia="system-ui" w:hAnsi="Arial" w:cs="Arial"/>
          <w:color w:val="000000" w:themeColor="text1"/>
        </w:rPr>
        <w:t>Firstly, the influx of visitors can lead to environmental degradation, including soil erosion, habitat destruction, and disruption of wildlife populations. Foot traffic on fragile ecosystems, unauthorized trails, and improper waste disposal all contribute to these ecological pressures, endangering the park's biodiversity and natural beauty.</w:t>
      </w:r>
      <w:r w:rsidR="0059DFEA" w:rsidRPr="00DB228D">
        <w:rPr>
          <w:rFonts w:ascii="Arial" w:eastAsia="system-ui" w:hAnsi="Arial" w:cs="Arial"/>
          <w:color w:val="000000" w:themeColor="text1"/>
        </w:rPr>
        <w:t xml:space="preserve"> </w:t>
      </w:r>
      <w:r w:rsidRPr="00DB228D">
        <w:rPr>
          <w:rFonts w:ascii="Arial" w:eastAsia="system-ui" w:hAnsi="Arial" w:cs="Arial"/>
          <w:color w:val="000000" w:themeColor="text1"/>
        </w:rPr>
        <w:t xml:space="preserve">Secondly, the historic structures and cultural artifacts within </w:t>
      </w:r>
      <w:proofErr w:type="spellStart"/>
      <w:r w:rsidRPr="00DB228D">
        <w:rPr>
          <w:rFonts w:ascii="Arial" w:eastAsia="system-ui" w:hAnsi="Arial" w:cs="Arial"/>
          <w:color w:val="000000" w:themeColor="text1"/>
        </w:rPr>
        <w:t>Dinefwr</w:t>
      </w:r>
      <w:proofErr w:type="spellEnd"/>
      <w:r w:rsidRPr="00DB228D">
        <w:rPr>
          <w:rFonts w:ascii="Arial" w:eastAsia="system-ui" w:hAnsi="Arial" w:cs="Arial"/>
          <w:color w:val="000000" w:themeColor="text1"/>
        </w:rPr>
        <w:t xml:space="preserve"> Park face risks associated with increased visitation. Wear and tear from foot traffic, vandalism, and insufficient maintenance pose threats to the preservation of these invaluable heritage assets, diminishing their historical significance and aesthetic value.</w:t>
      </w:r>
      <w:r w:rsidR="28BCA102" w:rsidRPr="00DB228D">
        <w:rPr>
          <w:rFonts w:ascii="Arial" w:eastAsia="system-ui" w:hAnsi="Arial" w:cs="Arial"/>
          <w:color w:val="000000" w:themeColor="text1"/>
        </w:rPr>
        <w:t xml:space="preserve"> </w:t>
      </w:r>
      <w:r w:rsidRPr="00DB228D">
        <w:rPr>
          <w:rFonts w:ascii="Arial" w:eastAsia="system-ui" w:hAnsi="Arial" w:cs="Arial"/>
          <w:color w:val="000000" w:themeColor="text1"/>
        </w:rPr>
        <w:t>Furthermore, the management of recreational activities within the park necessitates careful consideration of safety concerns, user conflicts, and equitable access for diverse visitor demographics. Balancing the desires of recreational users with the imperative to protect the park's natural and cultural resources requires nuanced policies and effective enforcement mechanisms.</w:t>
      </w:r>
    </w:p>
    <w:p w14:paraId="01CEBBBE" w14:textId="0551D8A1" w:rsidR="39FF5335" w:rsidRPr="00DB228D" w:rsidRDefault="39FF5335" w:rsidP="7E66BC03">
      <w:pPr>
        <w:shd w:val="clear" w:color="auto" w:fill="FFFFFF" w:themeFill="background1"/>
        <w:spacing w:before="300" w:after="300"/>
        <w:rPr>
          <w:rFonts w:ascii="Arial" w:eastAsia="Aptos" w:hAnsi="Arial" w:cs="Arial"/>
        </w:rPr>
      </w:pPr>
      <w:r w:rsidRPr="00DB228D">
        <w:rPr>
          <w:rFonts w:ascii="Arial" w:eastAsia="Aptos" w:hAnsi="Arial" w:cs="Arial"/>
        </w:rPr>
        <w:t xml:space="preserve">This paper will </w:t>
      </w:r>
      <w:proofErr w:type="spellStart"/>
      <w:r w:rsidRPr="00DB228D">
        <w:rPr>
          <w:rFonts w:ascii="Arial" w:eastAsia="Aptos" w:hAnsi="Arial" w:cs="Arial"/>
        </w:rPr>
        <w:t>analyse</w:t>
      </w:r>
      <w:proofErr w:type="spellEnd"/>
      <w:r w:rsidRPr="00DB228D">
        <w:rPr>
          <w:rFonts w:ascii="Arial" w:eastAsia="Aptos" w:hAnsi="Arial" w:cs="Arial"/>
        </w:rPr>
        <w:t xml:space="preserve"> each of these issues and propose solutions or management techniques using a range of practices, strategies, and frameworks. </w:t>
      </w:r>
      <w:r w:rsidR="29B81387" w:rsidRPr="00DB228D">
        <w:rPr>
          <w:rFonts w:ascii="Arial" w:eastAsia="Aptos" w:hAnsi="Arial" w:cs="Arial"/>
        </w:rPr>
        <w:t>This document will first introduce conceptual frameworks, then examine the difficulties and impacts encountered at the park, and then explore appropriate management solutions, considering them.</w:t>
      </w:r>
    </w:p>
    <w:p w14:paraId="5ADA43A7" w14:textId="3E60984E" w:rsidR="23D1E7B3" w:rsidRPr="00DB228D" w:rsidRDefault="23D1E7B3" w:rsidP="70BC24BD">
      <w:pPr>
        <w:rPr>
          <w:rFonts w:ascii="Arial" w:eastAsia="Aptos" w:hAnsi="Arial" w:cs="Arial"/>
        </w:rPr>
      </w:pPr>
      <w:r w:rsidRPr="00DB228D">
        <w:rPr>
          <w:rFonts w:ascii="Arial" w:eastAsia="Aptos" w:hAnsi="Arial" w:cs="Arial"/>
        </w:rPr>
        <w:t>Management plan:</w:t>
      </w:r>
    </w:p>
    <w:p w14:paraId="0BAAE2DA" w14:textId="6102C1F0" w:rsidR="1BFD29E9" w:rsidRPr="00DB228D" w:rsidRDefault="1BFD29E9" w:rsidP="7E66BC03">
      <w:pPr>
        <w:rPr>
          <w:rFonts w:ascii="Arial" w:eastAsia="system-ui" w:hAnsi="Arial" w:cs="Arial"/>
          <w:color w:val="000000" w:themeColor="text1"/>
        </w:rPr>
      </w:pPr>
      <w:r w:rsidRPr="00DB228D">
        <w:rPr>
          <w:rFonts w:ascii="Arial" w:eastAsia="system-ui" w:hAnsi="Arial" w:cs="Arial"/>
          <w:color w:val="000000" w:themeColor="text1"/>
        </w:rPr>
        <w:t xml:space="preserve">To address the challenges posed by outdoor recreation at </w:t>
      </w:r>
      <w:proofErr w:type="spellStart"/>
      <w:r w:rsidRPr="00DB228D">
        <w:rPr>
          <w:rFonts w:ascii="Arial" w:eastAsia="system-ui" w:hAnsi="Arial" w:cs="Arial"/>
          <w:color w:val="000000" w:themeColor="text1"/>
        </w:rPr>
        <w:t>Dinefwr</w:t>
      </w:r>
      <w:proofErr w:type="spellEnd"/>
      <w:r w:rsidRPr="00DB228D">
        <w:rPr>
          <w:rFonts w:ascii="Arial" w:eastAsia="system-ui" w:hAnsi="Arial" w:cs="Arial"/>
          <w:color w:val="000000" w:themeColor="text1"/>
        </w:rPr>
        <w:t xml:space="preserve"> Park, a comprehensive management plan is essential to ensure the preservation of its ecological integrity and cultural heritage while facilitating sustainable visitor enjoyment.</w:t>
      </w:r>
    </w:p>
    <w:p w14:paraId="215F5C78" w14:textId="3BA8472D" w:rsidR="1BFD29E9" w:rsidRPr="00DB228D" w:rsidRDefault="543D3944" w:rsidP="7E66BC03">
      <w:pPr>
        <w:rPr>
          <w:rFonts w:ascii="Arial" w:hAnsi="Arial" w:cs="Arial"/>
        </w:rPr>
      </w:pPr>
      <w:r w:rsidRPr="00DB228D">
        <w:rPr>
          <w:rFonts w:ascii="Arial" w:hAnsi="Arial" w:cs="Arial"/>
        </w:rPr>
        <w:lastRenderedPageBreak/>
        <w:t xml:space="preserve">First and foremost, by establishing comprehensive visitor education and interpretation </w:t>
      </w:r>
      <w:proofErr w:type="spellStart"/>
      <w:r w:rsidRPr="00DB228D">
        <w:rPr>
          <w:rFonts w:ascii="Arial" w:hAnsi="Arial" w:cs="Arial"/>
        </w:rPr>
        <w:t>programmes</w:t>
      </w:r>
      <w:proofErr w:type="spellEnd"/>
      <w:r w:rsidRPr="00DB228D">
        <w:rPr>
          <w:rFonts w:ascii="Arial" w:hAnsi="Arial" w:cs="Arial"/>
        </w:rPr>
        <w:t xml:space="preserve">, we can effectively increase knowledge regarding the significance of appropriate outdoor conduct. This includes </w:t>
      </w:r>
      <w:r w:rsidR="1F8DF616" w:rsidRPr="00DB228D">
        <w:rPr>
          <w:rFonts w:ascii="Arial" w:hAnsi="Arial" w:cs="Arial"/>
        </w:rPr>
        <w:t>minimizing</w:t>
      </w:r>
      <w:r w:rsidRPr="00DB228D">
        <w:rPr>
          <w:rFonts w:ascii="Arial" w:hAnsi="Arial" w:cs="Arial"/>
        </w:rPr>
        <w:t xml:space="preserve"> the negative influence on the environment and showing respect towards historical monuments. Furthermore, allocating resources towards enhancing infrastructure, such as constructing specific pathways, installing clear signage, and establishing waste management facilities, can effectively reduce the negative impacts of visitor congestion on delicate ecosystems and historical landmarks. Furthermore, the implementation of a robust monitoring and enforcement framework, underpinned by competent personnel and dedicated volunteers, can effectively guarantee adherence to park regulations and prompt action against any instances of environmental deterioration or vandalism. Ultimately, by establishing collaborations with nearby communities, conservation groups, and governmental bodies, the park may effectively </w:t>
      </w:r>
      <w:proofErr w:type="spellStart"/>
      <w:r w:rsidRPr="00DB228D">
        <w:rPr>
          <w:rFonts w:ascii="Arial" w:hAnsi="Arial" w:cs="Arial"/>
        </w:rPr>
        <w:t>utilise</w:t>
      </w:r>
      <w:proofErr w:type="spellEnd"/>
      <w:r w:rsidRPr="00DB228D">
        <w:rPr>
          <w:rFonts w:ascii="Arial" w:hAnsi="Arial" w:cs="Arial"/>
        </w:rPr>
        <w:t xml:space="preserve"> resources and </w:t>
      </w:r>
      <w:proofErr w:type="spellStart"/>
      <w:r w:rsidRPr="00DB228D">
        <w:rPr>
          <w:rFonts w:ascii="Arial" w:hAnsi="Arial" w:cs="Arial"/>
        </w:rPr>
        <w:t>specialised</w:t>
      </w:r>
      <w:proofErr w:type="spellEnd"/>
      <w:r w:rsidRPr="00DB228D">
        <w:rPr>
          <w:rFonts w:ascii="Arial" w:hAnsi="Arial" w:cs="Arial"/>
        </w:rPr>
        <w:t xml:space="preserve"> knowledge to execute enduring conservation projects and strengthen its ability to withstand changing recreational demands.</w:t>
      </w:r>
      <w:r w:rsidR="4631629F" w:rsidRPr="00DB228D">
        <w:rPr>
          <w:rFonts w:ascii="Arial" w:hAnsi="Arial" w:cs="Arial"/>
        </w:rPr>
        <w:t xml:space="preserve"> </w:t>
      </w:r>
      <w:r w:rsidR="1BFD29E9" w:rsidRPr="00DB228D">
        <w:rPr>
          <w:rFonts w:ascii="Arial" w:eastAsia="system-ui" w:hAnsi="Arial" w:cs="Arial"/>
          <w:color w:val="000000" w:themeColor="text1"/>
        </w:rPr>
        <w:t xml:space="preserve">By adopting a proactive and collaborative approach to management, </w:t>
      </w:r>
      <w:proofErr w:type="spellStart"/>
      <w:r w:rsidR="1BFD29E9" w:rsidRPr="00DB228D">
        <w:rPr>
          <w:rFonts w:ascii="Arial" w:eastAsia="system-ui" w:hAnsi="Arial" w:cs="Arial"/>
          <w:color w:val="000000" w:themeColor="text1"/>
        </w:rPr>
        <w:t>Dinefwr</w:t>
      </w:r>
      <w:proofErr w:type="spellEnd"/>
      <w:r w:rsidR="1BFD29E9" w:rsidRPr="00DB228D">
        <w:rPr>
          <w:rFonts w:ascii="Arial" w:eastAsia="system-ui" w:hAnsi="Arial" w:cs="Arial"/>
          <w:color w:val="000000" w:themeColor="text1"/>
        </w:rPr>
        <w:t xml:space="preserve"> Park can continue to serve as a cherished outdoor recreation destination while safeguarding its natural and cultural treasures for future generations.</w:t>
      </w:r>
    </w:p>
    <w:p w14:paraId="3CE7F2A3" w14:textId="346DA53F" w:rsidR="23D1E7B3" w:rsidRPr="00DB228D" w:rsidRDefault="23D1E7B3" w:rsidP="70BC24BD">
      <w:pPr>
        <w:rPr>
          <w:rFonts w:ascii="Arial" w:eastAsia="Aptos" w:hAnsi="Arial" w:cs="Arial"/>
        </w:rPr>
      </w:pPr>
      <w:proofErr w:type="spellStart"/>
      <w:r w:rsidRPr="00DB228D">
        <w:rPr>
          <w:rFonts w:ascii="Arial" w:eastAsia="Aptos" w:hAnsi="Arial" w:cs="Arial"/>
        </w:rPr>
        <w:t>Coneptual</w:t>
      </w:r>
      <w:proofErr w:type="spellEnd"/>
      <w:r w:rsidRPr="00DB228D">
        <w:rPr>
          <w:rFonts w:ascii="Arial" w:eastAsia="Aptos" w:hAnsi="Arial" w:cs="Arial"/>
        </w:rPr>
        <w:t xml:space="preserve"> frameworks:</w:t>
      </w:r>
    </w:p>
    <w:p w14:paraId="738E6CA6" w14:textId="052B5B8D" w:rsidR="084C030E" w:rsidRPr="00DB228D" w:rsidRDefault="084C030E" w:rsidP="7E66BC03">
      <w:pPr>
        <w:rPr>
          <w:rFonts w:ascii="Arial" w:eastAsia="system-ui" w:hAnsi="Arial" w:cs="Arial"/>
        </w:rPr>
      </w:pPr>
      <w:r w:rsidRPr="00DB228D">
        <w:rPr>
          <w:rFonts w:ascii="Arial" w:eastAsia="system-ui" w:hAnsi="Arial" w:cs="Arial"/>
          <w:color w:val="000000" w:themeColor="text1"/>
        </w:rPr>
        <w:t>The Recreation Opportunity Spectrum (ROS) is a framework used in outdoor recreation planning and management to classify and describe the range of recreational experiences available within a particular area or landscape. Developed by the U.S. Forest Service, the ROS categorizes recreation settings into different zones based on their level of development, naturalness, and visitor experience. These zones typically range from "primitive" or "wilderness" settings with minimal development and high naturalness to "urban" or "developed" settings with extensive facilities and infrastructure. The ROS helps land managers assess current conditions, identify desired future conditions, and make informed decisions about resource allocation, visitor use, and facility development to meet diverse recreational needs while conserving natural and cultural resources. By considering factors such as access, solitude, and recreational activities, the ROS provides a systematic approach to balancing recreation opportunities with resource protection and enhancing visitor experiences in outdoor settings</w:t>
      </w:r>
      <w:r w:rsidR="4B3E19FE" w:rsidRPr="00DB228D">
        <w:rPr>
          <w:rFonts w:ascii="Arial" w:eastAsia="system-ui" w:hAnsi="Arial" w:cs="Arial"/>
          <w:color w:val="000000" w:themeColor="text1"/>
        </w:rPr>
        <w:t xml:space="preserve"> </w:t>
      </w:r>
      <w:r w:rsidR="4B3E19FE" w:rsidRPr="00DB228D">
        <w:rPr>
          <w:rFonts w:ascii="Arial" w:eastAsia="Times New Roman" w:hAnsi="Arial" w:cs="Arial"/>
        </w:rPr>
        <w:t>(</w:t>
      </w:r>
      <w:proofErr w:type="spellStart"/>
      <w:r w:rsidR="4B3E19FE" w:rsidRPr="00DB228D">
        <w:rPr>
          <w:rFonts w:ascii="Arial" w:eastAsia="Times New Roman" w:hAnsi="Arial" w:cs="Arial"/>
        </w:rPr>
        <w:t>Harshaw</w:t>
      </w:r>
      <w:proofErr w:type="spellEnd"/>
      <w:r w:rsidR="4B3E19FE" w:rsidRPr="00DB228D">
        <w:rPr>
          <w:rFonts w:ascii="Arial" w:eastAsia="Times New Roman" w:hAnsi="Arial" w:cs="Arial"/>
        </w:rPr>
        <w:t xml:space="preserve"> and Sheppard). </w:t>
      </w:r>
    </w:p>
    <w:p w14:paraId="13C6C048" w14:textId="3AC37968" w:rsidR="7630F13A" w:rsidRPr="00DB228D" w:rsidRDefault="7630F13A" w:rsidP="7E66BC03">
      <w:pPr>
        <w:rPr>
          <w:rFonts w:ascii="Arial" w:eastAsia="system-ui" w:hAnsi="Arial" w:cs="Arial"/>
          <w:color w:val="000000" w:themeColor="text1"/>
        </w:rPr>
      </w:pPr>
      <w:r w:rsidRPr="00DB228D">
        <w:rPr>
          <w:rFonts w:ascii="Arial" w:eastAsia="system-ui" w:hAnsi="Arial" w:cs="Arial"/>
          <w:color w:val="000000" w:themeColor="text1"/>
        </w:rPr>
        <w:t xml:space="preserve">Applying the Recreation Opportunity Spectrum (ROS) framework to </w:t>
      </w:r>
      <w:proofErr w:type="spellStart"/>
      <w:r w:rsidRPr="00DB228D">
        <w:rPr>
          <w:rFonts w:ascii="Arial" w:eastAsia="system-ui" w:hAnsi="Arial" w:cs="Arial"/>
          <w:color w:val="000000" w:themeColor="text1"/>
        </w:rPr>
        <w:t>Dinefwr</w:t>
      </w:r>
      <w:proofErr w:type="spellEnd"/>
      <w:r w:rsidRPr="00DB228D">
        <w:rPr>
          <w:rFonts w:ascii="Arial" w:eastAsia="system-ui" w:hAnsi="Arial" w:cs="Arial"/>
          <w:color w:val="000000" w:themeColor="text1"/>
        </w:rPr>
        <w:t xml:space="preserve"> Park involves categorizing the park's recreational settings based on their level of development, naturalness, and visitor experience. Within </w:t>
      </w:r>
      <w:proofErr w:type="spellStart"/>
      <w:r w:rsidRPr="00DB228D">
        <w:rPr>
          <w:rFonts w:ascii="Arial" w:eastAsia="system-ui" w:hAnsi="Arial" w:cs="Arial"/>
          <w:color w:val="000000" w:themeColor="text1"/>
        </w:rPr>
        <w:t>Dinefwr</w:t>
      </w:r>
      <w:proofErr w:type="spellEnd"/>
      <w:r w:rsidRPr="00DB228D">
        <w:rPr>
          <w:rFonts w:ascii="Arial" w:eastAsia="system-ui" w:hAnsi="Arial" w:cs="Arial"/>
          <w:color w:val="000000" w:themeColor="text1"/>
        </w:rPr>
        <w:t xml:space="preserve"> Park, various zones exist for example</w:t>
      </w:r>
      <w:r w:rsidR="006C1911" w:rsidRPr="00DB228D">
        <w:rPr>
          <w:rFonts w:ascii="Arial" w:eastAsia="system-ui" w:hAnsi="Arial" w:cs="Arial"/>
          <w:color w:val="000000" w:themeColor="text1"/>
        </w:rPr>
        <w:t xml:space="preserve"> </w:t>
      </w:r>
      <w:r w:rsidR="007B7FD7" w:rsidRPr="00DB228D">
        <w:rPr>
          <w:rFonts w:ascii="Arial" w:eastAsia="system-ui" w:hAnsi="Arial" w:cs="Arial"/>
          <w:color w:val="000000" w:themeColor="text1"/>
        </w:rPr>
        <w:t xml:space="preserve">the area of the park with </w:t>
      </w:r>
      <w:r w:rsidR="0082312C" w:rsidRPr="00DB228D">
        <w:rPr>
          <w:rFonts w:ascii="Arial" w:eastAsia="system-ui" w:hAnsi="Arial" w:cs="Arial"/>
          <w:color w:val="000000" w:themeColor="text1"/>
        </w:rPr>
        <w:t xml:space="preserve">newton house would be considered a developed zone and the </w:t>
      </w:r>
      <w:r w:rsidR="00B02CDA" w:rsidRPr="00DB228D">
        <w:rPr>
          <w:rFonts w:ascii="Arial" w:eastAsia="system-ui" w:hAnsi="Arial" w:cs="Arial"/>
          <w:color w:val="000000" w:themeColor="text1"/>
        </w:rPr>
        <w:t xml:space="preserve">secluded deer park would be the wilderness zone. With these considered </w:t>
      </w:r>
      <w:r w:rsidR="00A33E4E" w:rsidRPr="00DB228D">
        <w:rPr>
          <w:rFonts w:ascii="Arial" w:eastAsia="system-ui" w:hAnsi="Arial" w:cs="Arial"/>
          <w:color w:val="000000" w:themeColor="text1"/>
        </w:rPr>
        <w:t xml:space="preserve">park management can allocate the appropriate resources and plan future </w:t>
      </w:r>
      <w:r w:rsidR="00793A1E" w:rsidRPr="00DB228D">
        <w:rPr>
          <w:rFonts w:ascii="Arial" w:eastAsia="system-ui" w:hAnsi="Arial" w:cs="Arial"/>
          <w:color w:val="000000" w:themeColor="text1"/>
        </w:rPr>
        <w:lastRenderedPageBreak/>
        <w:t xml:space="preserve">development to maintain the </w:t>
      </w:r>
      <w:r w:rsidR="00FC136A" w:rsidRPr="00DB228D">
        <w:rPr>
          <w:rFonts w:ascii="Arial" w:eastAsia="system-ui" w:hAnsi="Arial" w:cs="Arial"/>
          <w:color w:val="000000" w:themeColor="text1"/>
        </w:rPr>
        <w:t xml:space="preserve">solitude of the </w:t>
      </w:r>
      <w:r w:rsidR="00793A1E" w:rsidRPr="00DB228D">
        <w:rPr>
          <w:rFonts w:ascii="Arial" w:eastAsia="system-ui" w:hAnsi="Arial" w:cs="Arial"/>
          <w:color w:val="000000" w:themeColor="text1"/>
        </w:rPr>
        <w:t>wilderness aspects and also the crea</w:t>
      </w:r>
      <w:r w:rsidR="00F8620E" w:rsidRPr="00DB228D">
        <w:rPr>
          <w:rFonts w:ascii="Arial" w:eastAsia="system-ui" w:hAnsi="Arial" w:cs="Arial"/>
          <w:color w:val="000000" w:themeColor="text1"/>
        </w:rPr>
        <w:t>te</w:t>
      </w:r>
      <w:r w:rsidR="00793A1E" w:rsidRPr="00DB228D">
        <w:rPr>
          <w:rFonts w:ascii="Arial" w:eastAsia="system-ui" w:hAnsi="Arial" w:cs="Arial"/>
          <w:color w:val="000000" w:themeColor="text1"/>
        </w:rPr>
        <w:t xml:space="preserve"> informed decisions </w:t>
      </w:r>
      <w:r w:rsidR="00F8620E" w:rsidRPr="00DB228D">
        <w:rPr>
          <w:rFonts w:ascii="Arial" w:eastAsia="system-ui" w:hAnsi="Arial" w:cs="Arial"/>
          <w:color w:val="000000" w:themeColor="text1"/>
        </w:rPr>
        <w:t xml:space="preserve">on the </w:t>
      </w:r>
      <w:r w:rsidR="00AA00C3" w:rsidRPr="00DB228D">
        <w:rPr>
          <w:rFonts w:ascii="Arial" w:eastAsia="system-ui" w:hAnsi="Arial" w:cs="Arial"/>
          <w:color w:val="000000" w:themeColor="text1"/>
        </w:rPr>
        <w:t>upkeep of newton house. Maintaining the accessibility to the public whilst keeping the house in a nice condition for future generations</w:t>
      </w:r>
      <w:r w:rsidR="0090232B" w:rsidRPr="00DB228D">
        <w:rPr>
          <w:rFonts w:ascii="Arial" w:eastAsia="system-ui" w:hAnsi="Arial" w:cs="Arial"/>
          <w:color w:val="000000" w:themeColor="text1"/>
        </w:rPr>
        <w:t xml:space="preserve">. </w:t>
      </w:r>
    </w:p>
    <w:p w14:paraId="5E1F4CE8" w14:textId="18F9B6DE" w:rsidR="6EC264BA" w:rsidRPr="00DB228D" w:rsidRDefault="6EC264BA" w:rsidP="7E66BC03">
      <w:pPr>
        <w:rPr>
          <w:rFonts w:ascii="Arial" w:eastAsia="Times New Roman" w:hAnsi="Arial" w:cs="Arial"/>
        </w:rPr>
      </w:pPr>
      <w:r w:rsidRPr="00DB228D">
        <w:rPr>
          <w:rFonts w:ascii="Arial" w:eastAsia="system-ui" w:hAnsi="Arial" w:cs="Arial"/>
          <w:color w:val="000000" w:themeColor="text1"/>
        </w:rPr>
        <w:t>The Limits of Acceptable Change (LAC) is a planning and management framework used in outdoor recreation and natural resource management to establish thresholds for acceptable levels of change within a specific area or landscape. Developed in the 1980s, LAC helps managers identify and quantify the desired conditions for recreation and resource protection, as well as the limits beyond which significant adverse impacts occur. By setting these thresholds, managers can assess the cumulative effects of recreational activities, monitor changes over time, and implement management actions to maintain or restore desired conditions. LAC considers various factors such as resource sensitivity, visitor experiences, and social values to inform decision-making and prioritize management actions</w:t>
      </w:r>
      <w:r w:rsidR="69506C43" w:rsidRPr="00DB228D">
        <w:rPr>
          <w:rFonts w:ascii="Arial" w:eastAsia="system-ui" w:hAnsi="Arial" w:cs="Arial"/>
          <w:color w:val="000000" w:themeColor="text1"/>
        </w:rPr>
        <w:t xml:space="preserve"> </w:t>
      </w:r>
      <w:r w:rsidR="69506C43" w:rsidRPr="00DB228D">
        <w:rPr>
          <w:rFonts w:ascii="Arial" w:eastAsia="Times New Roman" w:hAnsi="Arial" w:cs="Arial"/>
        </w:rPr>
        <w:t xml:space="preserve">(Cole and </w:t>
      </w:r>
      <w:proofErr w:type="spellStart"/>
      <w:r w:rsidR="69506C43" w:rsidRPr="00DB228D">
        <w:rPr>
          <w:rFonts w:ascii="Arial" w:eastAsia="Times New Roman" w:hAnsi="Arial" w:cs="Arial"/>
        </w:rPr>
        <w:t>Stankey</w:t>
      </w:r>
      <w:proofErr w:type="spellEnd"/>
      <w:r w:rsidR="69506C43" w:rsidRPr="00DB228D">
        <w:rPr>
          <w:rFonts w:ascii="Arial" w:eastAsia="Times New Roman" w:hAnsi="Arial" w:cs="Arial"/>
        </w:rPr>
        <w:t xml:space="preserve">). </w:t>
      </w:r>
    </w:p>
    <w:p w14:paraId="18803F94" w14:textId="653398EE" w:rsidR="6EC264BA" w:rsidRPr="00DB228D" w:rsidRDefault="00EB6426" w:rsidP="00D23480">
      <w:pPr>
        <w:rPr>
          <w:rFonts w:ascii="Arial" w:eastAsia="system-ui" w:hAnsi="Arial" w:cs="Arial"/>
        </w:rPr>
      </w:pPr>
      <w:r w:rsidRPr="00DB228D">
        <w:rPr>
          <w:rFonts w:ascii="Arial" w:eastAsia="system-ui" w:hAnsi="Arial" w:cs="Arial"/>
        </w:rPr>
        <w:t>For example whilst having a discussion with staff at the park they created a</w:t>
      </w:r>
      <w:r w:rsidR="007862AF" w:rsidRPr="00DB228D">
        <w:rPr>
          <w:rFonts w:ascii="Arial" w:eastAsia="system-ui" w:hAnsi="Arial" w:cs="Arial"/>
        </w:rPr>
        <w:t>n area away f</w:t>
      </w:r>
      <w:r w:rsidR="003213C4" w:rsidRPr="00DB228D">
        <w:rPr>
          <w:rFonts w:ascii="Arial" w:eastAsia="system-ui" w:hAnsi="Arial" w:cs="Arial"/>
        </w:rPr>
        <w:t>rom</w:t>
      </w:r>
      <w:r w:rsidR="007862AF" w:rsidRPr="00DB228D">
        <w:rPr>
          <w:rFonts w:ascii="Arial" w:eastAsia="system-ui" w:hAnsi="Arial" w:cs="Arial"/>
        </w:rPr>
        <w:t xml:space="preserve"> the public to reduce the fear </w:t>
      </w:r>
      <w:r w:rsidR="003213C4" w:rsidRPr="00DB228D">
        <w:rPr>
          <w:rFonts w:ascii="Arial" w:eastAsia="system-ui" w:hAnsi="Arial" w:cs="Arial"/>
        </w:rPr>
        <w:t xml:space="preserve">the deer experienced as it </w:t>
      </w:r>
      <w:r w:rsidR="00460FCB" w:rsidRPr="00DB228D">
        <w:rPr>
          <w:rFonts w:ascii="Arial" w:eastAsia="system-ui" w:hAnsi="Arial" w:cs="Arial"/>
        </w:rPr>
        <w:t xml:space="preserve">was having a detrimental effect on there health and eating </w:t>
      </w:r>
      <w:proofErr w:type="spellStart"/>
      <w:r w:rsidR="00460FCB" w:rsidRPr="00DB228D">
        <w:rPr>
          <w:rFonts w:ascii="Arial" w:eastAsia="system-ui" w:hAnsi="Arial" w:cs="Arial"/>
        </w:rPr>
        <w:t>behaviours</w:t>
      </w:r>
      <w:proofErr w:type="spellEnd"/>
      <w:r w:rsidR="00460FCB" w:rsidRPr="00DB228D">
        <w:rPr>
          <w:rFonts w:ascii="Arial" w:eastAsia="system-ui" w:hAnsi="Arial" w:cs="Arial"/>
        </w:rPr>
        <w:t xml:space="preserve">. Another example of acceptable change is the foot wear caused by visitors </w:t>
      </w:r>
      <w:r w:rsidR="002738AB" w:rsidRPr="00DB228D">
        <w:rPr>
          <w:rFonts w:ascii="Arial" w:eastAsia="system-ui" w:hAnsi="Arial" w:cs="Arial"/>
        </w:rPr>
        <w:t xml:space="preserve">on the rugs in Newton house. The staff at the park explained that </w:t>
      </w:r>
      <w:r w:rsidR="00805DFB" w:rsidRPr="00DB228D">
        <w:rPr>
          <w:rFonts w:ascii="Arial" w:eastAsia="system-ui" w:hAnsi="Arial" w:cs="Arial"/>
        </w:rPr>
        <w:t xml:space="preserve">they bring in replica rugs that they allow to get worn. Not only does this keep the original’s safe it reduces the wear on the wooden flooring </w:t>
      </w:r>
      <w:r w:rsidR="00CD685E" w:rsidRPr="00DB228D">
        <w:rPr>
          <w:rFonts w:ascii="Arial" w:eastAsia="system-ui" w:hAnsi="Arial" w:cs="Arial"/>
        </w:rPr>
        <w:t xml:space="preserve">underneath. A final example of limits of acceptable change is the birdwatching huts. </w:t>
      </w:r>
      <w:r w:rsidR="001804C7" w:rsidRPr="00DB228D">
        <w:rPr>
          <w:rFonts w:ascii="Arial" w:eastAsia="system-ui" w:hAnsi="Arial" w:cs="Arial"/>
        </w:rPr>
        <w:t xml:space="preserve">Staff discovered them </w:t>
      </w:r>
      <w:proofErr w:type="spellStart"/>
      <w:r w:rsidR="001804C7" w:rsidRPr="00DB228D">
        <w:rPr>
          <w:rFonts w:ascii="Arial" w:eastAsia="system-ui" w:hAnsi="Arial" w:cs="Arial"/>
        </w:rPr>
        <w:t>vandalised</w:t>
      </w:r>
      <w:proofErr w:type="spellEnd"/>
      <w:r w:rsidR="001804C7" w:rsidRPr="00DB228D">
        <w:rPr>
          <w:rFonts w:ascii="Arial" w:eastAsia="system-ui" w:hAnsi="Arial" w:cs="Arial"/>
        </w:rPr>
        <w:t xml:space="preserve"> by the public and made the executive decision </w:t>
      </w:r>
      <w:r w:rsidR="00451EB9" w:rsidRPr="00DB228D">
        <w:rPr>
          <w:rFonts w:ascii="Arial" w:eastAsia="system-ui" w:hAnsi="Arial" w:cs="Arial"/>
        </w:rPr>
        <w:t xml:space="preserve">to close them and change them so they were more exposed to the elements which reduced the </w:t>
      </w:r>
      <w:r w:rsidR="00D23480" w:rsidRPr="00DB228D">
        <w:rPr>
          <w:rFonts w:ascii="Arial" w:eastAsia="system-ui" w:hAnsi="Arial" w:cs="Arial"/>
        </w:rPr>
        <w:t xml:space="preserve">attraction to young people and diminished the vandalism. </w:t>
      </w:r>
    </w:p>
    <w:p w14:paraId="212753EC" w14:textId="495F3E0F" w:rsidR="7198CA1D" w:rsidRPr="00DB228D" w:rsidRDefault="7198CA1D" w:rsidP="7E66BC03">
      <w:pPr>
        <w:rPr>
          <w:rFonts w:ascii="Arial" w:eastAsia="system-ui" w:hAnsi="Arial" w:cs="Arial"/>
        </w:rPr>
      </w:pPr>
      <w:r w:rsidRPr="00DB228D">
        <w:rPr>
          <w:rFonts w:ascii="Arial" w:eastAsia="system-ui" w:hAnsi="Arial" w:cs="Arial"/>
          <w:color w:val="000000" w:themeColor="text1"/>
        </w:rPr>
        <w:t>Carrying capacity refers to the maximum number of individuals or users that a given area or ecosystem can sustainably support without experiencing significant degradation or depletion of resources. In the context of outdoor recreation and natural resource management, carrying capacity often pertains to the ability of a recreational site or natural area to accommodate visitors while maintaining ecological integrity, cultural values, and the quality of visitor experiences. Carrying capacity assessments consider factors such as the availability of resources (e.g., water, vegetation), the resilience of ecosystems, visitor use patterns, infrastructure capacity, and social carrying capacity (i.e., the threshold at which visitor crowding or impacts negatively affect user satisfaction). By determining and managing carrying capacity, land managers can strive to balance the demand for recreational opportunities with the need to conserve natural and cultural resources, mitigate environmental impacts, and ensure enjoyable and sustainable experiences for present and future generations</w:t>
      </w:r>
      <w:r w:rsidR="74C55E4F" w:rsidRPr="00DB228D">
        <w:rPr>
          <w:rFonts w:ascii="Arial" w:eastAsia="system-ui" w:hAnsi="Arial" w:cs="Arial"/>
          <w:color w:val="000000" w:themeColor="text1"/>
        </w:rPr>
        <w:t xml:space="preserve"> </w:t>
      </w:r>
      <w:r w:rsidR="74C55E4F" w:rsidRPr="00DB228D">
        <w:rPr>
          <w:rFonts w:ascii="Arial" w:eastAsia="Times New Roman" w:hAnsi="Arial" w:cs="Arial"/>
        </w:rPr>
        <w:t>(</w:t>
      </w:r>
      <w:proofErr w:type="spellStart"/>
      <w:r w:rsidR="74C55E4F" w:rsidRPr="00DB228D">
        <w:rPr>
          <w:rFonts w:ascii="Arial" w:eastAsia="Times New Roman" w:hAnsi="Arial" w:cs="Arial"/>
        </w:rPr>
        <w:t>Ajuhari</w:t>
      </w:r>
      <w:proofErr w:type="spellEnd"/>
      <w:r w:rsidR="74C55E4F" w:rsidRPr="00DB228D">
        <w:rPr>
          <w:rFonts w:ascii="Arial" w:eastAsia="Times New Roman" w:hAnsi="Arial" w:cs="Arial"/>
        </w:rPr>
        <w:t xml:space="preserve"> et al.).</w:t>
      </w:r>
    </w:p>
    <w:p w14:paraId="0ED3CB72" w14:textId="3A5B6115" w:rsidR="3FA2C692" w:rsidRPr="00DB228D" w:rsidRDefault="3FA2C692" w:rsidP="7E66BC03">
      <w:pPr>
        <w:rPr>
          <w:rFonts w:ascii="Arial" w:hAnsi="Arial" w:cs="Arial"/>
        </w:rPr>
      </w:pPr>
      <w:r w:rsidRPr="00DB228D">
        <w:rPr>
          <w:rFonts w:ascii="Arial" w:eastAsia="system-ui" w:hAnsi="Arial" w:cs="Arial"/>
          <w:color w:val="000000" w:themeColor="text1"/>
        </w:rPr>
        <w:t xml:space="preserve">Applying carrying capacity principles to </w:t>
      </w:r>
      <w:proofErr w:type="spellStart"/>
      <w:r w:rsidRPr="00DB228D">
        <w:rPr>
          <w:rFonts w:ascii="Arial" w:eastAsia="system-ui" w:hAnsi="Arial" w:cs="Arial"/>
          <w:color w:val="000000" w:themeColor="text1"/>
        </w:rPr>
        <w:t>Dinefwr</w:t>
      </w:r>
      <w:proofErr w:type="spellEnd"/>
      <w:r w:rsidRPr="00DB228D">
        <w:rPr>
          <w:rFonts w:ascii="Arial" w:eastAsia="system-ui" w:hAnsi="Arial" w:cs="Arial"/>
          <w:color w:val="000000" w:themeColor="text1"/>
        </w:rPr>
        <w:t xml:space="preserve"> Park involves assessing the park's ability to support recreational activities while maintaining ecological integrity, cultural </w:t>
      </w:r>
      <w:r w:rsidRPr="00DB228D">
        <w:rPr>
          <w:rFonts w:ascii="Arial" w:eastAsia="system-ui" w:hAnsi="Arial" w:cs="Arial"/>
          <w:color w:val="000000" w:themeColor="text1"/>
        </w:rPr>
        <w:lastRenderedPageBreak/>
        <w:t xml:space="preserve">values, and the quality of visitor experiences. Firstly, evaluating ecological carrying capacity entails determining the park's capacity to sustainably support flora and fauna, considering factors such as habitat availability, wildlife populations, and the resilience of ecosystems to recreational pressures. Secondly, assessing social carrying capacity involves understanding visitor use patterns, satisfaction levels, and perceptions of crowding or congestion to ensure that visitor experiences remain positive and enjoyable. Infrastructure carrying capacity examines the park's capacity to accommodate visitor needs in terms of facilities, trails, and parking, while maintaining the park's aesthetic and historical values. By considering these aspects of carrying capacity, managers can implement strategies such as visitor use limits, trail management, and visitor education to ensure that recreational activities at </w:t>
      </w:r>
      <w:proofErr w:type="spellStart"/>
      <w:r w:rsidRPr="00DB228D">
        <w:rPr>
          <w:rFonts w:ascii="Arial" w:eastAsia="system-ui" w:hAnsi="Arial" w:cs="Arial"/>
          <w:color w:val="000000" w:themeColor="text1"/>
        </w:rPr>
        <w:t>Dinefwr</w:t>
      </w:r>
      <w:proofErr w:type="spellEnd"/>
      <w:r w:rsidRPr="00DB228D">
        <w:rPr>
          <w:rFonts w:ascii="Arial" w:eastAsia="system-ui" w:hAnsi="Arial" w:cs="Arial"/>
          <w:color w:val="000000" w:themeColor="text1"/>
        </w:rPr>
        <w:t xml:space="preserve"> Park are sustainable and compatible with the park's conservation goals.</w:t>
      </w:r>
    </w:p>
    <w:p w14:paraId="3ED1BBD5" w14:textId="1A10429F" w:rsidR="4B7E1053" w:rsidRPr="00DB228D" w:rsidRDefault="4B7E1053" w:rsidP="7E66BC03">
      <w:pPr>
        <w:rPr>
          <w:rFonts w:ascii="Arial" w:eastAsia="system-ui" w:hAnsi="Arial" w:cs="Arial"/>
          <w:color w:val="000000" w:themeColor="text1"/>
        </w:rPr>
      </w:pPr>
      <w:r w:rsidRPr="00DB228D">
        <w:rPr>
          <w:rFonts w:ascii="Arial" w:eastAsia="system-ui" w:hAnsi="Arial" w:cs="Arial"/>
          <w:color w:val="000000" w:themeColor="text1"/>
        </w:rPr>
        <w:t>Indications of quality standards in outdoor recreation and natural resource management encompass several key aspects. These include environmental sustainability, reflected in measures of ecosystem health and biodiversity. Additionally, indicators of visitor experience, such as satisfaction surveys and user feedback, help assess the effectiveness of management efforts in meeting visitor needs. Resource protection is another vital aspect, evidenced by the absence of damage to natural resources like erosion or disturbance to wildlife. Social equity and inclusivity indicators focus on ensuring access for diverse user groups and representation in decision-making processes. Economic viability measures consider revenue generation and contributions to local economies. Finally, compliance and enforcement indicators monitor adherence to rules and regulations, essential for maintaining standards. Monitoring these indicators enables managers to evaluate management strategies and ensure that outdoor recreation experiences are both enjoyable and sustainable for visitors and the environment</w:t>
      </w:r>
      <w:r w:rsidR="1C614D70" w:rsidRPr="00DB228D">
        <w:rPr>
          <w:rFonts w:ascii="Arial" w:eastAsia="system-ui" w:hAnsi="Arial" w:cs="Arial"/>
          <w:color w:val="000000" w:themeColor="text1"/>
        </w:rPr>
        <w:t>.</w:t>
      </w:r>
    </w:p>
    <w:p w14:paraId="1ED9C38B" w14:textId="40DC3770" w:rsidR="649A61F9" w:rsidRPr="00DB228D" w:rsidRDefault="649A61F9" w:rsidP="7E66BC03">
      <w:pPr>
        <w:rPr>
          <w:rFonts w:ascii="Arial" w:eastAsia="Aptos" w:hAnsi="Arial" w:cs="Arial"/>
        </w:rPr>
      </w:pPr>
      <w:r w:rsidRPr="00DB228D">
        <w:rPr>
          <w:rFonts w:ascii="Arial" w:eastAsia="system-ui" w:hAnsi="Arial" w:cs="Arial"/>
          <w:color w:val="000000" w:themeColor="text1"/>
        </w:rPr>
        <w:t xml:space="preserve">In the context of </w:t>
      </w:r>
      <w:proofErr w:type="spellStart"/>
      <w:r w:rsidRPr="00DB228D">
        <w:rPr>
          <w:rFonts w:ascii="Arial" w:eastAsia="system-ui" w:hAnsi="Arial" w:cs="Arial"/>
          <w:color w:val="000000" w:themeColor="text1"/>
        </w:rPr>
        <w:t>Dinefwr</w:t>
      </w:r>
      <w:proofErr w:type="spellEnd"/>
      <w:r w:rsidRPr="00DB228D">
        <w:rPr>
          <w:rFonts w:ascii="Arial" w:eastAsia="system-ui" w:hAnsi="Arial" w:cs="Arial"/>
          <w:color w:val="000000" w:themeColor="text1"/>
        </w:rPr>
        <w:t xml:space="preserve"> Park, indicators of quality standards would encompass several key elements. </w:t>
      </w:r>
      <w:r w:rsidRPr="00DB228D">
        <w:rPr>
          <w:rFonts w:ascii="Arial" w:hAnsi="Arial" w:cs="Arial"/>
        </w:rPr>
        <w:t xml:space="preserve">These include environmental sustainability, visitor experience, resource protection, social equity, economic viability, and compliance and enforcement. Environmental sustainability can be measured by the park's ecosystem health, biodiversity, and natural processes. Visitor experience may be assessed through satisfaction feedback on amenities, and visitor numbers. Resource protection could be monitored for signs of damage to natural resources. Social equity and inclusivity might focus on ensuring access for diverse user groups and engaging with local communities. Economic viability should consider revenue generation from park activities and the park's contribution to the local economy. Compliance and enforcement would assess rule adherence and enforcement efforts. Monitoring these indicators will help managers evaluate management strategies and ensure </w:t>
      </w:r>
      <w:proofErr w:type="spellStart"/>
      <w:r w:rsidRPr="00DB228D">
        <w:rPr>
          <w:rFonts w:ascii="Arial" w:hAnsi="Arial" w:cs="Arial"/>
        </w:rPr>
        <w:t>Dinefwr</w:t>
      </w:r>
      <w:proofErr w:type="spellEnd"/>
      <w:r w:rsidRPr="00DB228D">
        <w:rPr>
          <w:rFonts w:ascii="Arial" w:hAnsi="Arial" w:cs="Arial"/>
        </w:rPr>
        <w:t xml:space="preserve"> Park offers sustainable outdoor recreation experiences while conserving its natural and cultural heritage.</w:t>
      </w:r>
      <w:r w:rsidR="0A823EC0" w:rsidRPr="00DB228D">
        <w:rPr>
          <w:rFonts w:ascii="Arial" w:eastAsia="Aptos" w:hAnsi="Arial" w:cs="Arial"/>
        </w:rPr>
        <w:t xml:space="preserve"> </w:t>
      </w:r>
    </w:p>
    <w:p w14:paraId="7F016C17" w14:textId="1D94E696" w:rsidR="23D1E7B3" w:rsidRPr="00DB228D" w:rsidRDefault="23D1E7B3" w:rsidP="70BC24BD">
      <w:pPr>
        <w:rPr>
          <w:rFonts w:ascii="Arial" w:eastAsia="Aptos" w:hAnsi="Arial" w:cs="Arial"/>
        </w:rPr>
      </w:pPr>
      <w:r w:rsidRPr="00DB228D">
        <w:rPr>
          <w:rFonts w:ascii="Arial" w:eastAsia="Aptos" w:hAnsi="Arial" w:cs="Arial"/>
        </w:rPr>
        <w:lastRenderedPageBreak/>
        <w:t>Conclusion:</w:t>
      </w:r>
    </w:p>
    <w:p w14:paraId="43BE37DD" w14:textId="26A0E670" w:rsidR="19FA2E49" w:rsidRPr="00DB228D" w:rsidRDefault="19FA2E49" w:rsidP="70BC24BD">
      <w:pPr>
        <w:rPr>
          <w:rFonts w:ascii="Arial" w:eastAsia="Aptos" w:hAnsi="Arial" w:cs="Arial"/>
        </w:rPr>
      </w:pPr>
      <w:r w:rsidRPr="00DB228D">
        <w:rPr>
          <w:rFonts w:ascii="Arial" w:eastAsia="system-ui" w:hAnsi="Arial" w:cs="Arial"/>
          <w:color w:val="0D0D0D" w:themeColor="text1" w:themeTint="F2"/>
        </w:rPr>
        <w:t xml:space="preserve">In conclusion, the management of </w:t>
      </w:r>
      <w:proofErr w:type="spellStart"/>
      <w:r w:rsidRPr="00DB228D">
        <w:rPr>
          <w:rFonts w:ascii="Arial" w:eastAsia="system-ui" w:hAnsi="Arial" w:cs="Arial"/>
          <w:color w:val="0D0D0D" w:themeColor="text1" w:themeTint="F2"/>
        </w:rPr>
        <w:t>Dinefwr</w:t>
      </w:r>
      <w:proofErr w:type="spellEnd"/>
      <w:r w:rsidRPr="00DB228D">
        <w:rPr>
          <w:rFonts w:ascii="Arial" w:eastAsia="system-ui" w:hAnsi="Arial" w:cs="Arial"/>
          <w:color w:val="0D0D0D" w:themeColor="text1" w:themeTint="F2"/>
        </w:rPr>
        <w:t xml:space="preserve"> Park presents a multifaceted challenge that requires a holistic approach integrating principles of outdoor recreation, natural resource management, and visitor experience. By adopting conceptual frameworks such as the ROS and the LAC, managers can assess the diverse recreational opportunities within the park, set goals for resource protection and visitor experience, and implement strategies to achieve these objectives. Additionally, applying concepts such as carrying capacity helps ensure that recreational activities are sustainable and compatible with the park's ecological and cultural values. By monitoring indicators of quality standards and continuously evaluating management efforts, </w:t>
      </w:r>
      <w:proofErr w:type="spellStart"/>
      <w:r w:rsidRPr="00DB228D">
        <w:rPr>
          <w:rFonts w:ascii="Arial" w:eastAsia="system-ui" w:hAnsi="Arial" w:cs="Arial"/>
          <w:color w:val="0D0D0D" w:themeColor="text1" w:themeTint="F2"/>
        </w:rPr>
        <w:t>Dinefwr</w:t>
      </w:r>
      <w:proofErr w:type="spellEnd"/>
      <w:r w:rsidRPr="00DB228D">
        <w:rPr>
          <w:rFonts w:ascii="Arial" w:eastAsia="system-ui" w:hAnsi="Arial" w:cs="Arial"/>
          <w:color w:val="0D0D0D" w:themeColor="text1" w:themeTint="F2"/>
        </w:rPr>
        <w:t xml:space="preserve"> Park can continue to provide enriching and sustainable outdoor recreation experiences for visitors while conserving its natural and cultural heritage for future generations to enjoy</w:t>
      </w:r>
    </w:p>
    <w:p w14:paraId="65E015C3" w14:textId="26585266" w:rsidR="23D1E7B3" w:rsidRPr="00DB228D" w:rsidRDefault="23D1E7B3" w:rsidP="70BC24BD">
      <w:pPr>
        <w:rPr>
          <w:rFonts w:ascii="Arial" w:eastAsia="Aptos" w:hAnsi="Arial" w:cs="Arial"/>
        </w:rPr>
      </w:pPr>
      <w:r w:rsidRPr="00DB228D">
        <w:rPr>
          <w:rFonts w:ascii="Arial" w:eastAsia="Aptos" w:hAnsi="Arial" w:cs="Arial"/>
        </w:rPr>
        <w:t xml:space="preserve">References: </w:t>
      </w:r>
    </w:p>
    <w:p w14:paraId="686DBAE7" w14:textId="016FFBE1" w:rsidR="0CCDC775" w:rsidRPr="00DB228D" w:rsidRDefault="3B27D0F1" w:rsidP="7E66BC03">
      <w:pPr>
        <w:spacing w:after="0" w:line="480" w:lineRule="auto"/>
        <w:ind w:left="720" w:hanging="720"/>
        <w:rPr>
          <w:rFonts w:ascii="Arial" w:hAnsi="Arial" w:cs="Arial"/>
        </w:rPr>
      </w:pPr>
      <w:proofErr w:type="spellStart"/>
      <w:r w:rsidRPr="00DB228D">
        <w:rPr>
          <w:rFonts w:ascii="Arial" w:eastAsia="Times New Roman" w:hAnsi="Arial" w:cs="Arial"/>
        </w:rPr>
        <w:t>Ajuhari</w:t>
      </w:r>
      <w:proofErr w:type="spellEnd"/>
      <w:r w:rsidRPr="00DB228D">
        <w:rPr>
          <w:rFonts w:ascii="Arial" w:eastAsia="Times New Roman" w:hAnsi="Arial" w:cs="Arial"/>
        </w:rPr>
        <w:t xml:space="preserve">, </w:t>
      </w:r>
      <w:proofErr w:type="spellStart"/>
      <w:r w:rsidRPr="00DB228D">
        <w:rPr>
          <w:rFonts w:ascii="Arial" w:eastAsia="Times New Roman" w:hAnsi="Arial" w:cs="Arial"/>
        </w:rPr>
        <w:t>Zamru</w:t>
      </w:r>
      <w:proofErr w:type="spellEnd"/>
      <w:r w:rsidRPr="00DB228D">
        <w:rPr>
          <w:rFonts w:ascii="Arial" w:eastAsia="Times New Roman" w:hAnsi="Arial" w:cs="Arial"/>
        </w:rPr>
        <w:t xml:space="preserve">, et al. “Systematic Literature Review on Methods of Assessing Carrying Capacity in Recreation and Tourism Destinations.” </w:t>
      </w:r>
      <w:r w:rsidRPr="00DB228D">
        <w:rPr>
          <w:rFonts w:ascii="Arial" w:eastAsia="Times New Roman" w:hAnsi="Arial" w:cs="Arial"/>
          <w:i/>
          <w:iCs/>
        </w:rPr>
        <w:t>Sustainability</w:t>
      </w:r>
      <w:r w:rsidRPr="00DB228D">
        <w:rPr>
          <w:rFonts w:ascii="Arial" w:eastAsia="Times New Roman" w:hAnsi="Arial" w:cs="Arial"/>
        </w:rPr>
        <w:t xml:space="preserve">, vol. 15, no. 4, 14 Feb. 2023, p. 3474, </w:t>
      </w:r>
      <w:hyperlink r:id="rId5">
        <w:r w:rsidRPr="00DB228D">
          <w:rPr>
            <w:rStyle w:val="Hyperlink"/>
            <w:rFonts w:ascii="Arial" w:hAnsi="Arial" w:cs="Arial"/>
          </w:rPr>
          <w:t>https://doi.org/10.3390/su15043474</w:t>
        </w:r>
      </w:hyperlink>
      <w:r w:rsidRPr="00DB228D">
        <w:rPr>
          <w:rFonts w:ascii="Arial" w:eastAsia="Times New Roman" w:hAnsi="Arial" w:cs="Arial"/>
        </w:rPr>
        <w:t>.</w:t>
      </w:r>
    </w:p>
    <w:p w14:paraId="32B625DA" w14:textId="0D2EEDC8" w:rsidR="0CCDC775" w:rsidRPr="00DB228D" w:rsidRDefault="3B27D0F1" w:rsidP="7E66BC03">
      <w:pPr>
        <w:spacing w:after="0" w:line="480" w:lineRule="auto"/>
        <w:ind w:left="720" w:hanging="720"/>
        <w:rPr>
          <w:rFonts w:ascii="Arial" w:hAnsi="Arial" w:cs="Arial"/>
        </w:rPr>
      </w:pPr>
      <w:r w:rsidRPr="00DB228D">
        <w:rPr>
          <w:rFonts w:ascii="Arial" w:eastAsia="Times New Roman" w:hAnsi="Arial" w:cs="Arial"/>
        </w:rPr>
        <w:t xml:space="preserve">Cole, David N, and George H </w:t>
      </w:r>
      <w:proofErr w:type="spellStart"/>
      <w:r w:rsidRPr="00DB228D">
        <w:rPr>
          <w:rFonts w:ascii="Arial" w:eastAsia="Times New Roman" w:hAnsi="Arial" w:cs="Arial"/>
        </w:rPr>
        <w:t>Stankey</w:t>
      </w:r>
      <w:proofErr w:type="spellEnd"/>
      <w:r w:rsidRPr="00DB228D">
        <w:rPr>
          <w:rFonts w:ascii="Arial" w:eastAsia="Times New Roman" w:hAnsi="Arial" w:cs="Arial"/>
        </w:rPr>
        <w:t xml:space="preserve">. </w:t>
      </w:r>
      <w:r w:rsidRPr="00DB228D">
        <w:rPr>
          <w:rFonts w:ascii="Arial" w:eastAsia="Times New Roman" w:hAnsi="Arial" w:cs="Arial"/>
          <w:i/>
          <w:iCs/>
        </w:rPr>
        <w:t>Historical Development of Limits of Acceptable Change: Conceptual Clarifications and Possible Extensions</w:t>
      </w:r>
      <w:r w:rsidRPr="00DB228D">
        <w:rPr>
          <w:rFonts w:ascii="Arial" w:eastAsia="Times New Roman" w:hAnsi="Arial" w:cs="Arial"/>
        </w:rPr>
        <w:t>. Vol. 371, 1 Jan. 1997. Accessed 10 May 2024.</w:t>
      </w:r>
    </w:p>
    <w:p w14:paraId="6398681D" w14:textId="0EB010A9" w:rsidR="0CCDC775" w:rsidRPr="00DB228D" w:rsidRDefault="3B27D0F1" w:rsidP="7E66BC03">
      <w:pPr>
        <w:spacing w:after="0" w:line="480" w:lineRule="auto"/>
        <w:ind w:left="720" w:hanging="720"/>
        <w:rPr>
          <w:rFonts w:ascii="Arial" w:hAnsi="Arial" w:cs="Arial"/>
        </w:rPr>
      </w:pPr>
      <w:r w:rsidRPr="00DB228D">
        <w:rPr>
          <w:rFonts w:ascii="Arial" w:eastAsia="Times New Roman" w:hAnsi="Arial" w:cs="Arial"/>
        </w:rPr>
        <w:t>“</w:t>
      </w:r>
      <w:proofErr w:type="spellStart"/>
      <w:r w:rsidRPr="00DB228D">
        <w:rPr>
          <w:rFonts w:ascii="Arial" w:eastAsia="Times New Roman" w:hAnsi="Arial" w:cs="Arial"/>
        </w:rPr>
        <w:t>Dinefwr</w:t>
      </w:r>
      <w:proofErr w:type="spellEnd"/>
      <w:r w:rsidRPr="00DB228D">
        <w:rPr>
          <w:rFonts w:ascii="Arial" w:eastAsia="Times New Roman" w:hAnsi="Arial" w:cs="Arial"/>
        </w:rPr>
        <w:t xml:space="preserve"> | Carmarthenshire | Wales.” </w:t>
      </w:r>
      <w:r w:rsidRPr="00DB228D">
        <w:rPr>
          <w:rFonts w:ascii="Arial" w:eastAsia="Times New Roman" w:hAnsi="Arial" w:cs="Arial"/>
          <w:i/>
          <w:iCs/>
        </w:rPr>
        <w:t>National Trust</w:t>
      </w:r>
      <w:r w:rsidRPr="00DB228D">
        <w:rPr>
          <w:rFonts w:ascii="Arial" w:eastAsia="Times New Roman" w:hAnsi="Arial" w:cs="Arial"/>
        </w:rPr>
        <w:t xml:space="preserve">, </w:t>
      </w:r>
      <w:hyperlink>
        <w:r w:rsidRPr="00DB228D">
          <w:rPr>
            <w:rStyle w:val="Hyperlink"/>
            <w:rFonts w:ascii="Arial" w:hAnsi="Arial" w:cs="Arial"/>
          </w:rPr>
          <w:t>www.nationaltrust.org.uk/visit/wales/dinefwr</w:t>
        </w:r>
      </w:hyperlink>
      <w:r w:rsidRPr="00DB228D">
        <w:rPr>
          <w:rFonts w:ascii="Arial" w:eastAsia="Times New Roman" w:hAnsi="Arial" w:cs="Arial"/>
        </w:rPr>
        <w:t>.</w:t>
      </w:r>
    </w:p>
    <w:p w14:paraId="0AAC37E3" w14:textId="51857365" w:rsidR="0CCDC775" w:rsidRPr="00DB228D" w:rsidRDefault="3B27D0F1" w:rsidP="7E66BC03">
      <w:pPr>
        <w:spacing w:after="0" w:line="480" w:lineRule="auto"/>
        <w:ind w:left="720" w:hanging="720"/>
        <w:rPr>
          <w:rFonts w:ascii="Arial" w:hAnsi="Arial" w:cs="Arial"/>
        </w:rPr>
      </w:pPr>
      <w:proofErr w:type="spellStart"/>
      <w:r w:rsidRPr="00DB228D">
        <w:rPr>
          <w:rFonts w:ascii="Arial" w:eastAsia="Times New Roman" w:hAnsi="Arial" w:cs="Arial"/>
        </w:rPr>
        <w:t>Harshaw</w:t>
      </w:r>
      <w:proofErr w:type="spellEnd"/>
      <w:r w:rsidRPr="00DB228D">
        <w:rPr>
          <w:rFonts w:ascii="Arial" w:eastAsia="Times New Roman" w:hAnsi="Arial" w:cs="Arial"/>
        </w:rPr>
        <w:t xml:space="preserve">, H.W., and S.R.J. Sheppard. “Using the Recreation Opportunity Spectrum to Evaluate the Temporal Impacts of Timber Harvesting on Outdoor Recreation Settings.” </w:t>
      </w:r>
      <w:r w:rsidRPr="00DB228D">
        <w:rPr>
          <w:rFonts w:ascii="Arial" w:eastAsia="Times New Roman" w:hAnsi="Arial" w:cs="Arial"/>
          <w:i/>
          <w:iCs/>
        </w:rPr>
        <w:t>Journal of Outdoor Recreation and Tourism</w:t>
      </w:r>
      <w:r w:rsidRPr="00DB228D">
        <w:rPr>
          <w:rFonts w:ascii="Arial" w:eastAsia="Times New Roman" w:hAnsi="Arial" w:cs="Arial"/>
        </w:rPr>
        <w:t xml:space="preserve">, vol. 1-2, June 2013, pp. 40–50, </w:t>
      </w:r>
      <w:hyperlink r:id="rId6">
        <w:r w:rsidRPr="00DB228D">
          <w:rPr>
            <w:rStyle w:val="Hyperlink"/>
            <w:rFonts w:ascii="Arial" w:hAnsi="Arial" w:cs="Arial"/>
          </w:rPr>
          <w:t>https://doi.org/10.1016/j.jort.2013.03.001</w:t>
        </w:r>
      </w:hyperlink>
      <w:r w:rsidRPr="00DB228D">
        <w:rPr>
          <w:rFonts w:ascii="Arial" w:eastAsia="Times New Roman" w:hAnsi="Arial" w:cs="Arial"/>
        </w:rPr>
        <w:t>. Accessed 6 Dec. 2019.</w:t>
      </w:r>
    </w:p>
    <w:p w14:paraId="5B257D79" w14:textId="23B9FD70" w:rsidR="0CCDC775" w:rsidRPr="00DB228D" w:rsidRDefault="3B27D0F1" w:rsidP="7E66BC03">
      <w:pPr>
        <w:spacing w:after="0" w:line="480" w:lineRule="auto"/>
        <w:ind w:left="720" w:hanging="720"/>
        <w:rPr>
          <w:rFonts w:ascii="Arial" w:hAnsi="Arial" w:cs="Arial"/>
        </w:rPr>
      </w:pPr>
      <w:r w:rsidRPr="00DB228D">
        <w:rPr>
          <w:rFonts w:ascii="Arial" w:eastAsia="Times New Roman" w:hAnsi="Arial" w:cs="Arial"/>
        </w:rPr>
        <w:t xml:space="preserve">“History of </w:t>
      </w:r>
      <w:proofErr w:type="spellStart"/>
      <w:r w:rsidRPr="00DB228D">
        <w:rPr>
          <w:rFonts w:ascii="Arial" w:eastAsia="Times New Roman" w:hAnsi="Arial" w:cs="Arial"/>
        </w:rPr>
        <w:t>Dinefwr</w:t>
      </w:r>
      <w:proofErr w:type="spellEnd"/>
      <w:r w:rsidRPr="00DB228D">
        <w:rPr>
          <w:rFonts w:ascii="Arial" w:eastAsia="Times New Roman" w:hAnsi="Arial" w:cs="Arial"/>
        </w:rPr>
        <w:t xml:space="preserve">| </w:t>
      </w:r>
      <w:proofErr w:type="spellStart"/>
      <w:r w:rsidRPr="00DB228D">
        <w:rPr>
          <w:rFonts w:ascii="Arial" w:eastAsia="Times New Roman" w:hAnsi="Arial" w:cs="Arial"/>
        </w:rPr>
        <w:t>Llandeilo</w:t>
      </w:r>
      <w:proofErr w:type="spellEnd"/>
      <w:r w:rsidRPr="00DB228D">
        <w:rPr>
          <w:rFonts w:ascii="Arial" w:eastAsia="Times New Roman" w:hAnsi="Arial" w:cs="Arial"/>
        </w:rPr>
        <w:t xml:space="preserve"> |Wales.” </w:t>
      </w:r>
      <w:r w:rsidRPr="00DB228D">
        <w:rPr>
          <w:rFonts w:ascii="Arial" w:eastAsia="Times New Roman" w:hAnsi="Arial" w:cs="Arial"/>
          <w:i/>
          <w:iCs/>
        </w:rPr>
        <w:t>National Trust</w:t>
      </w:r>
      <w:r w:rsidRPr="00DB228D">
        <w:rPr>
          <w:rFonts w:ascii="Arial" w:eastAsia="Times New Roman" w:hAnsi="Arial" w:cs="Arial"/>
        </w:rPr>
        <w:t xml:space="preserve">, </w:t>
      </w:r>
      <w:hyperlink>
        <w:r w:rsidRPr="00DB228D">
          <w:rPr>
            <w:rStyle w:val="Hyperlink"/>
            <w:rFonts w:ascii="Arial" w:hAnsi="Arial" w:cs="Arial"/>
          </w:rPr>
          <w:t>www.nationaltrust.org.uk/visit/wales/dinefwr/history-of-dinefwr</w:t>
        </w:r>
      </w:hyperlink>
      <w:r w:rsidRPr="00DB228D">
        <w:rPr>
          <w:rFonts w:ascii="Arial" w:eastAsia="Times New Roman" w:hAnsi="Arial" w:cs="Arial"/>
        </w:rPr>
        <w:t>. Accessed 10 May 2024.</w:t>
      </w:r>
    </w:p>
    <w:p w14:paraId="3088C866" w14:textId="7BB084C2" w:rsidR="0CCDC775" w:rsidRPr="00DB228D" w:rsidRDefault="3B27D0F1" w:rsidP="7E66BC03">
      <w:pPr>
        <w:spacing w:after="0" w:line="480" w:lineRule="auto"/>
        <w:ind w:left="720" w:hanging="720"/>
        <w:rPr>
          <w:rFonts w:ascii="Arial" w:hAnsi="Arial" w:cs="Arial"/>
        </w:rPr>
      </w:pPr>
      <w:r w:rsidRPr="00DB228D">
        <w:rPr>
          <w:rFonts w:ascii="Arial" w:eastAsia="Times New Roman" w:hAnsi="Arial" w:cs="Arial"/>
        </w:rPr>
        <w:lastRenderedPageBreak/>
        <w:t>“</w:t>
      </w:r>
      <w:proofErr w:type="spellStart"/>
      <w:r w:rsidRPr="00DB228D">
        <w:rPr>
          <w:rFonts w:ascii="Arial" w:eastAsia="Times New Roman" w:hAnsi="Arial" w:cs="Arial"/>
        </w:rPr>
        <w:t>Llandeilo</w:t>
      </w:r>
      <w:proofErr w:type="spellEnd"/>
      <w:r w:rsidRPr="00DB228D">
        <w:rPr>
          <w:rFonts w:ascii="Arial" w:eastAsia="Times New Roman" w:hAnsi="Arial" w:cs="Arial"/>
        </w:rPr>
        <w:t xml:space="preserve"> History - </w:t>
      </w:r>
      <w:proofErr w:type="spellStart"/>
      <w:r w:rsidRPr="00DB228D">
        <w:rPr>
          <w:rFonts w:ascii="Arial" w:eastAsia="Times New Roman" w:hAnsi="Arial" w:cs="Arial"/>
        </w:rPr>
        <w:t>Dinefwr</w:t>
      </w:r>
      <w:proofErr w:type="spellEnd"/>
      <w:r w:rsidRPr="00DB228D">
        <w:rPr>
          <w:rFonts w:ascii="Arial" w:eastAsia="Times New Roman" w:hAnsi="Arial" w:cs="Arial"/>
        </w:rPr>
        <w:t xml:space="preserve"> Park - Introduction.” </w:t>
      </w:r>
      <w:hyperlink>
        <w:r w:rsidRPr="00DB228D">
          <w:rPr>
            <w:rStyle w:val="Hyperlink"/>
            <w:rFonts w:ascii="Arial" w:hAnsi="Arial" w:cs="Arial"/>
            <w:i/>
            <w:iCs/>
          </w:rPr>
          <w:t>Www.llandeilo.org</w:t>
        </w:r>
      </w:hyperlink>
      <w:r w:rsidRPr="00DB228D">
        <w:rPr>
          <w:rFonts w:ascii="Arial" w:eastAsia="Times New Roman" w:hAnsi="Arial" w:cs="Arial"/>
        </w:rPr>
        <w:t xml:space="preserve">, </w:t>
      </w:r>
      <w:hyperlink>
        <w:r w:rsidRPr="00DB228D">
          <w:rPr>
            <w:rStyle w:val="Hyperlink"/>
            <w:rFonts w:ascii="Arial" w:hAnsi="Arial" w:cs="Arial"/>
          </w:rPr>
          <w:t>www.llandeilo.org/nt_intro.php</w:t>
        </w:r>
      </w:hyperlink>
      <w:r w:rsidRPr="00DB228D">
        <w:rPr>
          <w:rFonts w:ascii="Arial" w:eastAsia="Times New Roman" w:hAnsi="Arial" w:cs="Arial"/>
        </w:rPr>
        <w:t>. Accessed 10 May 2024.</w:t>
      </w:r>
    </w:p>
    <w:p w14:paraId="72AC927B" w14:textId="73E9AEE2" w:rsidR="0CCDC775" w:rsidRPr="00DB228D" w:rsidRDefault="3B27D0F1" w:rsidP="7E66BC03">
      <w:pPr>
        <w:spacing w:after="0" w:line="480" w:lineRule="auto"/>
        <w:ind w:left="720" w:hanging="720"/>
        <w:rPr>
          <w:rFonts w:ascii="Arial" w:hAnsi="Arial" w:cs="Arial"/>
        </w:rPr>
      </w:pPr>
      <w:r w:rsidRPr="00DB228D">
        <w:rPr>
          <w:rFonts w:ascii="Arial" w:eastAsia="Times New Roman" w:hAnsi="Arial" w:cs="Arial"/>
        </w:rPr>
        <w:t xml:space="preserve">“Natural Resources Wales / Sites of Special Scientific Interest: Responsibilities of Owners and Occupiers.” </w:t>
      </w:r>
      <w:proofErr w:type="spellStart"/>
      <w:r w:rsidRPr="00DB228D">
        <w:rPr>
          <w:rFonts w:ascii="Arial" w:eastAsia="Times New Roman" w:hAnsi="Arial" w:cs="Arial"/>
          <w:i/>
          <w:iCs/>
        </w:rPr>
        <w:t>Naturalresources.wales</w:t>
      </w:r>
      <w:proofErr w:type="spellEnd"/>
      <w:r w:rsidRPr="00DB228D">
        <w:rPr>
          <w:rFonts w:ascii="Arial" w:eastAsia="Times New Roman" w:hAnsi="Arial" w:cs="Arial"/>
        </w:rPr>
        <w:t>, 2019, naturalresources.wales/guidance-and-advice/environmental-topics/wildlife-and-biodiversity/protected-areas-of-land-and-seas/sites-of-special-scientific-interest-responsibilities-of-owners-and-occupiers/?lang=en.</w:t>
      </w:r>
    </w:p>
    <w:p w14:paraId="12909CC5" w14:textId="306BFB7F" w:rsidR="0CCDC775" w:rsidRPr="00DB228D" w:rsidRDefault="3B27D0F1" w:rsidP="7E66BC03">
      <w:pPr>
        <w:spacing w:after="0" w:line="480" w:lineRule="auto"/>
        <w:ind w:left="720" w:hanging="720"/>
        <w:rPr>
          <w:rFonts w:ascii="Arial" w:hAnsi="Arial" w:cs="Arial"/>
        </w:rPr>
      </w:pPr>
      <w:proofErr w:type="spellStart"/>
      <w:r w:rsidRPr="00DB228D">
        <w:rPr>
          <w:rFonts w:ascii="Arial" w:eastAsia="Times New Roman" w:hAnsi="Arial" w:cs="Arial"/>
        </w:rPr>
        <w:t>Ojeda</w:t>
      </w:r>
      <w:proofErr w:type="spellEnd"/>
      <w:r w:rsidRPr="00DB228D">
        <w:rPr>
          <w:rFonts w:ascii="Arial" w:eastAsia="Times New Roman" w:hAnsi="Arial" w:cs="Arial"/>
        </w:rPr>
        <w:t xml:space="preserve">, Jaime, et al. “Reciprocal Contributions between People and Nature: A Conceptual Intervention.” </w:t>
      </w:r>
      <w:r w:rsidRPr="00DB228D">
        <w:rPr>
          <w:rFonts w:ascii="Arial" w:eastAsia="Times New Roman" w:hAnsi="Arial" w:cs="Arial"/>
          <w:i/>
          <w:iCs/>
        </w:rPr>
        <w:t>BioScience</w:t>
      </w:r>
      <w:r w:rsidRPr="00DB228D">
        <w:rPr>
          <w:rFonts w:ascii="Arial" w:eastAsia="Times New Roman" w:hAnsi="Arial" w:cs="Arial"/>
        </w:rPr>
        <w:t xml:space="preserve">, vol. 72, no. 10, 9 July 2022, </w:t>
      </w:r>
      <w:hyperlink r:id="rId7">
        <w:r w:rsidRPr="00DB228D">
          <w:rPr>
            <w:rStyle w:val="Hyperlink"/>
            <w:rFonts w:ascii="Arial" w:hAnsi="Arial" w:cs="Arial"/>
          </w:rPr>
          <w:t>https://doi.org/10.1093/biosci/biac053</w:t>
        </w:r>
      </w:hyperlink>
      <w:r w:rsidRPr="00DB228D">
        <w:rPr>
          <w:rFonts w:ascii="Arial" w:eastAsia="Times New Roman" w:hAnsi="Arial" w:cs="Arial"/>
        </w:rPr>
        <w:t>.</w:t>
      </w:r>
    </w:p>
    <w:p w14:paraId="51782FB7" w14:textId="7B0ECF9A" w:rsidR="0CCDC775" w:rsidRPr="00DB228D" w:rsidRDefault="3B27D0F1" w:rsidP="7E66BC03">
      <w:pPr>
        <w:spacing w:after="0" w:line="480" w:lineRule="auto"/>
        <w:ind w:left="720" w:hanging="720"/>
        <w:rPr>
          <w:rFonts w:ascii="Arial" w:hAnsi="Arial" w:cs="Arial"/>
        </w:rPr>
      </w:pPr>
      <w:proofErr w:type="spellStart"/>
      <w:r w:rsidRPr="00DB228D">
        <w:rPr>
          <w:rFonts w:ascii="Arial" w:eastAsia="Times New Roman" w:hAnsi="Arial" w:cs="Arial"/>
        </w:rPr>
        <w:t>Pashley</w:t>
      </w:r>
      <w:proofErr w:type="spellEnd"/>
      <w:r w:rsidRPr="00DB228D">
        <w:rPr>
          <w:rFonts w:ascii="Arial" w:eastAsia="Times New Roman" w:hAnsi="Arial" w:cs="Arial"/>
        </w:rPr>
        <w:t xml:space="preserve">, Tina . “Physical, Social, Emotional &amp; Intellectual Benefits of Outdoor Recreation | Livestrong.com.” </w:t>
      </w:r>
      <w:r w:rsidRPr="00DB228D">
        <w:rPr>
          <w:rFonts w:ascii="Arial" w:eastAsia="Times New Roman" w:hAnsi="Arial" w:cs="Arial"/>
          <w:i/>
          <w:iCs/>
        </w:rPr>
        <w:t>LIVESTRONG.COM</w:t>
      </w:r>
      <w:r w:rsidRPr="00DB228D">
        <w:rPr>
          <w:rFonts w:ascii="Arial" w:eastAsia="Times New Roman" w:hAnsi="Arial" w:cs="Arial"/>
        </w:rPr>
        <w:t xml:space="preserve">, 16 July 2011, </w:t>
      </w:r>
      <w:hyperlink>
        <w:r w:rsidRPr="00DB228D">
          <w:rPr>
            <w:rStyle w:val="Hyperlink"/>
            <w:rFonts w:ascii="Arial" w:hAnsi="Arial" w:cs="Arial"/>
          </w:rPr>
          <w:t>www.livestrong.com/article/493323-physical-social-emotional-intellectual-benefits-of-outdoor-recreation/</w:t>
        </w:r>
      </w:hyperlink>
      <w:r w:rsidRPr="00DB228D">
        <w:rPr>
          <w:rFonts w:ascii="Arial" w:eastAsia="Times New Roman" w:hAnsi="Arial" w:cs="Arial"/>
        </w:rPr>
        <w:t>.</w:t>
      </w:r>
    </w:p>
    <w:p w14:paraId="24DAF26D" w14:textId="5BE8D3F4" w:rsidR="0CCDC775" w:rsidRPr="00DB228D" w:rsidRDefault="3B27D0F1" w:rsidP="7E66BC03">
      <w:pPr>
        <w:spacing w:after="0" w:line="480" w:lineRule="auto"/>
        <w:ind w:left="720" w:hanging="720"/>
        <w:rPr>
          <w:rFonts w:ascii="Arial" w:hAnsi="Arial" w:cs="Arial"/>
        </w:rPr>
      </w:pPr>
      <w:r w:rsidRPr="00DB228D">
        <w:rPr>
          <w:rFonts w:ascii="Arial" w:eastAsia="Times New Roman" w:hAnsi="Arial" w:cs="Arial"/>
        </w:rPr>
        <w:t>“</w:t>
      </w:r>
      <w:proofErr w:type="spellStart"/>
      <w:r w:rsidRPr="00DB228D">
        <w:rPr>
          <w:rFonts w:ascii="Arial" w:eastAsia="Times New Roman" w:hAnsi="Arial" w:cs="Arial"/>
        </w:rPr>
        <w:t>Sgwrs</w:t>
      </w:r>
      <w:proofErr w:type="spellEnd"/>
      <w:r w:rsidRPr="00DB228D">
        <w:rPr>
          <w:rFonts w:ascii="Arial" w:eastAsia="Times New Roman" w:hAnsi="Arial" w:cs="Arial"/>
        </w:rPr>
        <w:t xml:space="preserve"> : </w:t>
      </w:r>
      <w:proofErr w:type="spellStart"/>
      <w:r w:rsidRPr="00DB228D">
        <w:rPr>
          <w:rFonts w:ascii="Arial" w:eastAsia="Times New Roman" w:hAnsi="Arial" w:cs="Arial"/>
        </w:rPr>
        <w:t>Dinefwr</w:t>
      </w:r>
      <w:proofErr w:type="spellEnd"/>
      <w:r w:rsidRPr="00DB228D">
        <w:rPr>
          <w:rFonts w:ascii="Arial" w:eastAsia="Times New Roman" w:hAnsi="Arial" w:cs="Arial"/>
        </w:rPr>
        <w:t xml:space="preserve"> as a National Nature Reserve.” </w:t>
      </w:r>
      <w:r w:rsidRPr="00DB228D">
        <w:rPr>
          <w:rFonts w:ascii="Arial" w:eastAsia="Times New Roman" w:hAnsi="Arial" w:cs="Arial"/>
          <w:i/>
          <w:iCs/>
        </w:rPr>
        <w:t>National Trust</w:t>
      </w:r>
      <w:r w:rsidRPr="00DB228D">
        <w:rPr>
          <w:rFonts w:ascii="Arial" w:eastAsia="Times New Roman" w:hAnsi="Arial" w:cs="Arial"/>
        </w:rPr>
        <w:t xml:space="preserve">, </w:t>
      </w:r>
      <w:hyperlink>
        <w:r w:rsidRPr="00DB228D">
          <w:rPr>
            <w:rStyle w:val="Hyperlink"/>
            <w:rFonts w:ascii="Arial" w:hAnsi="Arial" w:cs="Arial"/>
          </w:rPr>
          <w:t>www.nationaltrust.org.uk/visit/wales/dinefwr/events/ca2e4dd1-fd54-4015-99cd-24d58bab92ec</w:t>
        </w:r>
      </w:hyperlink>
      <w:r w:rsidRPr="00DB228D">
        <w:rPr>
          <w:rFonts w:ascii="Arial" w:eastAsia="Times New Roman" w:hAnsi="Arial" w:cs="Arial"/>
        </w:rPr>
        <w:t>. Accessed 10 May 2024.</w:t>
      </w:r>
    </w:p>
    <w:p w14:paraId="65CBCF97" w14:textId="4A55B590" w:rsidR="0CCDC775" w:rsidRPr="00DB228D" w:rsidRDefault="3B27D0F1" w:rsidP="7E66BC03">
      <w:pPr>
        <w:spacing w:after="0" w:line="480" w:lineRule="auto"/>
        <w:ind w:left="720" w:hanging="720"/>
        <w:rPr>
          <w:rFonts w:ascii="Arial" w:hAnsi="Arial" w:cs="Arial"/>
        </w:rPr>
      </w:pPr>
      <w:proofErr w:type="spellStart"/>
      <w:r w:rsidRPr="00DB228D">
        <w:rPr>
          <w:rFonts w:ascii="Arial" w:eastAsia="Times New Roman" w:hAnsi="Arial" w:cs="Arial"/>
        </w:rPr>
        <w:t>Soga</w:t>
      </w:r>
      <w:proofErr w:type="spellEnd"/>
      <w:r w:rsidRPr="00DB228D">
        <w:rPr>
          <w:rFonts w:ascii="Arial" w:eastAsia="Times New Roman" w:hAnsi="Arial" w:cs="Arial"/>
        </w:rPr>
        <w:t xml:space="preserve">, </w:t>
      </w:r>
      <w:proofErr w:type="spellStart"/>
      <w:r w:rsidRPr="00DB228D">
        <w:rPr>
          <w:rFonts w:ascii="Arial" w:eastAsia="Times New Roman" w:hAnsi="Arial" w:cs="Arial"/>
        </w:rPr>
        <w:t>Masashi</w:t>
      </w:r>
      <w:proofErr w:type="spellEnd"/>
      <w:r w:rsidRPr="00DB228D">
        <w:rPr>
          <w:rFonts w:ascii="Arial" w:eastAsia="Times New Roman" w:hAnsi="Arial" w:cs="Arial"/>
        </w:rPr>
        <w:t xml:space="preserve">, and Kevin J. Gaston. “The Ecology of Human–Nature Interactions.” </w:t>
      </w:r>
      <w:r w:rsidRPr="00DB228D">
        <w:rPr>
          <w:rFonts w:ascii="Arial" w:eastAsia="Times New Roman" w:hAnsi="Arial" w:cs="Arial"/>
          <w:i/>
          <w:iCs/>
        </w:rPr>
        <w:t>Proceedings of the Royal Society B: Biological Sciences</w:t>
      </w:r>
      <w:r w:rsidRPr="00DB228D">
        <w:rPr>
          <w:rFonts w:ascii="Arial" w:eastAsia="Times New Roman" w:hAnsi="Arial" w:cs="Arial"/>
        </w:rPr>
        <w:t xml:space="preserve">, vol. 287, no. 1918, 15 Jan. 2020, p. 20191882, </w:t>
      </w:r>
      <w:hyperlink r:id="rId8">
        <w:r w:rsidRPr="00DB228D">
          <w:rPr>
            <w:rStyle w:val="Hyperlink"/>
            <w:rFonts w:ascii="Arial" w:hAnsi="Arial" w:cs="Arial"/>
          </w:rPr>
          <w:t>https://doi.org/10.1098/rspb.2019.1882</w:t>
        </w:r>
      </w:hyperlink>
      <w:r w:rsidRPr="00DB228D">
        <w:rPr>
          <w:rFonts w:ascii="Arial" w:eastAsia="Times New Roman" w:hAnsi="Arial" w:cs="Arial"/>
        </w:rPr>
        <w:t>.</w:t>
      </w:r>
    </w:p>
    <w:p w14:paraId="54A9BD5A" w14:textId="17FF6A76" w:rsidR="0CCDC775" w:rsidRPr="00DB228D" w:rsidRDefault="0CCDC775" w:rsidP="7E66BC03">
      <w:pPr>
        <w:rPr>
          <w:rFonts w:ascii="Arial" w:hAnsi="Arial" w:cs="Arial"/>
        </w:rPr>
      </w:pPr>
    </w:p>
    <w:sectPr w:rsidR="0CCDC775" w:rsidRPr="00DB22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ystem-ui">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textHash int2:hashCode="OrtZNwJC/JiGrS" int2:id="NitWz2BT">
      <int2:state int2:value="Rejected" int2:type="AugLoop_Text_Critique"/>
    </int2:textHash>
    <int2:textHash int2:hashCode="xcgb3EeIup7nN2" int2:id="FG3AGYwc">
      <int2:state int2:value="Rejected" int2:type="AugLoop_Text_Critique"/>
    </int2:textHash>
    <int2:textHash int2:hashCode="87Mvj2PnZ59yjc" int2:id="vg8kN3EH">
      <int2:state int2:value="Rejected" int2:type="AugLoop_Text_Critique"/>
    </int2:textHash>
    <int2:textHash int2:hashCode="ZE3lYOtVIHIVbm" int2:id="RgIuAE8j">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DBAE6"/>
    <w:multiLevelType w:val="hybridMultilevel"/>
    <w:tmpl w:val="FFFFFFFF"/>
    <w:lvl w:ilvl="0" w:tplc="E79871A6">
      <w:start w:val="1"/>
      <w:numFmt w:val="decimal"/>
      <w:lvlText w:val="%1."/>
      <w:lvlJc w:val="left"/>
      <w:pPr>
        <w:ind w:left="720" w:hanging="360"/>
      </w:pPr>
    </w:lvl>
    <w:lvl w:ilvl="1" w:tplc="5F8E57B2">
      <w:start w:val="1"/>
      <w:numFmt w:val="lowerLetter"/>
      <w:lvlText w:val="%2."/>
      <w:lvlJc w:val="left"/>
      <w:pPr>
        <w:ind w:left="1440" w:hanging="360"/>
      </w:pPr>
    </w:lvl>
    <w:lvl w:ilvl="2" w:tplc="A1A25B78">
      <w:start w:val="1"/>
      <w:numFmt w:val="lowerRoman"/>
      <w:lvlText w:val="%3."/>
      <w:lvlJc w:val="right"/>
      <w:pPr>
        <w:ind w:left="2160" w:hanging="180"/>
      </w:pPr>
    </w:lvl>
    <w:lvl w:ilvl="3" w:tplc="5D70FED8">
      <w:start w:val="1"/>
      <w:numFmt w:val="decimal"/>
      <w:lvlText w:val="%4."/>
      <w:lvlJc w:val="left"/>
      <w:pPr>
        <w:ind w:left="2880" w:hanging="360"/>
      </w:pPr>
    </w:lvl>
    <w:lvl w:ilvl="4" w:tplc="35AC7EC0">
      <w:start w:val="1"/>
      <w:numFmt w:val="lowerLetter"/>
      <w:lvlText w:val="%5."/>
      <w:lvlJc w:val="left"/>
      <w:pPr>
        <w:ind w:left="3600" w:hanging="360"/>
      </w:pPr>
    </w:lvl>
    <w:lvl w:ilvl="5" w:tplc="007032CC">
      <w:start w:val="1"/>
      <w:numFmt w:val="lowerRoman"/>
      <w:lvlText w:val="%6."/>
      <w:lvlJc w:val="right"/>
      <w:pPr>
        <w:ind w:left="4320" w:hanging="180"/>
      </w:pPr>
    </w:lvl>
    <w:lvl w:ilvl="6" w:tplc="4816CEEE">
      <w:start w:val="1"/>
      <w:numFmt w:val="decimal"/>
      <w:lvlText w:val="%7."/>
      <w:lvlJc w:val="left"/>
      <w:pPr>
        <w:ind w:left="5040" w:hanging="360"/>
      </w:pPr>
    </w:lvl>
    <w:lvl w:ilvl="7" w:tplc="090438B8">
      <w:start w:val="1"/>
      <w:numFmt w:val="lowerLetter"/>
      <w:lvlText w:val="%8."/>
      <w:lvlJc w:val="left"/>
      <w:pPr>
        <w:ind w:left="5760" w:hanging="360"/>
      </w:pPr>
    </w:lvl>
    <w:lvl w:ilvl="8" w:tplc="5268BBB0">
      <w:start w:val="1"/>
      <w:numFmt w:val="lowerRoman"/>
      <w:lvlText w:val="%9."/>
      <w:lvlJc w:val="right"/>
      <w:pPr>
        <w:ind w:left="6480" w:hanging="180"/>
      </w:pPr>
    </w:lvl>
  </w:abstractNum>
  <w:abstractNum w:abstractNumId="1" w15:restartNumberingAfterBreak="0">
    <w:nsid w:val="26AA9CF9"/>
    <w:multiLevelType w:val="hybridMultilevel"/>
    <w:tmpl w:val="FFFFFFFF"/>
    <w:lvl w:ilvl="0" w:tplc="75DE480A">
      <w:start w:val="1"/>
      <w:numFmt w:val="decimal"/>
      <w:lvlText w:val="%1."/>
      <w:lvlJc w:val="left"/>
      <w:pPr>
        <w:ind w:left="720" w:hanging="360"/>
      </w:pPr>
    </w:lvl>
    <w:lvl w:ilvl="1" w:tplc="F42A8FEA">
      <w:start w:val="1"/>
      <w:numFmt w:val="lowerLetter"/>
      <w:lvlText w:val="%2."/>
      <w:lvlJc w:val="left"/>
      <w:pPr>
        <w:ind w:left="1440" w:hanging="360"/>
      </w:pPr>
    </w:lvl>
    <w:lvl w:ilvl="2" w:tplc="6AB06832">
      <w:start w:val="1"/>
      <w:numFmt w:val="lowerRoman"/>
      <w:lvlText w:val="%3."/>
      <w:lvlJc w:val="right"/>
      <w:pPr>
        <w:ind w:left="2160" w:hanging="180"/>
      </w:pPr>
    </w:lvl>
    <w:lvl w:ilvl="3" w:tplc="CE68FC40">
      <w:start w:val="1"/>
      <w:numFmt w:val="decimal"/>
      <w:lvlText w:val="%4."/>
      <w:lvlJc w:val="left"/>
      <w:pPr>
        <w:ind w:left="2880" w:hanging="360"/>
      </w:pPr>
    </w:lvl>
    <w:lvl w:ilvl="4" w:tplc="DCEE14AE">
      <w:start w:val="1"/>
      <w:numFmt w:val="lowerLetter"/>
      <w:lvlText w:val="%5."/>
      <w:lvlJc w:val="left"/>
      <w:pPr>
        <w:ind w:left="3600" w:hanging="360"/>
      </w:pPr>
    </w:lvl>
    <w:lvl w:ilvl="5" w:tplc="C8F85D38">
      <w:start w:val="1"/>
      <w:numFmt w:val="lowerRoman"/>
      <w:lvlText w:val="%6."/>
      <w:lvlJc w:val="right"/>
      <w:pPr>
        <w:ind w:left="4320" w:hanging="180"/>
      </w:pPr>
    </w:lvl>
    <w:lvl w:ilvl="6" w:tplc="B0264B62">
      <w:start w:val="1"/>
      <w:numFmt w:val="decimal"/>
      <w:lvlText w:val="%7."/>
      <w:lvlJc w:val="left"/>
      <w:pPr>
        <w:ind w:left="5040" w:hanging="360"/>
      </w:pPr>
    </w:lvl>
    <w:lvl w:ilvl="7" w:tplc="6D0C08AC">
      <w:start w:val="1"/>
      <w:numFmt w:val="lowerLetter"/>
      <w:lvlText w:val="%8."/>
      <w:lvlJc w:val="left"/>
      <w:pPr>
        <w:ind w:left="5760" w:hanging="360"/>
      </w:pPr>
    </w:lvl>
    <w:lvl w:ilvl="8" w:tplc="2CA87FF8">
      <w:start w:val="1"/>
      <w:numFmt w:val="lowerRoman"/>
      <w:lvlText w:val="%9."/>
      <w:lvlJc w:val="right"/>
      <w:pPr>
        <w:ind w:left="6480" w:hanging="180"/>
      </w:pPr>
    </w:lvl>
  </w:abstractNum>
  <w:abstractNum w:abstractNumId="2" w15:restartNumberingAfterBreak="0">
    <w:nsid w:val="2B5A8D1C"/>
    <w:multiLevelType w:val="hybridMultilevel"/>
    <w:tmpl w:val="FFFFFFFF"/>
    <w:lvl w:ilvl="0" w:tplc="EEA60316">
      <w:start w:val="1"/>
      <w:numFmt w:val="decimal"/>
      <w:lvlText w:val="%1."/>
      <w:lvlJc w:val="left"/>
      <w:pPr>
        <w:ind w:left="720" w:hanging="360"/>
      </w:pPr>
    </w:lvl>
    <w:lvl w:ilvl="1" w:tplc="B0EE2578">
      <w:start w:val="1"/>
      <w:numFmt w:val="lowerLetter"/>
      <w:lvlText w:val="%2."/>
      <w:lvlJc w:val="left"/>
      <w:pPr>
        <w:ind w:left="1440" w:hanging="360"/>
      </w:pPr>
    </w:lvl>
    <w:lvl w:ilvl="2" w:tplc="C4882410">
      <w:start w:val="1"/>
      <w:numFmt w:val="lowerRoman"/>
      <w:lvlText w:val="%3."/>
      <w:lvlJc w:val="right"/>
      <w:pPr>
        <w:ind w:left="2160" w:hanging="180"/>
      </w:pPr>
    </w:lvl>
    <w:lvl w:ilvl="3" w:tplc="E660ABC0">
      <w:start w:val="1"/>
      <w:numFmt w:val="decimal"/>
      <w:lvlText w:val="%4."/>
      <w:lvlJc w:val="left"/>
      <w:pPr>
        <w:ind w:left="2880" w:hanging="360"/>
      </w:pPr>
    </w:lvl>
    <w:lvl w:ilvl="4" w:tplc="5B1CCDBE">
      <w:start w:val="1"/>
      <w:numFmt w:val="lowerLetter"/>
      <w:lvlText w:val="%5."/>
      <w:lvlJc w:val="left"/>
      <w:pPr>
        <w:ind w:left="3600" w:hanging="360"/>
      </w:pPr>
    </w:lvl>
    <w:lvl w:ilvl="5" w:tplc="7CFC4028">
      <w:start w:val="1"/>
      <w:numFmt w:val="lowerRoman"/>
      <w:lvlText w:val="%6."/>
      <w:lvlJc w:val="right"/>
      <w:pPr>
        <w:ind w:left="4320" w:hanging="180"/>
      </w:pPr>
    </w:lvl>
    <w:lvl w:ilvl="6" w:tplc="C4126732">
      <w:start w:val="1"/>
      <w:numFmt w:val="decimal"/>
      <w:lvlText w:val="%7."/>
      <w:lvlJc w:val="left"/>
      <w:pPr>
        <w:ind w:left="5040" w:hanging="360"/>
      </w:pPr>
    </w:lvl>
    <w:lvl w:ilvl="7" w:tplc="8054A362">
      <w:start w:val="1"/>
      <w:numFmt w:val="lowerLetter"/>
      <w:lvlText w:val="%8."/>
      <w:lvlJc w:val="left"/>
      <w:pPr>
        <w:ind w:left="5760" w:hanging="360"/>
      </w:pPr>
    </w:lvl>
    <w:lvl w:ilvl="8" w:tplc="61601282">
      <w:start w:val="1"/>
      <w:numFmt w:val="lowerRoman"/>
      <w:lvlText w:val="%9."/>
      <w:lvlJc w:val="right"/>
      <w:pPr>
        <w:ind w:left="6480" w:hanging="180"/>
      </w:pPr>
    </w:lvl>
  </w:abstractNum>
  <w:abstractNum w:abstractNumId="3" w15:restartNumberingAfterBreak="0">
    <w:nsid w:val="2EAFAD4E"/>
    <w:multiLevelType w:val="hybridMultilevel"/>
    <w:tmpl w:val="FFFFFFFF"/>
    <w:lvl w:ilvl="0" w:tplc="85C41806">
      <w:start w:val="1"/>
      <w:numFmt w:val="decimal"/>
      <w:lvlText w:val="%1."/>
      <w:lvlJc w:val="left"/>
      <w:pPr>
        <w:ind w:left="720" w:hanging="360"/>
      </w:pPr>
    </w:lvl>
    <w:lvl w:ilvl="1" w:tplc="FC06F3CE">
      <w:start w:val="1"/>
      <w:numFmt w:val="lowerLetter"/>
      <w:lvlText w:val="%2."/>
      <w:lvlJc w:val="left"/>
      <w:pPr>
        <w:ind w:left="1440" w:hanging="360"/>
      </w:pPr>
    </w:lvl>
    <w:lvl w:ilvl="2" w:tplc="EDBE327C">
      <w:start w:val="1"/>
      <w:numFmt w:val="lowerRoman"/>
      <w:lvlText w:val="%3."/>
      <w:lvlJc w:val="right"/>
      <w:pPr>
        <w:ind w:left="2160" w:hanging="180"/>
      </w:pPr>
    </w:lvl>
    <w:lvl w:ilvl="3" w:tplc="2C60DB96">
      <w:start w:val="1"/>
      <w:numFmt w:val="decimal"/>
      <w:lvlText w:val="%4."/>
      <w:lvlJc w:val="left"/>
      <w:pPr>
        <w:ind w:left="2880" w:hanging="360"/>
      </w:pPr>
    </w:lvl>
    <w:lvl w:ilvl="4" w:tplc="C30AFEAA">
      <w:start w:val="1"/>
      <w:numFmt w:val="lowerLetter"/>
      <w:lvlText w:val="%5."/>
      <w:lvlJc w:val="left"/>
      <w:pPr>
        <w:ind w:left="3600" w:hanging="360"/>
      </w:pPr>
    </w:lvl>
    <w:lvl w:ilvl="5" w:tplc="76AAB62E">
      <w:start w:val="1"/>
      <w:numFmt w:val="lowerRoman"/>
      <w:lvlText w:val="%6."/>
      <w:lvlJc w:val="right"/>
      <w:pPr>
        <w:ind w:left="4320" w:hanging="180"/>
      </w:pPr>
    </w:lvl>
    <w:lvl w:ilvl="6" w:tplc="79B6C114">
      <w:start w:val="1"/>
      <w:numFmt w:val="decimal"/>
      <w:lvlText w:val="%7."/>
      <w:lvlJc w:val="left"/>
      <w:pPr>
        <w:ind w:left="5040" w:hanging="360"/>
      </w:pPr>
    </w:lvl>
    <w:lvl w:ilvl="7" w:tplc="B9CA2FFE">
      <w:start w:val="1"/>
      <w:numFmt w:val="lowerLetter"/>
      <w:lvlText w:val="%8."/>
      <w:lvlJc w:val="left"/>
      <w:pPr>
        <w:ind w:left="5760" w:hanging="360"/>
      </w:pPr>
    </w:lvl>
    <w:lvl w:ilvl="8" w:tplc="B1186266">
      <w:start w:val="1"/>
      <w:numFmt w:val="lowerRoman"/>
      <w:lvlText w:val="%9."/>
      <w:lvlJc w:val="right"/>
      <w:pPr>
        <w:ind w:left="6480" w:hanging="180"/>
      </w:pPr>
    </w:lvl>
  </w:abstractNum>
  <w:abstractNum w:abstractNumId="4" w15:restartNumberingAfterBreak="0">
    <w:nsid w:val="46B0BDA5"/>
    <w:multiLevelType w:val="hybridMultilevel"/>
    <w:tmpl w:val="FFFFFFFF"/>
    <w:lvl w:ilvl="0" w:tplc="EEF25F86">
      <w:start w:val="1"/>
      <w:numFmt w:val="decimal"/>
      <w:lvlText w:val="%1."/>
      <w:lvlJc w:val="left"/>
      <w:pPr>
        <w:ind w:left="720" w:hanging="360"/>
      </w:pPr>
    </w:lvl>
    <w:lvl w:ilvl="1" w:tplc="3102A618">
      <w:start w:val="1"/>
      <w:numFmt w:val="lowerLetter"/>
      <w:lvlText w:val="%2."/>
      <w:lvlJc w:val="left"/>
      <w:pPr>
        <w:ind w:left="1440" w:hanging="360"/>
      </w:pPr>
    </w:lvl>
    <w:lvl w:ilvl="2" w:tplc="5AA24E2E">
      <w:start w:val="1"/>
      <w:numFmt w:val="lowerRoman"/>
      <w:lvlText w:val="%3."/>
      <w:lvlJc w:val="right"/>
      <w:pPr>
        <w:ind w:left="2160" w:hanging="180"/>
      </w:pPr>
    </w:lvl>
    <w:lvl w:ilvl="3" w:tplc="9DB82C08">
      <w:start w:val="1"/>
      <w:numFmt w:val="decimal"/>
      <w:lvlText w:val="%4."/>
      <w:lvlJc w:val="left"/>
      <w:pPr>
        <w:ind w:left="2880" w:hanging="360"/>
      </w:pPr>
    </w:lvl>
    <w:lvl w:ilvl="4" w:tplc="B6B85600">
      <w:start w:val="1"/>
      <w:numFmt w:val="lowerLetter"/>
      <w:lvlText w:val="%5."/>
      <w:lvlJc w:val="left"/>
      <w:pPr>
        <w:ind w:left="3600" w:hanging="360"/>
      </w:pPr>
    </w:lvl>
    <w:lvl w:ilvl="5" w:tplc="CE96F434">
      <w:start w:val="1"/>
      <w:numFmt w:val="lowerRoman"/>
      <w:lvlText w:val="%6."/>
      <w:lvlJc w:val="right"/>
      <w:pPr>
        <w:ind w:left="4320" w:hanging="180"/>
      </w:pPr>
    </w:lvl>
    <w:lvl w:ilvl="6" w:tplc="250EF17C">
      <w:start w:val="1"/>
      <w:numFmt w:val="decimal"/>
      <w:lvlText w:val="%7."/>
      <w:lvlJc w:val="left"/>
      <w:pPr>
        <w:ind w:left="5040" w:hanging="360"/>
      </w:pPr>
    </w:lvl>
    <w:lvl w:ilvl="7" w:tplc="DD8AB9BE">
      <w:start w:val="1"/>
      <w:numFmt w:val="lowerLetter"/>
      <w:lvlText w:val="%8."/>
      <w:lvlJc w:val="left"/>
      <w:pPr>
        <w:ind w:left="5760" w:hanging="360"/>
      </w:pPr>
    </w:lvl>
    <w:lvl w:ilvl="8" w:tplc="653C194C">
      <w:start w:val="1"/>
      <w:numFmt w:val="lowerRoman"/>
      <w:lvlText w:val="%9."/>
      <w:lvlJc w:val="right"/>
      <w:pPr>
        <w:ind w:left="6480" w:hanging="180"/>
      </w:pPr>
    </w:lvl>
  </w:abstractNum>
  <w:abstractNum w:abstractNumId="5" w15:restartNumberingAfterBreak="0">
    <w:nsid w:val="755383B0"/>
    <w:multiLevelType w:val="hybridMultilevel"/>
    <w:tmpl w:val="FFFFFFFF"/>
    <w:lvl w:ilvl="0" w:tplc="462A2AF8">
      <w:start w:val="1"/>
      <w:numFmt w:val="decimal"/>
      <w:lvlText w:val="%1."/>
      <w:lvlJc w:val="left"/>
      <w:pPr>
        <w:ind w:left="720" w:hanging="360"/>
      </w:pPr>
    </w:lvl>
    <w:lvl w:ilvl="1" w:tplc="B574BFAE">
      <w:start w:val="1"/>
      <w:numFmt w:val="lowerLetter"/>
      <w:lvlText w:val="%2."/>
      <w:lvlJc w:val="left"/>
      <w:pPr>
        <w:ind w:left="1440" w:hanging="360"/>
      </w:pPr>
    </w:lvl>
    <w:lvl w:ilvl="2" w:tplc="EDE61DDE">
      <w:start w:val="1"/>
      <w:numFmt w:val="lowerRoman"/>
      <w:lvlText w:val="%3."/>
      <w:lvlJc w:val="right"/>
      <w:pPr>
        <w:ind w:left="2160" w:hanging="180"/>
      </w:pPr>
    </w:lvl>
    <w:lvl w:ilvl="3" w:tplc="40C2D1D6">
      <w:start w:val="1"/>
      <w:numFmt w:val="decimal"/>
      <w:lvlText w:val="%4."/>
      <w:lvlJc w:val="left"/>
      <w:pPr>
        <w:ind w:left="2880" w:hanging="360"/>
      </w:pPr>
    </w:lvl>
    <w:lvl w:ilvl="4" w:tplc="8E6666DE">
      <w:start w:val="1"/>
      <w:numFmt w:val="lowerLetter"/>
      <w:lvlText w:val="%5."/>
      <w:lvlJc w:val="left"/>
      <w:pPr>
        <w:ind w:left="3600" w:hanging="360"/>
      </w:pPr>
    </w:lvl>
    <w:lvl w:ilvl="5" w:tplc="D0E22518">
      <w:start w:val="1"/>
      <w:numFmt w:val="lowerRoman"/>
      <w:lvlText w:val="%6."/>
      <w:lvlJc w:val="right"/>
      <w:pPr>
        <w:ind w:left="4320" w:hanging="180"/>
      </w:pPr>
    </w:lvl>
    <w:lvl w:ilvl="6" w:tplc="6DBE8070">
      <w:start w:val="1"/>
      <w:numFmt w:val="decimal"/>
      <w:lvlText w:val="%7."/>
      <w:lvlJc w:val="left"/>
      <w:pPr>
        <w:ind w:left="5040" w:hanging="360"/>
      </w:pPr>
    </w:lvl>
    <w:lvl w:ilvl="7" w:tplc="B4268A4A">
      <w:start w:val="1"/>
      <w:numFmt w:val="lowerLetter"/>
      <w:lvlText w:val="%8."/>
      <w:lvlJc w:val="left"/>
      <w:pPr>
        <w:ind w:left="5760" w:hanging="360"/>
      </w:pPr>
    </w:lvl>
    <w:lvl w:ilvl="8" w:tplc="C8145CCA">
      <w:start w:val="1"/>
      <w:numFmt w:val="lowerRoman"/>
      <w:lvlText w:val="%9."/>
      <w:lvlJc w:val="right"/>
      <w:pPr>
        <w:ind w:left="6480" w:hanging="180"/>
      </w:pPr>
    </w:lvl>
  </w:abstractNum>
  <w:abstractNum w:abstractNumId="6" w15:restartNumberingAfterBreak="0">
    <w:nsid w:val="7ED2C487"/>
    <w:multiLevelType w:val="hybridMultilevel"/>
    <w:tmpl w:val="FFFFFFFF"/>
    <w:lvl w:ilvl="0" w:tplc="1E40C8A6">
      <w:start w:val="1"/>
      <w:numFmt w:val="decimal"/>
      <w:lvlText w:val="%1."/>
      <w:lvlJc w:val="left"/>
      <w:pPr>
        <w:ind w:left="720" w:hanging="360"/>
      </w:pPr>
    </w:lvl>
    <w:lvl w:ilvl="1" w:tplc="127C7476">
      <w:start w:val="1"/>
      <w:numFmt w:val="lowerLetter"/>
      <w:lvlText w:val="%2."/>
      <w:lvlJc w:val="left"/>
      <w:pPr>
        <w:ind w:left="1440" w:hanging="360"/>
      </w:pPr>
    </w:lvl>
    <w:lvl w:ilvl="2" w:tplc="5F0809BE">
      <w:start w:val="1"/>
      <w:numFmt w:val="lowerRoman"/>
      <w:lvlText w:val="%3."/>
      <w:lvlJc w:val="right"/>
      <w:pPr>
        <w:ind w:left="2160" w:hanging="180"/>
      </w:pPr>
    </w:lvl>
    <w:lvl w:ilvl="3" w:tplc="1AD4AEA0">
      <w:start w:val="1"/>
      <w:numFmt w:val="decimal"/>
      <w:lvlText w:val="%4."/>
      <w:lvlJc w:val="left"/>
      <w:pPr>
        <w:ind w:left="2880" w:hanging="360"/>
      </w:pPr>
    </w:lvl>
    <w:lvl w:ilvl="4" w:tplc="D42E9ED2">
      <w:start w:val="1"/>
      <w:numFmt w:val="lowerLetter"/>
      <w:lvlText w:val="%5."/>
      <w:lvlJc w:val="left"/>
      <w:pPr>
        <w:ind w:left="3600" w:hanging="360"/>
      </w:pPr>
    </w:lvl>
    <w:lvl w:ilvl="5" w:tplc="4A1A34E2">
      <w:start w:val="1"/>
      <w:numFmt w:val="lowerRoman"/>
      <w:lvlText w:val="%6."/>
      <w:lvlJc w:val="right"/>
      <w:pPr>
        <w:ind w:left="4320" w:hanging="180"/>
      </w:pPr>
    </w:lvl>
    <w:lvl w:ilvl="6" w:tplc="207E0330">
      <w:start w:val="1"/>
      <w:numFmt w:val="decimal"/>
      <w:lvlText w:val="%7."/>
      <w:lvlJc w:val="left"/>
      <w:pPr>
        <w:ind w:left="5040" w:hanging="360"/>
      </w:pPr>
    </w:lvl>
    <w:lvl w:ilvl="7" w:tplc="851E5BEA">
      <w:start w:val="1"/>
      <w:numFmt w:val="lowerLetter"/>
      <w:lvlText w:val="%8."/>
      <w:lvlJc w:val="left"/>
      <w:pPr>
        <w:ind w:left="5760" w:hanging="360"/>
      </w:pPr>
    </w:lvl>
    <w:lvl w:ilvl="8" w:tplc="B74EE3E6">
      <w:start w:val="1"/>
      <w:numFmt w:val="lowerRoman"/>
      <w:lvlText w:val="%9."/>
      <w:lvlJc w:val="right"/>
      <w:pPr>
        <w:ind w:left="6480" w:hanging="180"/>
      </w:pPr>
    </w:lvl>
  </w:abstractNum>
  <w:num w:numId="1" w16cid:durableId="634405978">
    <w:abstractNumId w:val="2"/>
  </w:num>
  <w:num w:numId="2" w16cid:durableId="1155100820">
    <w:abstractNumId w:val="4"/>
  </w:num>
  <w:num w:numId="3" w16cid:durableId="1879512896">
    <w:abstractNumId w:val="1"/>
  </w:num>
  <w:num w:numId="4" w16cid:durableId="1663702021">
    <w:abstractNumId w:val="0"/>
  </w:num>
  <w:num w:numId="5" w16cid:durableId="36247552">
    <w:abstractNumId w:val="6"/>
  </w:num>
  <w:num w:numId="6" w16cid:durableId="892622435">
    <w:abstractNumId w:val="3"/>
  </w:num>
  <w:num w:numId="7" w16cid:durableId="13906182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E9897A"/>
    <w:rsid w:val="001804C7"/>
    <w:rsid w:val="001E0E82"/>
    <w:rsid w:val="002738AB"/>
    <w:rsid w:val="003213C4"/>
    <w:rsid w:val="00451EB9"/>
    <w:rsid w:val="00460FCB"/>
    <w:rsid w:val="0057008E"/>
    <w:rsid w:val="0059DFEA"/>
    <w:rsid w:val="006C1911"/>
    <w:rsid w:val="007862AF"/>
    <w:rsid w:val="00793A1E"/>
    <w:rsid w:val="007B7FD7"/>
    <w:rsid w:val="00805DFB"/>
    <w:rsid w:val="00813E8B"/>
    <w:rsid w:val="0082312C"/>
    <w:rsid w:val="008730CD"/>
    <w:rsid w:val="0090232B"/>
    <w:rsid w:val="00911820"/>
    <w:rsid w:val="00A33E4E"/>
    <w:rsid w:val="00AA00C3"/>
    <w:rsid w:val="00B02CDA"/>
    <w:rsid w:val="00CD685E"/>
    <w:rsid w:val="00D00716"/>
    <w:rsid w:val="00D23480"/>
    <w:rsid w:val="00DB228D"/>
    <w:rsid w:val="00DD6975"/>
    <w:rsid w:val="00EB6426"/>
    <w:rsid w:val="00ED14D6"/>
    <w:rsid w:val="00F8620E"/>
    <w:rsid w:val="00FC136A"/>
    <w:rsid w:val="03B726AB"/>
    <w:rsid w:val="044892B7"/>
    <w:rsid w:val="04F95A96"/>
    <w:rsid w:val="0580FA95"/>
    <w:rsid w:val="058ACECD"/>
    <w:rsid w:val="05F65613"/>
    <w:rsid w:val="0740E1CD"/>
    <w:rsid w:val="084C030E"/>
    <w:rsid w:val="08FC4338"/>
    <w:rsid w:val="0963245C"/>
    <w:rsid w:val="0A823EC0"/>
    <w:rsid w:val="0B6CB7E4"/>
    <w:rsid w:val="0B964BA7"/>
    <w:rsid w:val="0B9C9DB9"/>
    <w:rsid w:val="0BEA49BF"/>
    <w:rsid w:val="0C027476"/>
    <w:rsid w:val="0C046879"/>
    <w:rsid w:val="0CCDC775"/>
    <w:rsid w:val="0F778FDF"/>
    <w:rsid w:val="0FC800F1"/>
    <w:rsid w:val="1058E734"/>
    <w:rsid w:val="10F82ED5"/>
    <w:rsid w:val="11B51B71"/>
    <w:rsid w:val="11B563A4"/>
    <w:rsid w:val="1384CD96"/>
    <w:rsid w:val="1387F421"/>
    <w:rsid w:val="14B63693"/>
    <w:rsid w:val="170C60F2"/>
    <w:rsid w:val="17385E8A"/>
    <w:rsid w:val="17EFBC09"/>
    <w:rsid w:val="19D5963C"/>
    <w:rsid w:val="19FA2E49"/>
    <w:rsid w:val="1A0EF57F"/>
    <w:rsid w:val="1B44BCC2"/>
    <w:rsid w:val="1BFD29E9"/>
    <w:rsid w:val="1C614D70"/>
    <w:rsid w:val="1DBFED62"/>
    <w:rsid w:val="1DED33E6"/>
    <w:rsid w:val="1ECA3530"/>
    <w:rsid w:val="1F8DF616"/>
    <w:rsid w:val="22CE3E33"/>
    <w:rsid w:val="23CD9F79"/>
    <w:rsid w:val="23D1E7B3"/>
    <w:rsid w:val="25A76370"/>
    <w:rsid w:val="27BA96B5"/>
    <w:rsid w:val="27EF9A1D"/>
    <w:rsid w:val="27FAF223"/>
    <w:rsid w:val="28BCA102"/>
    <w:rsid w:val="2911D25B"/>
    <w:rsid w:val="29232650"/>
    <w:rsid w:val="2954F0A9"/>
    <w:rsid w:val="29B81387"/>
    <w:rsid w:val="2AC493EC"/>
    <w:rsid w:val="2B2D8DEE"/>
    <w:rsid w:val="2B3955AF"/>
    <w:rsid w:val="2B69497D"/>
    <w:rsid w:val="2C5598F3"/>
    <w:rsid w:val="2FB3701E"/>
    <w:rsid w:val="301805BF"/>
    <w:rsid w:val="302726E8"/>
    <w:rsid w:val="31577E29"/>
    <w:rsid w:val="315DF1B6"/>
    <w:rsid w:val="334D955A"/>
    <w:rsid w:val="348DAD8D"/>
    <w:rsid w:val="35AFD592"/>
    <w:rsid w:val="36CDFF64"/>
    <w:rsid w:val="3792AA54"/>
    <w:rsid w:val="39697C9C"/>
    <w:rsid w:val="3994A6DC"/>
    <w:rsid w:val="39FF5335"/>
    <w:rsid w:val="3B27D0F1"/>
    <w:rsid w:val="3B7DA1E5"/>
    <w:rsid w:val="3B840F0E"/>
    <w:rsid w:val="3CF71EE5"/>
    <w:rsid w:val="3D3E8D66"/>
    <w:rsid w:val="3DE4D971"/>
    <w:rsid w:val="3E4B9373"/>
    <w:rsid w:val="3EF2513F"/>
    <w:rsid w:val="3FA2C692"/>
    <w:rsid w:val="3FBE0AB6"/>
    <w:rsid w:val="3FD04119"/>
    <w:rsid w:val="43B949E3"/>
    <w:rsid w:val="445C1F6E"/>
    <w:rsid w:val="457798D3"/>
    <w:rsid w:val="4631629F"/>
    <w:rsid w:val="464CB570"/>
    <w:rsid w:val="46E9897A"/>
    <w:rsid w:val="49E549E2"/>
    <w:rsid w:val="4AF0EE02"/>
    <w:rsid w:val="4B3E19FE"/>
    <w:rsid w:val="4B7E1053"/>
    <w:rsid w:val="4E2A1BCB"/>
    <w:rsid w:val="4EF816D4"/>
    <w:rsid w:val="4FCBE996"/>
    <w:rsid w:val="509DBFCE"/>
    <w:rsid w:val="52684A59"/>
    <w:rsid w:val="543D3944"/>
    <w:rsid w:val="54AB275C"/>
    <w:rsid w:val="54ED891B"/>
    <w:rsid w:val="5777FB27"/>
    <w:rsid w:val="58556433"/>
    <w:rsid w:val="58C4856F"/>
    <w:rsid w:val="590A8C3C"/>
    <w:rsid w:val="59AAD37E"/>
    <w:rsid w:val="59B24CDF"/>
    <w:rsid w:val="5B1DF8DF"/>
    <w:rsid w:val="5D10C9E9"/>
    <w:rsid w:val="5D742C87"/>
    <w:rsid w:val="5E8AF10F"/>
    <w:rsid w:val="60A04C7F"/>
    <w:rsid w:val="628BA1DB"/>
    <w:rsid w:val="62B0C968"/>
    <w:rsid w:val="62E6555F"/>
    <w:rsid w:val="6318068A"/>
    <w:rsid w:val="638B648B"/>
    <w:rsid w:val="649A61F9"/>
    <w:rsid w:val="64CA7E1E"/>
    <w:rsid w:val="6567AF5E"/>
    <w:rsid w:val="66A23043"/>
    <w:rsid w:val="66F9AF70"/>
    <w:rsid w:val="69506C43"/>
    <w:rsid w:val="696B82E8"/>
    <w:rsid w:val="69FA15B1"/>
    <w:rsid w:val="6A596B06"/>
    <w:rsid w:val="6A95D550"/>
    <w:rsid w:val="6B512148"/>
    <w:rsid w:val="6C781FBB"/>
    <w:rsid w:val="6EC264BA"/>
    <w:rsid w:val="6F4E0202"/>
    <w:rsid w:val="703144A0"/>
    <w:rsid w:val="70BC24BD"/>
    <w:rsid w:val="7143C202"/>
    <w:rsid w:val="7198CA1D"/>
    <w:rsid w:val="73B798FE"/>
    <w:rsid w:val="74C55E4F"/>
    <w:rsid w:val="7630F13A"/>
    <w:rsid w:val="769FC0A7"/>
    <w:rsid w:val="7720E97C"/>
    <w:rsid w:val="77D07C94"/>
    <w:rsid w:val="78C2D6D8"/>
    <w:rsid w:val="7DC03A74"/>
    <w:rsid w:val="7E66BC03"/>
    <w:rsid w:val="7EADB1DA"/>
    <w:rsid w:val="7F36CD0D"/>
    <w:rsid w:val="7F80A9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9897A"/>
  <w15:chartTrackingRefBased/>
  <w15:docId w15:val="{BCA62B55-5455-4F52-8D40-F1A5DAF8B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8/rspb.2019.1882" TargetMode="External"/><Relationship Id="rId3" Type="http://schemas.openxmlformats.org/officeDocument/2006/relationships/settings" Target="settings.xml"/><Relationship Id="rId7" Type="http://schemas.openxmlformats.org/officeDocument/2006/relationships/hyperlink" Target="https://doi.org/10.1093/biosci/biac05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ort.2013.03.001" TargetMode="External"/><Relationship Id="rId11" Type="http://schemas.microsoft.com/office/2020/10/relationships/intelligence" Target="intelligence2.xml"/><Relationship Id="rId5" Type="http://schemas.openxmlformats.org/officeDocument/2006/relationships/hyperlink" Target="https://doi.org/10.3390/su15043474"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9</Pages>
  <Words>2804</Words>
  <Characters>15988</Characters>
  <Application>Microsoft Office Word</Application>
  <DocSecurity>0</DocSecurity>
  <Lines>133</Lines>
  <Paragraphs>37</Paragraphs>
  <ScaleCrop>false</ScaleCrop>
  <Company/>
  <LinksUpToDate>false</LinksUpToDate>
  <CharactersWithSpaces>18755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 (2005007)</dc:creator>
  <cp:keywords/>
  <dc:description/>
  <cp:lastModifiedBy>Morgan</cp:lastModifiedBy>
  <cp:revision>29</cp:revision>
  <dcterms:created xsi:type="dcterms:W3CDTF">2024-05-08T23:06:00Z</dcterms:created>
  <dcterms:modified xsi:type="dcterms:W3CDTF">2024-05-10T12:49:00Z</dcterms:modified>
</cp:coreProperties>
</file>