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669D" w:rsidRDefault="0008669D" w:rsidP="0008669D">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08669D" w:rsidRDefault="0008669D" w:rsidP="0008669D">
      <w:pPr>
        <w:pStyle w:val="NormalWeb"/>
        <w:spacing w:before="0" w:beforeAutospacing="0" w:after="0" w:afterAutospacing="0"/>
        <w:ind w:left="-180" w:right="-334"/>
      </w:pPr>
    </w:p>
    <w:p w:rsidR="0008669D" w:rsidRDefault="0008669D" w:rsidP="0008669D">
      <w:pPr>
        <w:pStyle w:val="NormalWeb"/>
        <w:spacing w:before="0" w:beforeAutospacing="0" w:after="0" w:afterAutospacing="0"/>
        <w:ind w:left="-180" w:right="-334"/>
      </w:pPr>
    </w:p>
    <w:p w:rsidR="0008669D" w:rsidRDefault="0008669D" w:rsidP="0008669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08669D" w:rsidRPr="00230F35" w:rsidRDefault="0008669D" w:rsidP="0008669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08669D" w:rsidRPr="00230F35" w:rsidRDefault="0008669D" w:rsidP="0008669D">
      <w:pPr>
        <w:rPr>
          <w:rFonts w:ascii="Arial" w:hAnsi="Arial" w:cs="Arial"/>
          <w:sz w:val="28"/>
          <w:szCs w:val="28"/>
          <w:lang w:val="cy-GB"/>
        </w:rPr>
      </w:pPr>
    </w:p>
    <w:p w:rsidR="0008669D" w:rsidRDefault="0008669D" w:rsidP="0008669D">
      <w:pPr>
        <w:pStyle w:val="Heading3"/>
        <w:jc w:val="center"/>
        <w:rPr>
          <w:lang w:val="cy-GB"/>
        </w:rPr>
      </w:pPr>
      <w:r>
        <w:rPr>
          <w:lang w:val="cy-GB"/>
        </w:rPr>
        <w:t>THIS SHEET MUST BE THE FIRST PAGE OF THE ASSIGNMENT YOU ARE SUBMITTING  (DO NOT SEND AS A SEPARATE FILE)</w:t>
      </w:r>
    </w:p>
    <w:p w:rsidR="0008669D" w:rsidRDefault="0008669D" w:rsidP="0008669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08669D" w:rsidRPr="00230F35" w:rsidTr="008266A0">
        <w:trPr>
          <w:trHeight w:val="614"/>
        </w:trPr>
        <w:tc>
          <w:tcPr>
            <w:tcW w:w="8856" w:type="dxa"/>
            <w:gridSpan w:val="5"/>
          </w:tcPr>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8669D" w:rsidRPr="00230F35" w:rsidTr="008266A0">
        <w:trPr>
          <w:trHeight w:val="718"/>
        </w:trPr>
        <w:tc>
          <w:tcPr>
            <w:tcW w:w="8856" w:type="dxa"/>
            <w:gridSpan w:val="5"/>
          </w:tcPr>
          <w:p w:rsidR="0008669D"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Peter McIntosh</w:t>
            </w:r>
          </w:p>
          <w:p w:rsidR="0008669D" w:rsidRPr="00230F35" w:rsidRDefault="0008669D" w:rsidP="008266A0">
            <w:pPr>
              <w:pStyle w:val="NormalWeb"/>
              <w:spacing w:before="0" w:beforeAutospacing="0" w:after="0" w:afterAutospacing="0"/>
              <w:ind w:right="34"/>
              <w:rPr>
                <w:rFonts w:ascii="Arial" w:hAnsi="Arial" w:cs="Arial"/>
                <w:sz w:val="22"/>
                <w:szCs w:val="22"/>
              </w:rPr>
            </w:pPr>
          </w:p>
        </w:tc>
      </w:tr>
      <w:tr w:rsidR="0008669D" w:rsidRPr="00230F35" w:rsidTr="008266A0">
        <w:trPr>
          <w:trHeight w:val="849"/>
        </w:trPr>
        <w:tc>
          <w:tcPr>
            <w:tcW w:w="4788" w:type="dxa"/>
          </w:tcPr>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ahhi7016</w:t>
            </w:r>
          </w:p>
          <w:p w:rsidR="0008669D" w:rsidRPr="00230F35" w:rsidRDefault="0008669D" w:rsidP="008266A0">
            <w:pPr>
              <w:pStyle w:val="NormalWeb"/>
              <w:spacing w:before="0" w:beforeAutospacing="0" w:after="0" w:afterAutospacing="0"/>
              <w:ind w:right="34"/>
              <w:rPr>
                <w:rFonts w:ascii="Arial" w:hAnsi="Arial" w:cs="Arial"/>
                <w:sz w:val="22"/>
                <w:szCs w:val="22"/>
              </w:rPr>
            </w:pPr>
          </w:p>
          <w:p w:rsidR="0008669D"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spellStart"/>
            <w:r w:rsidRPr="00230F35">
              <w:rPr>
                <w:rFonts w:ascii="Arial" w:hAnsi="Arial" w:cs="Arial"/>
                <w:sz w:val="22"/>
                <w:szCs w:val="22"/>
              </w:rPr>
              <w:t>title:</w:t>
            </w:r>
            <w:r>
              <w:rPr>
                <w:rFonts w:ascii="Arial" w:hAnsi="Arial" w:cs="Arial"/>
                <w:sz w:val="22"/>
                <w:szCs w:val="22"/>
              </w:rPr>
              <w:t>Studying</w:t>
            </w:r>
            <w:proofErr w:type="spellEnd"/>
            <w:r>
              <w:rPr>
                <w:rFonts w:ascii="Arial" w:hAnsi="Arial" w:cs="Arial"/>
                <w:sz w:val="22"/>
                <w:szCs w:val="22"/>
              </w:rPr>
              <w:t xml:space="preserve"> The Medieval</w:t>
            </w:r>
          </w:p>
          <w:p w:rsidR="0008669D" w:rsidRDefault="0008669D" w:rsidP="008266A0">
            <w:pPr>
              <w:pStyle w:val="NormalWeb"/>
              <w:spacing w:before="0" w:beforeAutospacing="0" w:after="0" w:afterAutospacing="0"/>
              <w:ind w:right="34"/>
              <w:rPr>
                <w:rFonts w:ascii="Arial" w:hAnsi="Arial" w:cs="Arial"/>
                <w:sz w:val="22"/>
                <w:szCs w:val="22"/>
              </w:rPr>
            </w:pPr>
          </w:p>
          <w:p w:rsidR="0008669D" w:rsidRPr="00230F35" w:rsidRDefault="0008669D" w:rsidP="008266A0">
            <w:pPr>
              <w:pStyle w:val="NormalWeb"/>
              <w:spacing w:before="0" w:beforeAutospacing="0" w:after="0" w:afterAutospacing="0"/>
              <w:ind w:right="34"/>
              <w:rPr>
                <w:rFonts w:ascii="Arial" w:hAnsi="Arial" w:cs="Arial"/>
                <w:sz w:val="22"/>
                <w:szCs w:val="22"/>
              </w:rPr>
            </w:pPr>
          </w:p>
        </w:tc>
        <w:tc>
          <w:tcPr>
            <w:tcW w:w="2266" w:type="dxa"/>
            <w:gridSpan w:val="3"/>
          </w:tcPr>
          <w:p w:rsidR="0008669D"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08669D" w:rsidRPr="00230F35" w:rsidRDefault="0008669D" w:rsidP="008266A0">
            <w:pPr>
              <w:pStyle w:val="NormalWeb"/>
              <w:spacing w:before="0" w:beforeAutospacing="0" w:after="0" w:afterAutospacing="0"/>
              <w:ind w:right="34"/>
              <w:rPr>
                <w:rFonts w:ascii="Arial" w:hAnsi="Arial" w:cs="Arial"/>
                <w:sz w:val="22"/>
                <w:szCs w:val="22"/>
              </w:rPr>
            </w:pPr>
            <w:r>
              <w:rPr>
                <w:rFonts w:ascii="Arial" w:hAnsi="Arial" w:cs="Arial"/>
                <w:sz w:val="22"/>
                <w:szCs w:val="22"/>
              </w:rPr>
              <w:t>1912857</w:t>
            </w:r>
          </w:p>
        </w:tc>
        <w:tc>
          <w:tcPr>
            <w:tcW w:w="1802" w:type="dxa"/>
          </w:tcPr>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8669D" w:rsidRPr="00230F35" w:rsidTr="008266A0">
        <w:trPr>
          <w:trHeight w:val="1139"/>
        </w:trPr>
        <w:tc>
          <w:tcPr>
            <w:tcW w:w="8856" w:type="dxa"/>
            <w:gridSpan w:val="5"/>
          </w:tcPr>
          <w:p w:rsidR="0008669D" w:rsidRPr="00230F35" w:rsidRDefault="0008669D" w:rsidP="008266A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w:t>
            </w:r>
            <w:proofErr w:type="spellStart"/>
            <w:r>
              <w:rPr>
                <w:rFonts w:ascii="Arial" w:hAnsi="Arial" w:cs="Arial"/>
                <w:sz w:val="22"/>
                <w:szCs w:val="22"/>
              </w:rPr>
              <w:t>tutor:Janet</w:t>
            </w:r>
            <w:proofErr w:type="spellEnd"/>
            <w:r>
              <w:rPr>
                <w:rFonts w:ascii="Arial" w:hAnsi="Arial" w:cs="Arial"/>
                <w:sz w:val="22"/>
                <w:szCs w:val="22"/>
              </w:rPr>
              <w:t xml:space="preserve"> Burton</w:t>
            </w:r>
          </w:p>
          <w:p w:rsidR="0008669D" w:rsidRPr="00230F35" w:rsidRDefault="0008669D" w:rsidP="008266A0">
            <w:pPr>
              <w:pStyle w:val="NormalWeb"/>
              <w:spacing w:before="0" w:beforeAutospacing="0" w:after="0" w:afterAutospacing="0"/>
              <w:ind w:right="34"/>
              <w:rPr>
                <w:rFonts w:ascii="Arial" w:hAnsi="Arial" w:cs="Arial"/>
                <w:sz w:val="22"/>
                <w:szCs w:val="22"/>
              </w:rPr>
            </w:pPr>
          </w:p>
          <w:p w:rsidR="0008669D" w:rsidRDefault="0008669D" w:rsidP="008266A0">
            <w:pPr>
              <w:pStyle w:val="NormalWeb"/>
              <w:spacing w:before="0" w:beforeAutospacing="0" w:after="0" w:afterAutospacing="0"/>
              <w:ind w:right="34"/>
              <w:rPr>
                <w:rFonts w:ascii="Arial" w:hAnsi="Arial" w:cs="Arial"/>
                <w:sz w:val="22"/>
                <w:szCs w:val="22"/>
              </w:rPr>
            </w:pPr>
          </w:p>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12/06/2020</w:t>
            </w:r>
          </w:p>
        </w:tc>
      </w:tr>
      <w:tr w:rsidR="0008669D" w:rsidRPr="00230F35" w:rsidTr="008266A0">
        <w:trPr>
          <w:trHeight w:val="978"/>
        </w:trPr>
        <w:tc>
          <w:tcPr>
            <w:tcW w:w="8856" w:type="dxa"/>
            <w:gridSpan w:val="5"/>
            <w:tcBorders>
              <w:bottom w:val="single" w:sz="4" w:space="0" w:color="000000"/>
            </w:tcBorders>
          </w:tcPr>
          <w:p w:rsidR="0008669D" w:rsidRDefault="0008669D" w:rsidP="008266A0">
            <w:pPr>
              <w:rPr>
                <w:rFonts w:ascii="Arial" w:hAnsi="Arial" w:cs="Arial"/>
              </w:rPr>
            </w:pPr>
            <w:r>
              <w:rPr>
                <w:rFonts w:ascii="Arial" w:hAnsi="Arial" w:cs="Arial"/>
              </w:rPr>
              <w:t>If your module has multiple submissions please indicate which piece of work this is.</w:t>
            </w:r>
          </w:p>
          <w:p w:rsidR="0008669D" w:rsidRDefault="0008669D" w:rsidP="008266A0">
            <w:pPr>
              <w:rPr>
                <w:rFonts w:ascii="Arial" w:hAnsi="Arial" w:cs="Arial"/>
              </w:rPr>
            </w:pPr>
          </w:p>
          <w:p w:rsidR="0008669D" w:rsidRPr="00230F35" w:rsidRDefault="0008669D" w:rsidP="008266A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08669D" w:rsidRPr="00230F35" w:rsidTr="008266A0">
        <w:trPr>
          <w:trHeight w:val="978"/>
        </w:trPr>
        <w:tc>
          <w:tcPr>
            <w:tcW w:w="8856" w:type="dxa"/>
            <w:gridSpan w:val="5"/>
            <w:shd w:val="clear" w:color="auto" w:fill="D9D9D9"/>
          </w:tcPr>
          <w:p w:rsidR="0008669D" w:rsidRPr="00230F35"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08669D" w:rsidRDefault="0008669D"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08669D" w:rsidRDefault="0008669D" w:rsidP="008266A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08669D" w:rsidRPr="00230F35" w:rsidRDefault="0008669D" w:rsidP="008266A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8669D" w:rsidRPr="00230F35" w:rsidTr="008266A0">
        <w:trPr>
          <w:trHeight w:val="3972"/>
        </w:trPr>
        <w:tc>
          <w:tcPr>
            <w:tcW w:w="8856" w:type="dxa"/>
            <w:gridSpan w:val="5"/>
          </w:tcPr>
          <w:p w:rsidR="0008669D" w:rsidRDefault="0008669D" w:rsidP="008266A0">
            <w:pPr>
              <w:rPr>
                <w:rFonts w:ascii="Arial" w:hAnsi="Arial"/>
                <w:b/>
              </w:rPr>
            </w:pPr>
          </w:p>
          <w:p w:rsidR="0008669D" w:rsidRPr="00116CE6" w:rsidRDefault="0008669D" w:rsidP="008266A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08669D" w:rsidRPr="00116CE6" w:rsidTr="008266A0">
              <w:tc>
                <w:tcPr>
                  <w:tcW w:w="6970" w:type="dxa"/>
                </w:tcPr>
                <w:p w:rsidR="0008669D" w:rsidRPr="00116CE6" w:rsidRDefault="0008669D" w:rsidP="008266A0">
                  <w:pPr>
                    <w:rPr>
                      <w:rFonts w:ascii="Arial" w:hAnsi="Arial"/>
                      <w:sz w:val="20"/>
                      <w:szCs w:val="20"/>
                    </w:rPr>
                  </w:pPr>
                </w:p>
                <w:p w:rsidR="0008669D" w:rsidRPr="00116CE6" w:rsidRDefault="0008669D" w:rsidP="008266A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08669D" w:rsidRPr="00116CE6" w:rsidRDefault="0008669D" w:rsidP="008266A0">
                  <w:pPr>
                    <w:rPr>
                      <w:rFonts w:ascii="Arial" w:hAnsi="Arial"/>
                      <w:sz w:val="20"/>
                      <w:szCs w:val="20"/>
                    </w:rPr>
                  </w:pPr>
                </w:p>
              </w:tc>
            </w:tr>
            <w:tr w:rsidR="0008669D" w:rsidRPr="00116CE6" w:rsidTr="008266A0">
              <w:tc>
                <w:tcPr>
                  <w:tcW w:w="6970" w:type="dxa"/>
                </w:tcPr>
                <w:p w:rsidR="0008669D" w:rsidRPr="00116CE6" w:rsidRDefault="0008669D" w:rsidP="008266A0">
                  <w:pPr>
                    <w:rPr>
                      <w:rFonts w:ascii="Arial" w:hAnsi="Arial"/>
                      <w:sz w:val="20"/>
                      <w:szCs w:val="20"/>
                    </w:rPr>
                  </w:pPr>
                </w:p>
                <w:p w:rsidR="0008669D" w:rsidRPr="00116CE6" w:rsidRDefault="0008669D" w:rsidP="008266A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08669D" w:rsidRPr="00116CE6" w:rsidRDefault="0008669D" w:rsidP="008266A0">
                  <w:pPr>
                    <w:rPr>
                      <w:rFonts w:ascii="Arial" w:hAnsi="Arial"/>
                      <w:sz w:val="20"/>
                      <w:szCs w:val="20"/>
                    </w:rPr>
                  </w:pPr>
                </w:p>
              </w:tc>
            </w:tr>
            <w:tr w:rsidR="0008669D" w:rsidRPr="00116CE6" w:rsidTr="008266A0">
              <w:tc>
                <w:tcPr>
                  <w:tcW w:w="6970" w:type="dxa"/>
                </w:tcPr>
                <w:p w:rsidR="0008669D" w:rsidRPr="00116CE6" w:rsidRDefault="0008669D" w:rsidP="008266A0">
                  <w:pPr>
                    <w:rPr>
                      <w:rFonts w:ascii="Arial" w:hAnsi="Arial"/>
                      <w:sz w:val="20"/>
                      <w:szCs w:val="20"/>
                    </w:rPr>
                  </w:pPr>
                </w:p>
                <w:p w:rsidR="0008669D" w:rsidRPr="00116CE6" w:rsidRDefault="0008669D" w:rsidP="008266A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08669D" w:rsidRPr="00116CE6" w:rsidRDefault="0008669D" w:rsidP="008266A0">
                  <w:pPr>
                    <w:rPr>
                      <w:rFonts w:ascii="Arial" w:hAnsi="Arial"/>
                      <w:sz w:val="20"/>
                      <w:szCs w:val="20"/>
                    </w:rPr>
                  </w:pPr>
                </w:p>
              </w:tc>
            </w:tr>
            <w:tr w:rsidR="0008669D" w:rsidRPr="00116CE6" w:rsidTr="008266A0">
              <w:tc>
                <w:tcPr>
                  <w:tcW w:w="6970" w:type="dxa"/>
                </w:tcPr>
                <w:p w:rsidR="0008669D" w:rsidRDefault="0008669D" w:rsidP="008266A0">
                  <w:pPr>
                    <w:rPr>
                      <w:rFonts w:ascii="Arial" w:hAnsi="Arial"/>
                      <w:sz w:val="20"/>
                      <w:szCs w:val="20"/>
                    </w:rPr>
                  </w:pPr>
                </w:p>
                <w:p w:rsidR="0008669D" w:rsidRPr="00022345" w:rsidRDefault="0008669D" w:rsidP="008266A0">
                  <w:pPr>
                    <w:rPr>
                      <w:rFonts w:ascii="Arial" w:hAnsi="Arial"/>
                      <w:b/>
                      <w:sz w:val="20"/>
                      <w:szCs w:val="20"/>
                    </w:rPr>
                  </w:pPr>
                  <w:r w:rsidRPr="00022345">
                    <w:rPr>
                      <w:rFonts w:ascii="Arial" w:hAnsi="Arial"/>
                      <w:b/>
                      <w:sz w:val="20"/>
                      <w:szCs w:val="20"/>
                    </w:rPr>
                    <w:t>Final Mark</w:t>
                  </w:r>
                </w:p>
                <w:p w:rsidR="0008669D" w:rsidRPr="00116CE6" w:rsidRDefault="0008669D" w:rsidP="008266A0">
                  <w:pPr>
                    <w:rPr>
                      <w:rFonts w:ascii="Arial" w:hAnsi="Arial"/>
                      <w:sz w:val="20"/>
                      <w:szCs w:val="20"/>
                    </w:rPr>
                  </w:pPr>
                </w:p>
              </w:tc>
              <w:tc>
                <w:tcPr>
                  <w:tcW w:w="1660" w:type="dxa"/>
                </w:tcPr>
                <w:p w:rsidR="0008669D" w:rsidRPr="00116CE6" w:rsidRDefault="0008669D" w:rsidP="008266A0">
                  <w:pPr>
                    <w:rPr>
                      <w:rFonts w:ascii="Arial" w:hAnsi="Arial"/>
                      <w:sz w:val="20"/>
                      <w:szCs w:val="20"/>
                    </w:rPr>
                  </w:pPr>
                </w:p>
              </w:tc>
            </w:tr>
          </w:tbl>
          <w:p w:rsidR="0008669D" w:rsidRDefault="0008669D" w:rsidP="008266A0">
            <w:pPr>
              <w:pStyle w:val="NormalWeb"/>
              <w:spacing w:before="0" w:beforeAutospacing="0" w:after="0" w:afterAutospacing="0"/>
              <w:ind w:left="142" w:right="34"/>
              <w:rPr>
                <w:rFonts w:ascii="Arial" w:hAnsi="Arial" w:cs="Arial"/>
                <w:b/>
                <w:sz w:val="22"/>
                <w:szCs w:val="22"/>
              </w:rPr>
            </w:pPr>
          </w:p>
          <w:p w:rsidR="0008669D" w:rsidRPr="00230F35" w:rsidRDefault="0008669D" w:rsidP="008266A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08669D" w:rsidRDefault="0008669D" w:rsidP="008266A0">
            <w:pPr>
              <w:pStyle w:val="NormalWeb"/>
              <w:spacing w:before="0" w:beforeAutospacing="0" w:after="0" w:afterAutospacing="0"/>
              <w:rPr>
                <w:rFonts w:ascii="Arial" w:hAnsi="Arial" w:cs="Arial"/>
                <w:b/>
                <w:sz w:val="22"/>
                <w:szCs w:val="22"/>
              </w:rPr>
            </w:pPr>
          </w:p>
          <w:p w:rsidR="0008669D" w:rsidRDefault="0008669D" w:rsidP="008266A0">
            <w:pPr>
              <w:pStyle w:val="NormalWeb"/>
              <w:spacing w:before="0" w:beforeAutospacing="0" w:after="0" w:afterAutospacing="0"/>
              <w:rPr>
                <w:rFonts w:ascii="Arial" w:hAnsi="Arial" w:cs="Arial"/>
                <w:b/>
                <w:sz w:val="22"/>
                <w:szCs w:val="22"/>
              </w:rPr>
            </w:pPr>
          </w:p>
          <w:p w:rsidR="0008669D" w:rsidRDefault="0008669D" w:rsidP="008266A0">
            <w:pPr>
              <w:pStyle w:val="NormalWeb"/>
              <w:spacing w:before="0" w:beforeAutospacing="0" w:after="0" w:afterAutospacing="0"/>
              <w:rPr>
                <w:rFonts w:ascii="Arial" w:hAnsi="Arial" w:cs="Arial"/>
                <w:b/>
                <w:sz w:val="22"/>
                <w:szCs w:val="22"/>
              </w:rPr>
            </w:pPr>
          </w:p>
          <w:p w:rsidR="0008669D" w:rsidRDefault="0008669D" w:rsidP="008266A0">
            <w:pPr>
              <w:pStyle w:val="NormalWeb"/>
              <w:spacing w:before="0" w:beforeAutospacing="0" w:after="0" w:afterAutospacing="0"/>
              <w:rPr>
                <w:rFonts w:ascii="Arial" w:hAnsi="Arial" w:cs="Arial"/>
                <w:b/>
                <w:sz w:val="22"/>
                <w:szCs w:val="22"/>
              </w:rPr>
            </w:pPr>
          </w:p>
          <w:p w:rsidR="0008669D" w:rsidRDefault="0008669D" w:rsidP="008266A0">
            <w:pPr>
              <w:pStyle w:val="NormalWeb"/>
              <w:spacing w:before="0" w:beforeAutospacing="0" w:after="0" w:afterAutospacing="0"/>
              <w:rPr>
                <w:rFonts w:ascii="Arial" w:hAnsi="Arial" w:cs="Arial"/>
                <w:b/>
                <w:sz w:val="22"/>
                <w:szCs w:val="22"/>
              </w:rPr>
            </w:pPr>
          </w:p>
          <w:p w:rsidR="0008669D" w:rsidRPr="00230F35" w:rsidRDefault="0008669D" w:rsidP="008266A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08669D" w:rsidRDefault="0008669D" w:rsidP="008266A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08669D" w:rsidRPr="00001C3B" w:rsidRDefault="0008669D" w:rsidP="008266A0">
            <w:pPr>
              <w:pStyle w:val="NormalWeb"/>
              <w:rPr>
                <w:rFonts w:ascii="Arial" w:hAnsi="Arial" w:cs="Arial"/>
                <w:sz w:val="22"/>
                <w:szCs w:val="22"/>
              </w:rPr>
            </w:pPr>
          </w:p>
        </w:tc>
      </w:tr>
      <w:tr w:rsidR="0008669D" w:rsidRPr="00230F35" w:rsidTr="008266A0">
        <w:trPr>
          <w:trHeight w:val="492"/>
        </w:trPr>
        <w:tc>
          <w:tcPr>
            <w:tcW w:w="6768" w:type="dxa"/>
            <w:gridSpan w:val="3"/>
          </w:tcPr>
          <w:p w:rsidR="0008669D" w:rsidRPr="00230F35" w:rsidRDefault="0008669D" w:rsidP="008266A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08669D" w:rsidRPr="00230F35" w:rsidRDefault="0008669D" w:rsidP="008266A0">
            <w:pPr>
              <w:pStyle w:val="NormalWeb"/>
              <w:spacing w:after="0"/>
              <w:ind w:left="142" w:right="34"/>
              <w:rPr>
                <w:rFonts w:ascii="Arial" w:hAnsi="Arial" w:cs="Arial"/>
                <w:sz w:val="22"/>
                <w:szCs w:val="22"/>
              </w:rPr>
            </w:pPr>
            <w:r w:rsidRPr="00230F35">
              <w:rPr>
                <w:rFonts w:ascii="Arial" w:hAnsi="Arial" w:cs="Arial"/>
                <w:sz w:val="22"/>
                <w:szCs w:val="22"/>
              </w:rPr>
              <w:t>Date:</w:t>
            </w:r>
          </w:p>
        </w:tc>
      </w:tr>
      <w:tr w:rsidR="0008669D" w:rsidRPr="002F467C" w:rsidTr="008266A0">
        <w:tc>
          <w:tcPr>
            <w:tcW w:w="8856" w:type="dxa"/>
            <w:gridSpan w:val="5"/>
          </w:tcPr>
          <w:p w:rsidR="0008669D" w:rsidRPr="00230F35" w:rsidRDefault="0008669D" w:rsidP="008266A0">
            <w:pPr>
              <w:pStyle w:val="NormalWeb"/>
              <w:spacing w:before="0" w:beforeAutospacing="0" w:after="0" w:afterAutospacing="0"/>
              <w:ind w:right="-334"/>
              <w:rPr>
                <w:rFonts w:ascii="Arial" w:hAnsi="Arial" w:cs="Arial"/>
                <w:bCs/>
                <w:i/>
                <w:sz w:val="22"/>
                <w:szCs w:val="22"/>
              </w:rPr>
            </w:pPr>
          </w:p>
          <w:p w:rsidR="0008669D" w:rsidRPr="00230F35" w:rsidRDefault="0008669D" w:rsidP="008266A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08669D" w:rsidRPr="00230F35" w:rsidRDefault="0008669D" w:rsidP="008266A0">
            <w:pPr>
              <w:pStyle w:val="NormalWeb"/>
              <w:spacing w:before="0" w:beforeAutospacing="0" w:after="0" w:afterAutospacing="0"/>
              <w:ind w:right="-334"/>
              <w:rPr>
                <w:rFonts w:ascii="Arial" w:hAnsi="Arial" w:cs="Arial"/>
                <w:b/>
                <w:bCs/>
                <w:sz w:val="22"/>
                <w:szCs w:val="22"/>
              </w:rPr>
            </w:pPr>
          </w:p>
          <w:p w:rsidR="0008669D" w:rsidRPr="00230F35" w:rsidRDefault="0008669D"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08669D" w:rsidRPr="00230F35" w:rsidRDefault="0008669D" w:rsidP="008266A0">
            <w:pPr>
              <w:pStyle w:val="NormalWeb"/>
              <w:spacing w:before="0" w:beforeAutospacing="0" w:after="0" w:afterAutospacing="0"/>
              <w:ind w:right="-334"/>
              <w:rPr>
                <w:rFonts w:ascii="Arial" w:hAnsi="Arial" w:cs="Arial"/>
                <w:bCs/>
                <w:sz w:val="22"/>
                <w:szCs w:val="22"/>
              </w:rPr>
            </w:pPr>
          </w:p>
          <w:p w:rsidR="0008669D" w:rsidRPr="00230F35" w:rsidRDefault="0008669D" w:rsidP="008266A0">
            <w:pPr>
              <w:pStyle w:val="NormalWeb"/>
              <w:spacing w:before="0" w:beforeAutospacing="0" w:after="0" w:afterAutospacing="0"/>
              <w:ind w:right="-334"/>
              <w:rPr>
                <w:rFonts w:ascii="Arial" w:hAnsi="Arial" w:cs="Arial"/>
                <w:bCs/>
                <w:sz w:val="22"/>
                <w:szCs w:val="22"/>
              </w:rPr>
            </w:pPr>
          </w:p>
          <w:p w:rsidR="0008669D" w:rsidRPr="00230F35" w:rsidRDefault="0008669D" w:rsidP="008266A0">
            <w:pPr>
              <w:pStyle w:val="NormalWeb"/>
              <w:spacing w:before="0" w:beforeAutospacing="0" w:after="0" w:afterAutospacing="0"/>
              <w:ind w:right="-334"/>
              <w:rPr>
                <w:rFonts w:ascii="Arial" w:hAnsi="Arial" w:cs="Arial"/>
                <w:bCs/>
                <w:sz w:val="22"/>
                <w:szCs w:val="22"/>
              </w:rPr>
            </w:pPr>
          </w:p>
        </w:tc>
      </w:tr>
      <w:tr w:rsidR="0008669D" w:rsidRPr="002F467C" w:rsidTr="008266A0">
        <w:trPr>
          <w:trHeight w:val="720"/>
        </w:trPr>
        <w:tc>
          <w:tcPr>
            <w:tcW w:w="5211" w:type="dxa"/>
            <w:gridSpan w:val="2"/>
          </w:tcPr>
          <w:p w:rsidR="0008669D" w:rsidRPr="00230F35" w:rsidRDefault="0008669D"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08669D" w:rsidRPr="00230F35" w:rsidRDefault="0008669D"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8669D" w:rsidRPr="002F467C" w:rsidTr="008266A0">
        <w:trPr>
          <w:trHeight w:val="720"/>
        </w:trPr>
        <w:tc>
          <w:tcPr>
            <w:tcW w:w="8856" w:type="dxa"/>
            <w:gridSpan w:val="5"/>
          </w:tcPr>
          <w:p w:rsidR="0008669D" w:rsidRPr="00B34964" w:rsidRDefault="0008669D" w:rsidP="008266A0">
            <w:pPr>
              <w:rPr>
                <w:rFonts w:ascii="Arial" w:hAnsi="Arial" w:cs="Arial"/>
                <w:b/>
              </w:rPr>
            </w:pPr>
            <w:r w:rsidRPr="00B34964">
              <w:rPr>
                <w:rFonts w:ascii="Arial" w:hAnsi="Arial" w:cs="Arial"/>
                <w:b/>
              </w:rPr>
              <w:t>External Examiner’s comments (if relevant)</w:t>
            </w:r>
          </w:p>
          <w:p w:rsidR="0008669D" w:rsidRPr="00230F35" w:rsidRDefault="0008669D" w:rsidP="008266A0">
            <w:pPr>
              <w:pStyle w:val="NormalWeb"/>
              <w:spacing w:before="0" w:beforeAutospacing="0" w:after="0" w:afterAutospacing="0"/>
              <w:ind w:right="-334"/>
              <w:rPr>
                <w:rFonts w:ascii="Arial" w:hAnsi="Arial" w:cs="Arial"/>
                <w:bCs/>
                <w:sz w:val="22"/>
                <w:szCs w:val="22"/>
              </w:rPr>
            </w:pPr>
          </w:p>
          <w:p w:rsidR="0008669D" w:rsidRPr="00230F35" w:rsidRDefault="0008669D" w:rsidP="008266A0">
            <w:pPr>
              <w:pStyle w:val="NormalWeb"/>
              <w:spacing w:before="0" w:beforeAutospacing="0" w:after="0" w:afterAutospacing="0"/>
              <w:ind w:right="-334"/>
              <w:rPr>
                <w:rFonts w:ascii="Arial" w:hAnsi="Arial" w:cs="Arial"/>
                <w:bCs/>
                <w:sz w:val="22"/>
                <w:szCs w:val="22"/>
              </w:rPr>
            </w:pPr>
          </w:p>
          <w:p w:rsidR="0008669D" w:rsidRPr="00230F35" w:rsidRDefault="0008669D" w:rsidP="008266A0">
            <w:pPr>
              <w:pStyle w:val="NormalWeb"/>
              <w:spacing w:before="0" w:beforeAutospacing="0" w:after="0" w:afterAutospacing="0"/>
              <w:ind w:right="-334"/>
              <w:rPr>
                <w:rFonts w:ascii="Arial" w:hAnsi="Arial" w:cs="Arial"/>
                <w:bCs/>
                <w:sz w:val="22"/>
                <w:szCs w:val="22"/>
              </w:rPr>
            </w:pPr>
          </w:p>
        </w:tc>
      </w:tr>
      <w:tr w:rsidR="0008669D" w:rsidRPr="002F467C" w:rsidTr="008266A0">
        <w:trPr>
          <w:trHeight w:val="720"/>
        </w:trPr>
        <w:tc>
          <w:tcPr>
            <w:tcW w:w="5211" w:type="dxa"/>
            <w:gridSpan w:val="2"/>
          </w:tcPr>
          <w:p w:rsidR="0008669D" w:rsidRPr="00230F35" w:rsidRDefault="0008669D" w:rsidP="008266A0">
            <w:pPr>
              <w:rPr>
                <w:rFonts w:ascii="Arial" w:hAnsi="Arial" w:cs="Arial"/>
              </w:rPr>
            </w:pPr>
            <w:r w:rsidRPr="00230F35">
              <w:rPr>
                <w:rFonts w:ascii="Arial" w:hAnsi="Arial" w:cs="Arial"/>
              </w:rPr>
              <w:t>External Examiner’s Signature:</w:t>
            </w:r>
          </w:p>
        </w:tc>
        <w:tc>
          <w:tcPr>
            <w:tcW w:w="3645" w:type="dxa"/>
            <w:gridSpan w:val="3"/>
          </w:tcPr>
          <w:p w:rsidR="0008669D" w:rsidRPr="00230F35" w:rsidRDefault="0008669D" w:rsidP="008266A0">
            <w:pPr>
              <w:rPr>
                <w:rFonts w:ascii="Arial" w:hAnsi="Arial" w:cs="Arial"/>
              </w:rPr>
            </w:pPr>
            <w:r w:rsidRPr="00230F35">
              <w:rPr>
                <w:rFonts w:ascii="Arial" w:hAnsi="Arial" w:cs="Arial"/>
              </w:rPr>
              <w:t>Date:</w:t>
            </w:r>
          </w:p>
        </w:tc>
      </w:tr>
    </w:tbl>
    <w:p w:rsidR="0008669D" w:rsidRPr="00D67BF8" w:rsidRDefault="0008669D" w:rsidP="0008669D">
      <w:pPr>
        <w:pStyle w:val="NormalWeb"/>
        <w:spacing w:before="0" w:beforeAutospacing="0" w:after="0" w:afterAutospacing="0"/>
        <w:ind w:right="-334"/>
        <w:rPr>
          <w:rFonts w:ascii="Trebuchet MS" w:hAnsi="Trebuchet MS" w:cs="Tahoma"/>
          <w:bCs/>
          <w:sz w:val="24"/>
          <w:szCs w:val="24"/>
        </w:rPr>
      </w:pPr>
    </w:p>
    <w:p w:rsidR="0008669D" w:rsidRPr="0008669D" w:rsidRDefault="0008669D" w:rsidP="00C577D0">
      <w:pPr>
        <w:jc w:val="both"/>
        <w:rPr>
          <w:sz w:val="28"/>
          <w:szCs w:val="28"/>
        </w:rPr>
      </w:pPr>
    </w:p>
    <w:p w:rsidR="00C577D0" w:rsidRDefault="00C577D0" w:rsidP="00C577D0">
      <w:pPr>
        <w:jc w:val="both"/>
        <w:rPr>
          <w:b/>
          <w:sz w:val="28"/>
          <w:szCs w:val="28"/>
        </w:rPr>
      </w:pPr>
      <w:r>
        <w:rPr>
          <w:b/>
          <w:sz w:val="28"/>
          <w:szCs w:val="28"/>
        </w:rPr>
        <w:lastRenderedPageBreak/>
        <w:t>Manuscript Commentary</w:t>
      </w:r>
    </w:p>
    <w:p w:rsidR="00C577D0" w:rsidRDefault="00C577D0" w:rsidP="00FE26B2">
      <w:pPr>
        <w:ind w:firstLine="720"/>
        <w:jc w:val="both"/>
        <w:rPr>
          <w:b/>
          <w:sz w:val="28"/>
          <w:szCs w:val="28"/>
        </w:rPr>
      </w:pPr>
    </w:p>
    <w:p w:rsidR="00FE26B2" w:rsidRPr="00F92D2A" w:rsidRDefault="009D2EE5" w:rsidP="00FE26B2">
      <w:pPr>
        <w:ind w:firstLine="720"/>
        <w:jc w:val="both"/>
        <w:rPr>
          <w:i/>
          <w:sz w:val="28"/>
          <w:szCs w:val="28"/>
        </w:rPr>
      </w:pPr>
      <w:r w:rsidRPr="00FE26B2">
        <w:rPr>
          <w:b/>
          <w:sz w:val="28"/>
          <w:szCs w:val="28"/>
        </w:rPr>
        <w:t>Her</w:t>
      </w:r>
      <w:r w:rsidR="00FE26B2" w:rsidRPr="00FE26B2">
        <w:rPr>
          <w:b/>
          <w:sz w:val="28"/>
          <w:szCs w:val="28"/>
        </w:rPr>
        <w:t>e</w:t>
      </w:r>
      <w:r w:rsidRPr="00FE26B2">
        <w:rPr>
          <w:b/>
          <w:sz w:val="28"/>
          <w:szCs w:val="28"/>
        </w:rPr>
        <w:t xml:space="preserve"> is made known in writing that a shiremoot sat at AEgelnoth’s stone in the day of King Cnut. There sat Bishop AEthelstan and Ranig the Aldorman and Eadwine the Aldorman’s son and Leofwine, Wulsige’s son, Thurkil Hwita, and Tofig Prudacame there on the King’s errand</w:t>
      </w:r>
      <w:r w:rsidRPr="00AC0A26">
        <w:rPr>
          <w:b/>
          <w:sz w:val="28"/>
          <w:szCs w:val="28"/>
        </w:rPr>
        <w:t>; and the</w:t>
      </w:r>
      <w:r w:rsidR="0037297C" w:rsidRPr="00AC0A26">
        <w:rPr>
          <w:b/>
          <w:sz w:val="28"/>
          <w:szCs w:val="28"/>
        </w:rPr>
        <w:t>re</w:t>
      </w:r>
      <w:r w:rsidRPr="00AC0A26">
        <w:rPr>
          <w:b/>
          <w:sz w:val="28"/>
          <w:szCs w:val="28"/>
        </w:rPr>
        <w:t xml:space="preserve"> were Bryning the Shire Reeve and Aegelweard of Frome and Leofwine</w:t>
      </w:r>
      <w:r w:rsidRPr="00FE26B2">
        <w:rPr>
          <w:b/>
          <w:sz w:val="28"/>
          <w:szCs w:val="28"/>
        </w:rPr>
        <w:t xml:space="preserve"> of Frome and Godric of Stoke and all the Thegns in Herefordshire. Then came there journeying to the Moot Eadwine, Enneawine’s son, and there raised a claim against his own mother to a certain parcel of land which was at Wellington and Cradley. Then the Bishop asked </w:t>
      </w:r>
      <w:r w:rsidR="0037297C">
        <w:rPr>
          <w:b/>
          <w:sz w:val="28"/>
          <w:szCs w:val="28"/>
        </w:rPr>
        <w:t>who would answer for his mother.</w:t>
      </w:r>
      <w:r w:rsidRPr="00FE26B2">
        <w:rPr>
          <w:b/>
          <w:sz w:val="28"/>
          <w:szCs w:val="28"/>
        </w:rPr>
        <w:t xml:space="preserve"> </w:t>
      </w:r>
      <w:r w:rsidR="0037297C">
        <w:rPr>
          <w:b/>
          <w:sz w:val="28"/>
          <w:szCs w:val="28"/>
        </w:rPr>
        <w:t>T</w:t>
      </w:r>
      <w:r w:rsidR="0037297C" w:rsidRPr="00FE26B2">
        <w:rPr>
          <w:b/>
          <w:sz w:val="28"/>
          <w:szCs w:val="28"/>
        </w:rPr>
        <w:t>hen</w:t>
      </w:r>
      <w:r w:rsidRPr="00FE26B2">
        <w:rPr>
          <w:b/>
          <w:sz w:val="28"/>
          <w:szCs w:val="28"/>
        </w:rPr>
        <w:t xml:space="preserve"> Thurkil Hwita answered and said he would if he would know about the claim. As the claim was not known to him</w:t>
      </w:r>
      <w:r w:rsidR="006235B4">
        <w:rPr>
          <w:b/>
          <w:sz w:val="28"/>
          <w:szCs w:val="28"/>
        </w:rPr>
        <w:t>,</w:t>
      </w:r>
      <w:r w:rsidRPr="00FE26B2">
        <w:rPr>
          <w:b/>
          <w:sz w:val="28"/>
          <w:szCs w:val="28"/>
        </w:rPr>
        <w:t xml:space="preserve"> three thegns were chosen from the Moot (who should ride) </w:t>
      </w:r>
      <w:r w:rsidR="00983905" w:rsidRPr="00FE26B2">
        <w:rPr>
          <w:b/>
          <w:sz w:val="28"/>
          <w:szCs w:val="28"/>
        </w:rPr>
        <w:t xml:space="preserve">to where she was and that was at Fawley. These were Leofwine of Frome Aegelsige the red and Winsige Scaegthman. And when they came to her they asked what claim she had to the </w:t>
      </w:r>
      <w:r w:rsidR="00983905" w:rsidRPr="006235B4">
        <w:rPr>
          <w:b/>
          <w:sz w:val="28"/>
          <w:szCs w:val="28"/>
        </w:rPr>
        <w:t>lands</w:t>
      </w:r>
      <w:r w:rsidR="006235B4" w:rsidRPr="006235B4">
        <w:rPr>
          <w:b/>
          <w:sz w:val="28"/>
          <w:szCs w:val="28"/>
        </w:rPr>
        <w:t xml:space="preserve"> </w:t>
      </w:r>
      <w:r w:rsidR="00983905" w:rsidRPr="006235B4">
        <w:rPr>
          <w:b/>
          <w:sz w:val="28"/>
          <w:szCs w:val="28"/>
        </w:rPr>
        <w:t>for</w:t>
      </w:r>
      <w:r w:rsidR="00983905" w:rsidRPr="00FE26B2">
        <w:rPr>
          <w:b/>
          <w:sz w:val="28"/>
          <w:szCs w:val="28"/>
        </w:rPr>
        <w:t xml:space="preserve"> which her son was suing. Then she said that she had not any land which in any way belonged to him, and she became very bitterly angry with her son. And then she called Leoflaed, her </w:t>
      </w:r>
      <w:r w:rsidR="0037297C" w:rsidRPr="00FE26B2">
        <w:rPr>
          <w:b/>
          <w:sz w:val="28"/>
          <w:szCs w:val="28"/>
        </w:rPr>
        <w:t>kinswoman</w:t>
      </w:r>
      <w:r w:rsidR="00983905" w:rsidRPr="00FE26B2">
        <w:rPr>
          <w:b/>
          <w:sz w:val="28"/>
          <w:szCs w:val="28"/>
        </w:rPr>
        <w:t>, to her, Thurkil’s wife, and before them thus spoke to her, “Here sits Leofflaed</w:t>
      </w:r>
      <w:r w:rsidR="006235B4">
        <w:rPr>
          <w:b/>
          <w:sz w:val="28"/>
          <w:szCs w:val="28"/>
        </w:rPr>
        <w:t>,</w:t>
      </w:r>
      <w:r w:rsidR="00983905" w:rsidRPr="00FE26B2">
        <w:rPr>
          <w:b/>
          <w:sz w:val="28"/>
          <w:szCs w:val="28"/>
        </w:rPr>
        <w:t xml:space="preserve"> my kinswoman</w:t>
      </w:r>
      <w:r w:rsidR="006235B4">
        <w:rPr>
          <w:b/>
          <w:sz w:val="28"/>
          <w:szCs w:val="28"/>
        </w:rPr>
        <w:t>,</w:t>
      </w:r>
      <w:r w:rsidR="00FE26B2">
        <w:rPr>
          <w:b/>
          <w:sz w:val="28"/>
          <w:szCs w:val="28"/>
        </w:rPr>
        <w:t xml:space="preserve"> </w:t>
      </w:r>
      <w:r w:rsidR="00983905" w:rsidRPr="00FE26B2">
        <w:rPr>
          <w:b/>
          <w:sz w:val="28"/>
          <w:szCs w:val="28"/>
        </w:rPr>
        <w:t>to whom I give not only my land but also my gold and garments and robes and all that I own after my day”. And she then said to the Thegns “do nobly and well; relate my message to the Moot before all the good men and make known to them and to whom I have given my land and all my property; and to my own son never anything; and bid them all to be witness of this.“ And then they did so rode to the Moot and made known to all the good men</w:t>
      </w:r>
      <w:r w:rsidR="00FE26B2" w:rsidRPr="00FE26B2">
        <w:rPr>
          <w:b/>
          <w:sz w:val="28"/>
          <w:szCs w:val="28"/>
        </w:rPr>
        <w:t xml:space="preserve"> </w:t>
      </w:r>
      <w:r w:rsidR="00983905" w:rsidRPr="00FE26B2">
        <w:rPr>
          <w:b/>
          <w:sz w:val="28"/>
          <w:szCs w:val="28"/>
        </w:rPr>
        <w:t xml:space="preserve">what she had placed upon them. Then Thurkil Hwita </w:t>
      </w:r>
      <w:r w:rsidR="00FE26B2" w:rsidRPr="00FE26B2">
        <w:rPr>
          <w:b/>
          <w:sz w:val="28"/>
          <w:szCs w:val="28"/>
        </w:rPr>
        <w:t>stood up in the Moot and prayed all the Thegns to grant to his wife clean the lands which her Kinswoman had given her. And they did so and then Thurkil rode to the Minster of St. Ethelbert, with the leave and witness of all the people and caused it to be placed in a Christ’s book.</w:t>
      </w:r>
      <w:r w:rsidR="00FE26B2">
        <w:rPr>
          <w:b/>
          <w:sz w:val="28"/>
          <w:szCs w:val="28"/>
        </w:rPr>
        <w:t xml:space="preserve"> </w:t>
      </w:r>
      <w:r w:rsidR="00FE26B2" w:rsidRPr="00FE26B2">
        <w:rPr>
          <w:sz w:val="28"/>
          <w:szCs w:val="28"/>
        </w:rPr>
        <w:t>Trans.</w:t>
      </w:r>
      <w:r w:rsidR="00FE26B2">
        <w:rPr>
          <w:b/>
          <w:sz w:val="28"/>
          <w:szCs w:val="28"/>
        </w:rPr>
        <w:t xml:space="preserve"> </w:t>
      </w:r>
      <w:r w:rsidR="00FE26B2" w:rsidRPr="00F92D2A">
        <w:rPr>
          <w:sz w:val="28"/>
          <w:szCs w:val="28"/>
        </w:rPr>
        <w:t xml:space="preserve">from </w:t>
      </w:r>
      <w:r w:rsidR="00FE26B2" w:rsidRPr="00F92D2A">
        <w:rPr>
          <w:i/>
          <w:sz w:val="28"/>
          <w:szCs w:val="28"/>
        </w:rPr>
        <w:t>Anglo Saxonica in Hereford Cathedral Library</w:t>
      </w:r>
      <w:r w:rsidR="00FE26B2" w:rsidRPr="00F92D2A">
        <w:rPr>
          <w:sz w:val="28"/>
          <w:szCs w:val="28"/>
        </w:rPr>
        <w:t xml:space="preserve"> by </w:t>
      </w:r>
      <w:r w:rsidR="00FE26B2" w:rsidRPr="00F92D2A">
        <w:rPr>
          <w:i/>
          <w:sz w:val="28"/>
          <w:szCs w:val="28"/>
        </w:rPr>
        <w:t>Cyril Bathurst Judge (Harvard 1934).</w:t>
      </w:r>
    </w:p>
    <w:p w:rsidR="006727B0" w:rsidRPr="00F92D2A" w:rsidRDefault="00A2408D" w:rsidP="00FE26B2">
      <w:pPr>
        <w:ind w:firstLine="720"/>
        <w:jc w:val="both"/>
        <w:rPr>
          <w:i/>
          <w:sz w:val="28"/>
          <w:szCs w:val="28"/>
        </w:rPr>
      </w:pPr>
      <w:r w:rsidRPr="00F92D2A">
        <w:rPr>
          <w:sz w:val="28"/>
          <w:szCs w:val="28"/>
        </w:rPr>
        <w:lastRenderedPageBreak/>
        <w:t xml:space="preserve">This commentary </w:t>
      </w:r>
      <w:r w:rsidR="00036057" w:rsidRPr="00F92D2A">
        <w:rPr>
          <w:sz w:val="28"/>
          <w:szCs w:val="28"/>
        </w:rPr>
        <w:t>will focus on a charter which has been added to the rear of the Hereford Insular Gospel</w:t>
      </w:r>
      <w:r w:rsidR="00036057" w:rsidRPr="00F92D2A">
        <w:rPr>
          <w:rStyle w:val="FootnoteReference"/>
          <w:sz w:val="28"/>
          <w:szCs w:val="28"/>
        </w:rPr>
        <w:footnoteReference w:id="1"/>
      </w:r>
      <w:r w:rsidR="00036057" w:rsidRPr="00F92D2A">
        <w:rPr>
          <w:sz w:val="28"/>
          <w:szCs w:val="28"/>
        </w:rPr>
        <w:t xml:space="preserve"> This records the hearing of a land dispute between a son and his mother at a Shire moot in Herefordshire within the reign of King Cnut, I have reproduced the entry in translation</w:t>
      </w:r>
      <w:r w:rsidR="009D2EE5">
        <w:rPr>
          <w:sz w:val="28"/>
          <w:szCs w:val="28"/>
        </w:rPr>
        <w:t>,</w:t>
      </w:r>
      <w:r w:rsidR="00036057" w:rsidRPr="00F92D2A">
        <w:rPr>
          <w:sz w:val="28"/>
          <w:szCs w:val="28"/>
        </w:rPr>
        <w:t xml:space="preserve"> above</w:t>
      </w:r>
      <w:r w:rsidR="009D2EE5">
        <w:rPr>
          <w:sz w:val="28"/>
          <w:szCs w:val="28"/>
        </w:rPr>
        <w:t>,</w:t>
      </w:r>
      <w:r w:rsidR="00036057" w:rsidRPr="00F92D2A">
        <w:rPr>
          <w:sz w:val="28"/>
          <w:szCs w:val="28"/>
        </w:rPr>
        <w:t xml:space="preserve"> from </w:t>
      </w:r>
      <w:r w:rsidR="00036057" w:rsidRPr="00F92D2A">
        <w:rPr>
          <w:i/>
          <w:sz w:val="28"/>
          <w:szCs w:val="28"/>
        </w:rPr>
        <w:t>Anglo Saxonica in Hereford Cathedral Library</w:t>
      </w:r>
      <w:r w:rsidR="00036057" w:rsidRPr="00F92D2A">
        <w:rPr>
          <w:sz w:val="28"/>
          <w:szCs w:val="28"/>
        </w:rPr>
        <w:t xml:space="preserve"> by </w:t>
      </w:r>
      <w:r w:rsidR="00036057" w:rsidRPr="00F92D2A">
        <w:rPr>
          <w:i/>
          <w:sz w:val="28"/>
          <w:szCs w:val="28"/>
        </w:rPr>
        <w:t>Cyril Bathurst Judge</w:t>
      </w:r>
      <w:r w:rsidR="006727B0" w:rsidRPr="00F92D2A">
        <w:rPr>
          <w:i/>
          <w:sz w:val="28"/>
          <w:szCs w:val="28"/>
        </w:rPr>
        <w:t xml:space="preserve"> (Harvard 1934).</w:t>
      </w:r>
    </w:p>
    <w:p w:rsidR="00CF32C2" w:rsidRPr="00F92D2A" w:rsidRDefault="0039452C" w:rsidP="007F42D0">
      <w:pPr>
        <w:ind w:firstLine="720"/>
        <w:jc w:val="both"/>
        <w:rPr>
          <w:sz w:val="28"/>
          <w:szCs w:val="28"/>
        </w:rPr>
      </w:pPr>
      <w:r>
        <w:rPr>
          <w:sz w:val="28"/>
          <w:szCs w:val="28"/>
        </w:rPr>
        <w:t xml:space="preserve">The piece states that </w:t>
      </w:r>
      <w:r w:rsidR="006727B0" w:rsidRPr="00F92D2A">
        <w:rPr>
          <w:sz w:val="28"/>
          <w:szCs w:val="28"/>
        </w:rPr>
        <w:t>a Shire Moot or court has been held and the location and those present is recorded. The Archbishop, those who represent the King and the local N</w:t>
      </w:r>
      <w:r w:rsidR="00564EBB">
        <w:rPr>
          <w:sz w:val="28"/>
          <w:szCs w:val="28"/>
        </w:rPr>
        <w:t xml:space="preserve">obles are all shown as present. </w:t>
      </w:r>
      <w:r w:rsidR="00B06E5A" w:rsidRPr="00F92D2A">
        <w:rPr>
          <w:sz w:val="28"/>
          <w:szCs w:val="28"/>
        </w:rPr>
        <w:t>E</w:t>
      </w:r>
      <w:r w:rsidR="00EB2977">
        <w:rPr>
          <w:sz w:val="28"/>
          <w:szCs w:val="28"/>
        </w:rPr>
        <w:t>a</w:t>
      </w:r>
      <w:r w:rsidR="00B06E5A" w:rsidRPr="00F92D2A">
        <w:rPr>
          <w:sz w:val="28"/>
          <w:szCs w:val="28"/>
        </w:rPr>
        <w:t>dwine,</w:t>
      </w:r>
      <w:r w:rsidR="00564EBB">
        <w:rPr>
          <w:sz w:val="28"/>
          <w:szCs w:val="28"/>
        </w:rPr>
        <w:t xml:space="preserve"> the complainant,</w:t>
      </w:r>
      <w:r w:rsidR="006727B0" w:rsidRPr="00F92D2A">
        <w:rPr>
          <w:sz w:val="28"/>
          <w:szCs w:val="28"/>
        </w:rPr>
        <w:t xml:space="preserve"> arrives and lays a case against his moth</w:t>
      </w:r>
      <w:r w:rsidR="00B06E5A" w:rsidRPr="00F92D2A">
        <w:rPr>
          <w:sz w:val="28"/>
          <w:szCs w:val="28"/>
        </w:rPr>
        <w:t>er in relation to two plots of</w:t>
      </w:r>
      <w:r w:rsidR="007F42D0">
        <w:rPr>
          <w:sz w:val="28"/>
          <w:szCs w:val="28"/>
        </w:rPr>
        <w:t xml:space="preserve"> land in Herefordshire.</w:t>
      </w:r>
      <w:r w:rsidR="00036057" w:rsidRPr="00F92D2A">
        <w:rPr>
          <w:sz w:val="28"/>
          <w:szCs w:val="28"/>
        </w:rPr>
        <w:t xml:space="preserve"> </w:t>
      </w:r>
      <w:r w:rsidR="00B06E5A" w:rsidRPr="00F92D2A">
        <w:rPr>
          <w:sz w:val="28"/>
          <w:szCs w:val="28"/>
        </w:rPr>
        <w:t>The Bishop presides and asks who will speak for the absent accused, Thurkil says he will but he does not know the case and three Thegns are dispatched to speak wi</w:t>
      </w:r>
      <w:r w:rsidR="00F47467" w:rsidRPr="00F92D2A">
        <w:rPr>
          <w:sz w:val="28"/>
          <w:szCs w:val="28"/>
        </w:rPr>
        <w:t xml:space="preserve">th the accused and to gain her account. </w:t>
      </w:r>
      <w:r w:rsidR="00B06E5A" w:rsidRPr="00F92D2A">
        <w:rPr>
          <w:sz w:val="28"/>
          <w:szCs w:val="28"/>
        </w:rPr>
        <w:t xml:space="preserve"> </w:t>
      </w:r>
      <w:r w:rsidR="00A2408D" w:rsidRPr="00F92D2A">
        <w:rPr>
          <w:sz w:val="28"/>
          <w:szCs w:val="28"/>
        </w:rPr>
        <w:t>The three Thegns speak with her and she angrily contests her son</w:t>
      </w:r>
      <w:r w:rsidR="006235B4">
        <w:rPr>
          <w:sz w:val="28"/>
          <w:szCs w:val="28"/>
        </w:rPr>
        <w:t>’</w:t>
      </w:r>
      <w:r w:rsidR="00A2408D" w:rsidRPr="00F92D2A">
        <w:rPr>
          <w:sz w:val="28"/>
          <w:szCs w:val="28"/>
        </w:rPr>
        <w:t xml:space="preserve">s right to the land, and instructs the Thegns that all her property is to go to Thurkil’s wife when she passes and nothing to her son. </w:t>
      </w:r>
      <w:r w:rsidR="00CE2BF4" w:rsidRPr="00F92D2A">
        <w:rPr>
          <w:sz w:val="28"/>
          <w:szCs w:val="28"/>
        </w:rPr>
        <w:t>The Thegns return to the</w:t>
      </w:r>
      <w:r w:rsidR="00CF32C2" w:rsidRPr="00F92D2A">
        <w:rPr>
          <w:sz w:val="28"/>
          <w:szCs w:val="28"/>
        </w:rPr>
        <w:t xml:space="preserve"> ‘Moot’ and report what the mother said. Thurkil calls on those present </w:t>
      </w:r>
      <w:r w:rsidR="00CE2BF4" w:rsidRPr="00F92D2A">
        <w:rPr>
          <w:sz w:val="28"/>
          <w:szCs w:val="28"/>
        </w:rPr>
        <w:t xml:space="preserve">to grant to his wife the lands </w:t>
      </w:r>
      <w:r w:rsidR="00CF32C2" w:rsidRPr="00F92D2A">
        <w:rPr>
          <w:sz w:val="28"/>
          <w:szCs w:val="28"/>
        </w:rPr>
        <w:t>in dispute ‘clean’ and they did so. He then rode to the Cathedral where the entry was made.</w:t>
      </w:r>
    </w:p>
    <w:p w:rsidR="00CE2BF4" w:rsidRPr="00F92D2A" w:rsidRDefault="00564EBB" w:rsidP="007F42D0">
      <w:pPr>
        <w:ind w:firstLine="720"/>
        <w:jc w:val="both"/>
        <w:rPr>
          <w:sz w:val="28"/>
          <w:szCs w:val="28"/>
        </w:rPr>
      </w:pPr>
      <w:r>
        <w:rPr>
          <w:sz w:val="28"/>
          <w:szCs w:val="28"/>
        </w:rPr>
        <w:t xml:space="preserve">The entry states that </w:t>
      </w:r>
      <w:r w:rsidR="0042553D" w:rsidRPr="00F92D2A">
        <w:rPr>
          <w:sz w:val="28"/>
          <w:szCs w:val="28"/>
        </w:rPr>
        <w:t>the above was written in the reign of King Cnut</w:t>
      </w:r>
      <w:r w:rsidR="005A421A">
        <w:rPr>
          <w:sz w:val="28"/>
          <w:szCs w:val="28"/>
        </w:rPr>
        <w:t>,</w:t>
      </w:r>
      <w:r w:rsidR="0042553D" w:rsidRPr="00F92D2A">
        <w:rPr>
          <w:sz w:val="28"/>
          <w:szCs w:val="28"/>
        </w:rPr>
        <w:t xml:space="preserve"> 1016-1035. Certainly the opening passage does state ‘be cnutes daege cinges’ in the day of or at the time of</w:t>
      </w:r>
      <w:r>
        <w:rPr>
          <w:sz w:val="28"/>
          <w:szCs w:val="28"/>
        </w:rPr>
        <w:t xml:space="preserve"> King Cnut</w:t>
      </w:r>
      <w:r w:rsidR="0039452C">
        <w:rPr>
          <w:sz w:val="28"/>
          <w:szCs w:val="28"/>
        </w:rPr>
        <w:t>.</w:t>
      </w:r>
      <w:r w:rsidR="0042553D" w:rsidRPr="00F92D2A">
        <w:rPr>
          <w:rStyle w:val="FootnoteReference"/>
          <w:sz w:val="28"/>
          <w:szCs w:val="28"/>
        </w:rPr>
        <w:footnoteReference w:id="2"/>
      </w:r>
      <w:r w:rsidR="0039452C">
        <w:rPr>
          <w:sz w:val="28"/>
          <w:szCs w:val="28"/>
        </w:rPr>
        <w:t xml:space="preserve"> Taken at fac</w:t>
      </w:r>
      <w:r>
        <w:rPr>
          <w:sz w:val="28"/>
          <w:szCs w:val="28"/>
        </w:rPr>
        <w:t xml:space="preserve">e value </w:t>
      </w:r>
      <w:r w:rsidR="009C6AF6" w:rsidRPr="00F92D2A">
        <w:rPr>
          <w:sz w:val="28"/>
          <w:szCs w:val="28"/>
        </w:rPr>
        <w:t>the charter is in fact contemporaneous with the decision of the Moot Court, this can of course be implied from the</w:t>
      </w:r>
      <w:r w:rsidR="005A421A">
        <w:rPr>
          <w:sz w:val="28"/>
          <w:szCs w:val="28"/>
        </w:rPr>
        <w:t xml:space="preserve"> content of the</w:t>
      </w:r>
      <w:r w:rsidR="009C6AF6" w:rsidRPr="00F92D2A">
        <w:rPr>
          <w:sz w:val="28"/>
          <w:szCs w:val="28"/>
        </w:rPr>
        <w:t xml:space="preserve"> text itself</w:t>
      </w:r>
      <w:r w:rsidR="00292649" w:rsidRPr="00F92D2A">
        <w:rPr>
          <w:sz w:val="28"/>
          <w:szCs w:val="28"/>
        </w:rPr>
        <w:t xml:space="preserve"> and that the handwriting is dateable to the area and the 11</w:t>
      </w:r>
      <w:r w:rsidR="00292649" w:rsidRPr="00F92D2A">
        <w:rPr>
          <w:sz w:val="28"/>
          <w:szCs w:val="28"/>
          <w:vertAlign w:val="superscript"/>
        </w:rPr>
        <w:t>th</w:t>
      </w:r>
      <w:r w:rsidR="00292649" w:rsidRPr="00F92D2A">
        <w:rPr>
          <w:sz w:val="28"/>
          <w:szCs w:val="28"/>
        </w:rPr>
        <w:t xml:space="preserve"> century</w:t>
      </w:r>
      <w:r w:rsidR="00292649" w:rsidRPr="00F92D2A">
        <w:rPr>
          <w:rStyle w:val="FootnoteReference"/>
          <w:sz w:val="28"/>
          <w:szCs w:val="28"/>
        </w:rPr>
        <w:footnoteReference w:id="3"/>
      </w:r>
      <w:r w:rsidR="00292649" w:rsidRPr="00F92D2A">
        <w:rPr>
          <w:sz w:val="28"/>
          <w:szCs w:val="28"/>
        </w:rPr>
        <w:t>.</w:t>
      </w:r>
      <w:r w:rsidR="0039452C">
        <w:rPr>
          <w:sz w:val="28"/>
          <w:szCs w:val="28"/>
        </w:rPr>
        <w:t xml:space="preserve"> The possibility that this document was written post facto, in order to legitimise a landholding or to protect lands already in the possession of the holder cannot be ruled out. </w:t>
      </w:r>
    </w:p>
    <w:p w:rsidR="00E07701" w:rsidRPr="00F92D2A" w:rsidRDefault="00CF32C2" w:rsidP="007F42D0">
      <w:pPr>
        <w:ind w:firstLine="720"/>
        <w:jc w:val="both"/>
        <w:rPr>
          <w:sz w:val="28"/>
          <w:szCs w:val="28"/>
        </w:rPr>
      </w:pPr>
      <w:r w:rsidRPr="00F92D2A">
        <w:rPr>
          <w:sz w:val="28"/>
          <w:szCs w:val="28"/>
        </w:rPr>
        <w:t>The precise heritage of the Hereford Gospel is impossible to determine although it is generally considered to</w:t>
      </w:r>
      <w:r w:rsidR="009A77FA" w:rsidRPr="00F92D2A">
        <w:rPr>
          <w:sz w:val="28"/>
          <w:szCs w:val="28"/>
        </w:rPr>
        <w:t xml:space="preserve"> be</w:t>
      </w:r>
      <w:r w:rsidR="00C13042" w:rsidRPr="00F92D2A">
        <w:rPr>
          <w:sz w:val="28"/>
          <w:szCs w:val="28"/>
        </w:rPr>
        <w:t xml:space="preserve"> of the</w:t>
      </w:r>
      <w:r w:rsidRPr="00F92D2A">
        <w:rPr>
          <w:sz w:val="28"/>
          <w:szCs w:val="28"/>
        </w:rPr>
        <w:t xml:space="preserve"> late 8</w:t>
      </w:r>
      <w:r w:rsidRPr="00F92D2A">
        <w:rPr>
          <w:sz w:val="28"/>
          <w:szCs w:val="28"/>
          <w:vertAlign w:val="superscript"/>
        </w:rPr>
        <w:t>th</w:t>
      </w:r>
      <w:r w:rsidR="00C13042" w:rsidRPr="00F92D2A">
        <w:rPr>
          <w:sz w:val="28"/>
          <w:szCs w:val="28"/>
        </w:rPr>
        <w:t xml:space="preserve"> to early 9</w:t>
      </w:r>
      <w:r w:rsidR="00C13042" w:rsidRPr="00F92D2A">
        <w:rPr>
          <w:sz w:val="28"/>
          <w:szCs w:val="28"/>
          <w:vertAlign w:val="superscript"/>
        </w:rPr>
        <w:t>th</w:t>
      </w:r>
      <w:r w:rsidR="00C13042" w:rsidRPr="00F92D2A">
        <w:rPr>
          <w:sz w:val="28"/>
          <w:szCs w:val="28"/>
        </w:rPr>
        <w:t xml:space="preserve"> C</w:t>
      </w:r>
      <w:r w:rsidRPr="00F92D2A">
        <w:rPr>
          <w:sz w:val="28"/>
          <w:szCs w:val="28"/>
        </w:rPr>
        <w:t xml:space="preserve">entury and </w:t>
      </w:r>
      <w:r w:rsidRPr="00F92D2A">
        <w:rPr>
          <w:sz w:val="28"/>
          <w:szCs w:val="28"/>
        </w:rPr>
        <w:lastRenderedPageBreak/>
        <w:t xml:space="preserve">to have been </w:t>
      </w:r>
      <w:r w:rsidR="00C13042" w:rsidRPr="00F92D2A">
        <w:rPr>
          <w:sz w:val="28"/>
          <w:szCs w:val="28"/>
        </w:rPr>
        <w:t>created in either the West of England or Wales.</w:t>
      </w:r>
      <w:r w:rsidR="00C13042" w:rsidRPr="00F92D2A">
        <w:rPr>
          <w:rStyle w:val="FootnoteReference"/>
          <w:sz w:val="28"/>
          <w:szCs w:val="28"/>
        </w:rPr>
        <w:footnoteReference w:id="4"/>
      </w:r>
      <w:r w:rsidR="007C3241">
        <w:rPr>
          <w:sz w:val="28"/>
          <w:szCs w:val="28"/>
        </w:rPr>
        <w:t xml:space="preserve"> </w:t>
      </w:r>
      <w:r w:rsidR="009A77FA" w:rsidRPr="00F92D2A">
        <w:rPr>
          <w:sz w:val="28"/>
          <w:szCs w:val="28"/>
        </w:rPr>
        <w:t>The recording of charters in Gospels was briefly adopted in the early 11</w:t>
      </w:r>
      <w:r w:rsidR="009A77FA" w:rsidRPr="00F92D2A">
        <w:rPr>
          <w:sz w:val="28"/>
          <w:szCs w:val="28"/>
          <w:vertAlign w:val="superscript"/>
        </w:rPr>
        <w:t>th</w:t>
      </w:r>
      <w:r w:rsidR="009A77FA" w:rsidRPr="00F92D2A">
        <w:rPr>
          <w:sz w:val="28"/>
          <w:szCs w:val="28"/>
        </w:rPr>
        <w:t xml:space="preserve"> Century although the reasons remain unclear,</w:t>
      </w:r>
      <w:r w:rsidR="009A77FA" w:rsidRPr="00F92D2A">
        <w:rPr>
          <w:rStyle w:val="FootnoteReference"/>
          <w:sz w:val="28"/>
          <w:szCs w:val="28"/>
        </w:rPr>
        <w:footnoteReference w:id="5"/>
      </w:r>
      <w:r w:rsidR="00C13042" w:rsidRPr="00F92D2A">
        <w:rPr>
          <w:sz w:val="28"/>
          <w:szCs w:val="28"/>
        </w:rPr>
        <w:t xml:space="preserve"> </w:t>
      </w:r>
      <w:r w:rsidR="009A77FA" w:rsidRPr="00F92D2A">
        <w:rPr>
          <w:sz w:val="28"/>
          <w:szCs w:val="28"/>
        </w:rPr>
        <w:t>however what we can say is that the entry must have had a deal of importance</w:t>
      </w:r>
      <w:r w:rsidR="00E07701" w:rsidRPr="00F92D2A">
        <w:rPr>
          <w:sz w:val="28"/>
          <w:szCs w:val="28"/>
        </w:rPr>
        <w:t xml:space="preserve"> to the author. We can discern this through the activity which has surrounded the creation of this charter and the apparent lengths which ‘Thurkil’ has gone to in order to </w:t>
      </w:r>
      <w:r w:rsidR="00E07701" w:rsidRPr="00AC0A26">
        <w:rPr>
          <w:sz w:val="28"/>
          <w:szCs w:val="28"/>
        </w:rPr>
        <w:t>legi</w:t>
      </w:r>
      <w:r w:rsidR="00AC0A26" w:rsidRPr="00AC0A26">
        <w:rPr>
          <w:sz w:val="28"/>
          <w:szCs w:val="28"/>
        </w:rPr>
        <w:t>timize</w:t>
      </w:r>
      <w:r w:rsidR="00E07701" w:rsidRPr="00F92D2A">
        <w:rPr>
          <w:sz w:val="28"/>
          <w:szCs w:val="28"/>
        </w:rPr>
        <w:t xml:space="preserve"> his land claim. </w:t>
      </w:r>
    </w:p>
    <w:p w:rsidR="00386FAF" w:rsidRDefault="00E07701" w:rsidP="007F42D0">
      <w:pPr>
        <w:ind w:firstLine="720"/>
        <w:jc w:val="both"/>
        <w:rPr>
          <w:sz w:val="28"/>
          <w:szCs w:val="28"/>
        </w:rPr>
      </w:pPr>
      <w:r w:rsidRPr="00F92D2A">
        <w:rPr>
          <w:sz w:val="28"/>
          <w:szCs w:val="28"/>
        </w:rPr>
        <w:t>There are in fact two charters within the Gospel, the one we are dealing with here and a second which also deals with a land transaction by the same family.</w:t>
      </w:r>
      <w:r w:rsidRPr="00F92D2A">
        <w:rPr>
          <w:rStyle w:val="FootnoteReference"/>
          <w:sz w:val="28"/>
          <w:szCs w:val="28"/>
        </w:rPr>
        <w:footnoteReference w:id="6"/>
      </w:r>
      <w:r w:rsidRPr="00F92D2A">
        <w:rPr>
          <w:sz w:val="28"/>
          <w:szCs w:val="28"/>
        </w:rPr>
        <w:t xml:space="preserve"> Both of these are in the vernacular and are entered in the same hand, however</w:t>
      </w:r>
      <w:r w:rsidR="00094AEA" w:rsidRPr="00F92D2A">
        <w:rPr>
          <w:sz w:val="28"/>
          <w:szCs w:val="28"/>
        </w:rPr>
        <w:t xml:space="preserve"> the latter</w:t>
      </w:r>
      <w:r w:rsidR="00B6101E" w:rsidRPr="00F92D2A">
        <w:rPr>
          <w:sz w:val="28"/>
          <w:szCs w:val="28"/>
        </w:rPr>
        <w:t xml:space="preserve"> apparently</w:t>
      </w:r>
      <w:r w:rsidR="00094AEA" w:rsidRPr="00F92D2A">
        <w:rPr>
          <w:sz w:val="28"/>
          <w:szCs w:val="28"/>
        </w:rPr>
        <w:t xml:space="preserve"> several years later</w:t>
      </w:r>
      <w:r w:rsidRPr="00F92D2A">
        <w:rPr>
          <w:sz w:val="28"/>
          <w:szCs w:val="28"/>
        </w:rPr>
        <w:t>, and neither transaction appears to directly benefit the cathedral</w:t>
      </w:r>
      <w:r w:rsidR="00094AEA" w:rsidRPr="00F92D2A">
        <w:rPr>
          <w:sz w:val="28"/>
          <w:szCs w:val="28"/>
        </w:rPr>
        <w:t>.</w:t>
      </w:r>
      <w:r w:rsidRPr="00F92D2A">
        <w:rPr>
          <w:rStyle w:val="FootnoteReference"/>
          <w:sz w:val="28"/>
          <w:szCs w:val="28"/>
        </w:rPr>
        <w:footnoteReference w:id="7"/>
      </w:r>
      <w:r w:rsidR="00094AEA" w:rsidRPr="00F92D2A">
        <w:rPr>
          <w:sz w:val="28"/>
          <w:szCs w:val="28"/>
        </w:rPr>
        <w:t xml:space="preserve"> This would again lend an importance to the necessity of recording these particula</w:t>
      </w:r>
      <w:r w:rsidR="006235B4">
        <w:rPr>
          <w:sz w:val="28"/>
          <w:szCs w:val="28"/>
        </w:rPr>
        <w:t>r land transactions in this way. I</w:t>
      </w:r>
      <w:r w:rsidR="00094AEA" w:rsidRPr="00F92D2A">
        <w:rPr>
          <w:sz w:val="28"/>
          <w:szCs w:val="28"/>
        </w:rPr>
        <w:t xml:space="preserve">t would be blinkered to imagine that these were the only land transactions in this area in the time, and it can be surmised that the family making the entries were important locally or had important connections with the cathedral. It is perhaps crucial to understand that by the time of </w:t>
      </w:r>
      <w:r w:rsidR="0037297C" w:rsidRPr="00F92D2A">
        <w:rPr>
          <w:sz w:val="28"/>
          <w:szCs w:val="28"/>
        </w:rPr>
        <w:t>Doomsday</w:t>
      </w:r>
      <w:r w:rsidR="00094AEA" w:rsidRPr="00F92D2A">
        <w:rPr>
          <w:sz w:val="28"/>
          <w:szCs w:val="28"/>
        </w:rPr>
        <w:t xml:space="preserve"> the Cathedral held one of the two disputed estates from the earlier charter.</w:t>
      </w:r>
      <w:r w:rsidR="00094AEA" w:rsidRPr="00F92D2A">
        <w:rPr>
          <w:rStyle w:val="FootnoteReference"/>
          <w:sz w:val="28"/>
          <w:szCs w:val="28"/>
        </w:rPr>
        <w:footnoteReference w:id="8"/>
      </w:r>
      <w:r w:rsidR="00094AEA" w:rsidRPr="00F92D2A">
        <w:rPr>
          <w:sz w:val="28"/>
          <w:szCs w:val="28"/>
        </w:rPr>
        <w:t xml:space="preserve">  </w:t>
      </w:r>
      <w:r w:rsidR="00590734" w:rsidRPr="00F92D2A">
        <w:rPr>
          <w:sz w:val="28"/>
          <w:szCs w:val="28"/>
        </w:rPr>
        <w:t xml:space="preserve">It could be ascertained from this that the requirement for the recording of the Moot decision, and the subsequent ownership of the lands, came from the Cathedral itself as they were aware that the lands would eventually be reposed with them and wanted a firm foundation for their ownership. </w:t>
      </w:r>
    </w:p>
    <w:p w:rsidR="005A421A" w:rsidRDefault="0003088E" w:rsidP="0068151F">
      <w:pPr>
        <w:ind w:firstLine="720"/>
        <w:jc w:val="both"/>
        <w:rPr>
          <w:sz w:val="28"/>
          <w:szCs w:val="28"/>
        </w:rPr>
      </w:pPr>
      <w:r>
        <w:rPr>
          <w:sz w:val="28"/>
          <w:szCs w:val="28"/>
        </w:rPr>
        <w:t>The document was created during a turbulent time in the area around Hereford and the Welsh borders. King Cnut was a Scandinavian and we can see in the document both Scandinavian and Anglo-Saxon names</w:t>
      </w:r>
      <w:r w:rsidR="00CD787D">
        <w:rPr>
          <w:sz w:val="28"/>
          <w:szCs w:val="28"/>
        </w:rPr>
        <w:t>,</w:t>
      </w:r>
      <w:r>
        <w:rPr>
          <w:sz w:val="28"/>
          <w:szCs w:val="28"/>
        </w:rPr>
        <w:t xml:space="preserve"> in </w:t>
      </w:r>
      <w:r w:rsidR="00CD787D">
        <w:rPr>
          <w:sz w:val="28"/>
          <w:szCs w:val="28"/>
        </w:rPr>
        <w:t xml:space="preserve">positions of importance and influence. </w:t>
      </w:r>
      <w:r w:rsidR="004B3174">
        <w:rPr>
          <w:sz w:val="28"/>
          <w:szCs w:val="28"/>
        </w:rPr>
        <w:t>Tofi the P</w:t>
      </w:r>
      <w:r w:rsidR="001D5894">
        <w:rPr>
          <w:sz w:val="28"/>
          <w:szCs w:val="28"/>
        </w:rPr>
        <w:t>roud is said in the document to ‘be there on the King</w:t>
      </w:r>
      <w:r w:rsidR="004B3174">
        <w:rPr>
          <w:sz w:val="28"/>
          <w:szCs w:val="28"/>
        </w:rPr>
        <w:t>’</w:t>
      </w:r>
      <w:r w:rsidR="001D5894">
        <w:rPr>
          <w:sz w:val="28"/>
          <w:szCs w:val="28"/>
        </w:rPr>
        <w:t>s errand’</w:t>
      </w:r>
      <w:r w:rsidR="00CD787D">
        <w:rPr>
          <w:sz w:val="28"/>
          <w:szCs w:val="28"/>
        </w:rPr>
        <w:t>.</w:t>
      </w:r>
      <w:r w:rsidR="001D5894">
        <w:rPr>
          <w:rStyle w:val="FootnoteReference"/>
          <w:sz w:val="28"/>
          <w:szCs w:val="28"/>
        </w:rPr>
        <w:footnoteReference w:id="9"/>
      </w:r>
      <w:r w:rsidR="00CD787D">
        <w:rPr>
          <w:sz w:val="28"/>
          <w:szCs w:val="28"/>
        </w:rPr>
        <w:t xml:space="preserve"> </w:t>
      </w:r>
      <w:r w:rsidR="001D5894">
        <w:rPr>
          <w:sz w:val="28"/>
          <w:szCs w:val="28"/>
        </w:rPr>
        <w:t>A great landholder in his own right</w:t>
      </w:r>
      <w:r w:rsidR="004B3174">
        <w:rPr>
          <w:sz w:val="28"/>
          <w:szCs w:val="28"/>
        </w:rPr>
        <w:t>,</w:t>
      </w:r>
      <w:r w:rsidR="001D5894">
        <w:rPr>
          <w:sz w:val="28"/>
          <w:szCs w:val="28"/>
        </w:rPr>
        <w:t xml:space="preserve"> Tofi held possessions in several Southern English counties, </w:t>
      </w:r>
      <w:r w:rsidR="00AE5B05">
        <w:rPr>
          <w:sz w:val="28"/>
          <w:szCs w:val="28"/>
        </w:rPr>
        <w:t xml:space="preserve">and would have been a considerable ally had another attempted to expropriate the land in question. Hemmings Cartulary shows us that such expropriations were carried out by </w:t>
      </w:r>
      <w:r w:rsidR="00AE5B05">
        <w:rPr>
          <w:sz w:val="28"/>
          <w:szCs w:val="28"/>
        </w:rPr>
        <w:lastRenderedPageBreak/>
        <w:t>Earl Harkon against the Monks of Worcester in the late 11</w:t>
      </w:r>
      <w:r w:rsidR="00AE5B05" w:rsidRPr="00AE5B05">
        <w:rPr>
          <w:sz w:val="28"/>
          <w:szCs w:val="28"/>
          <w:vertAlign w:val="superscript"/>
        </w:rPr>
        <w:t>th</w:t>
      </w:r>
      <w:r w:rsidR="00AE5B05">
        <w:rPr>
          <w:sz w:val="28"/>
          <w:szCs w:val="28"/>
        </w:rPr>
        <w:t xml:space="preserve"> Century.</w:t>
      </w:r>
      <w:r w:rsidR="00AE5B05">
        <w:rPr>
          <w:rStyle w:val="FootnoteReference"/>
          <w:sz w:val="28"/>
          <w:szCs w:val="28"/>
        </w:rPr>
        <w:footnoteReference w:id="10"/>
      </w:r>
      <w:r w:rsidR="00A75EFB">
        <w:rPr>
          <w:sz w:val="28"/>
          <w:szCs w:val="28"/>
        </w:rPr>
        <w:t xml:space="preserve"> In the document Thurkil himself is surr</w:t>
      </w:r>
      <w:r w:rsidR="00CD787D">
        <w:rPr>
          <w:sz w:val="28"/>
          <w:szCs w:val="28"/>
        </w:rPr>
        <w:t xml:space="preserve">ounded at the Moot by a </w:t>
      </w:r>
      <w:r w:rsidR="00A75EFB">
        <w:rPr>
          <w:sz w:val="28"/>
          <w:szCs w:val="28"/>
        </w:rPr>
        <w:t xml:space="preserve">cast of local dignitaries, who all bear witness to his right to the land in question. </w:t>
      </w:r>
      <w:r w:rsidR="00CD787D">
        <w:rPr>
          <w:sz w:val="28"/>
          <w:szCs w:val="28"/>
        </w:rPr>
        <w:t>This would have been a sound basis for resisting any muscular attempt at taking the land in question.</w:t>
      </w:r>
      <w:r w:rsidR="00DE4382">
        <w:rPr>
          <w:sz w:val="28"/>
          <w:szCs w:val="28"/>
        </w:rPr>
        <w:t xml:space="preserve"> </w:t>
      </w:r>
    </w:p>
    <w:p w:rsidR="00072A42" w:rsidRDefault="00DE4382" w:rsidP="0068151F">
      <w:pPr>
        <w:ind w:firstLine="720"/>
        <w:jc w:val="both"/>
        <w:rPr>
          <w:sz w:val="28"/>
          <w:szCs w:val="28"/>
        </w:rPr>
      </w:pPr>
      <w:r>
        <w:rPr>
          <w:sz w:val="28"/>
          <w:szCs w:val="28"/>
        </w:rPr>
        <w:t>The invasion of 1016</w:t>
      </w:r>
      <w:r w:rsidR="00072A42">
        <w:rPr>
          <w:sz w:val="28"/>
          <w:szCs w:val="28"/>
        </w:rPr>
        <w:t xml:space="preserve"> has </w:t>
      </w:r>
      <w:r w:rsidR="004B3174">
        <w:rPr>
          <w:sz w:val="28"/>
          <w:szCs w:val="28"/>
        </w:rPr>
        <w:t>not drawn as much historiographi</w:t>
      </w:r>
      <w:r w:rsidR="00072A42">
        <w:rPr>
          <w:sz w:val="28"/>
          <w:szCs w:val="28"/>
        </w:rPr>
        <w:t>cal focus on</w:t>
      </w:r>
      <w:r>
        <w:rPr>
          <w:sz w:val="28"/>
          <w:szCs w:val="28"/>
        </w:rPr>
        <w:t xml:space="preserve"> its disruptive elements as the invasion of 1066 has, however Katherine Mack has persuasively drawn attention to the upheaval caused by Cnut’</w:t>
      </w:r>
      <w:r w:rsidR="00C7712B">
        <w:rPr>
          <w:sz w:val="28"/>
          <w:szCs w:val="28"/>
        </w:rPr>
        <w:t>s victory</w:t>
      </w:r>
      <w:r>
        <w:rPr>
          <w:sz w:val="28"/>
          <w:szCs w:val="28"/>
        </w:rPr>
        <w:t xml:space="preserve"> to the Anglo-Saxon aristocracy.</w:t>
      </w:r>
      <w:r>
        <w:rPr>
          <w:rStyle w:val="FootnoteReference"/>
          <w:sz w:val="28"/>
          <w:szCs w:val="28"/>
        </w:rPr>
        <w:footnoteReference w:id="11"/>
      </w:r>
      <w:r w:rsidR="00861166">
        <w:rPr>
          <w:sz w:val="28"/>
          <w:szCs w:val="28"/>
        </w:rPr>
        <w:t xml:space="preserve"> Also that</w:t>
      </w:r>
      <w:r w:rsidR="004B3174">
        <w:rPr>
          <w:sz w:val="28"/>
          <w:szCs w:val="28"/>
        </w:rPr>
        <w:t>,</w:t>
      </w:r>
      <w:r w:rsidR="00861166">
        <w:rPr>
          <w:sz w:val="28"/>
          <w:szCs w:val="28"/>
        </w:rPr>
        <w:t xml:space="preserve"> due to widespread aristocratic death and a dearth of a replacement of the landholding class</w:t>
      </w:r>
      <w:r w:rsidR="004B3174">
        <w:rPr>
          <w:sz w:val="28"/>
          <w:szCs w:val="28"/>
        </w:rPr>
        <w:t>,</w:t>
      </w:r>
      <w:r w:rsidR="00861166">
        <w:rPr>
          <w:sz w:val="28"/>
          <w:szCs w:val="28"/>
        </w:rPr>
        <w:t xml:space="preserve"> Saxon political and social structures were irrevocably</w:t>
      </w:r>
      <w:r w:rsidR="00072A42">
        <w:rPr>
          <w:sz w:val="28"/>
          <w:szCs w:val="28"/>
        </w:rPr>
        <w:t xml:space="preserve"> weakened and changed</w:t>
      </w:r>
      <w:r w:rsidR="00861166">
        <w:rPr>
          <w:sz w:val="28"/>
          <w:szCs w:val="28"/>
        </w:rPr>
        <w:t>.</w:t>
      </w:r>
      <w:r w:rsidR="005A421A">
        <w:rPr>
          <w:sz w:val="28"/>
          <w:szCs w:val="28"/>
        </w:rPr>
        <w:t xml:space="preserve"> </w:t>
      </w:r>
    </w:p>
    <w:p w:rsidR="00BB7F4C" w:rsidRDefault="00B23567" w:rsidP="0068151F">
      <w:pPr>
        <w:ind w:firstLine="720"/>
        <w:jc w:val="both"/>
        <w:rPr>
          <w:sz w:val="28"/>
          <w:szCs w:val="28"/>
        </w:rPr>
      </w:pPr>
      <w:r>
        <w:rPr>
          <w:sz w:val="28"/>
          <w:szCs w:val="28"/>
        </w:rPr>
        <w:t>Frank Stenton in ‘Anglo Saxon Eng</w:t>
      </w:r>
      <w:r w:rsidR="004B3174">
        <w:rPr>
          <w:sz w:val="28"/>
          <w:szCs w:val="28"/>
        </w:rPr>
        <w:t>la</w:t>
      </w:r>
      <w:r>
        <w:rPr>
          <w:sz w:val="28"/>
          <w:szCs w:val="28"/>
        </w:rPr>
        <w:t>nd’</w:t>
      </w:r>
      <w:r>
        <w:rPr>
          <w:rStyle w:val="FootnoteReference"/>
          <w:sz w:val="28"/>
          <w:szCs w:val="28"/>
        </w:rPr>
        <w:footnoteReference w:id="12"/>
      </w:r>
      <w:r>
        <w:rPr>
          <w:sz w:val="28"/>
          <w:szCs w:val="28"/>
        </w:rPr>
        <w:t xml:space="preserve"> </w:t>
      </w:r>
      <w:r w:rsidR="005A421A">
        <w:rPr>
          <w:sz w:val="28"/>
          <w:szCs w:val="28"/>
        </w:rPr>
        <w:t xml:space="preserve">established that King Cnut sought </w:t>
      </w:r>
      <w:r>
        <w:rPr>
          <w:sz w:val="28"/>
          <w:szCs w:val="28"/>
        </w:rPr>
        <w:t>to win the respect of</w:t>
      </w:r>
      <w:r w:rsidR="00072A42">
        <w:rPr>
          <w:sz w:val="28"/>
          <w:szCs w:val="28"/>
        </w:rPr>
        <w:t xml:space="preserve"> the English Church. This may have led to a rise in the practice of recording charters within ecclesiastical documents which may carry more weight with the new regime than secular documents.  </w:t>
      </w:r>
    </w:p>
    <w:p w:rsidR="006E3217" w:rsidRDefault="00CD787D" w:rsidP="0068151F">
      <w:pPr>
        <w:ind w:firstLine="720"/>
        <w:jc w:val="both"/>
        <w:rPr>
          <w:sz w:val="28"/>
          <w:szCs w:val="28"/>
        </w:rPr>
      </w:pPr>
      <w:r>
        <w:rPr>
          <w:sz w:val="28"/>
          <w:szCs w:val="28"/>
        </w:rPr>
        <w:t xml:space="preserve">We can discern from the text that the convocation of a Shire Moot was not </w:t>
      </w:r>
      <w:r w:rsidR="0093641A">
        <w:rPr>
          <w:sz w:val="28"/>
          <w:szCs w:val="28"/>
        </w:rPr>
        <w:t>a frivolous undertaking as all the Thegns of Herefordshire are present. We are shown the rank structure by Tofig Pruda being the representative of the King and then Bishop Aethelstan, Al</w:t>
      </w:r>
      <w:r w:rsidR="00EB7D79">
        <w:rPr>
          <w:sz w:val="28"/>
          <w:szCs w:val="28"/>
        </w:rPr>
        <w:t xml:space="preserve">dormen, Shire Reeve and then </w:t>
      </w:r>
      <w:r w:rsidR="0093641A">
        <w:rPr>
          <w:sz w:val="28"/>
          <w:szCs w:val="28"/>
        </w:rPr>
        <w:t>the Thegns</w:t>
      </w:r>
      <w:r w:rsidR="00EB7D79">
        <w:rPr>
          <w:sz w:val="28"/>
          <w:szCs w:val="28"/>
        </w:rPr>
        <w:t xml:space="preserve"> being recorded</w:t>
      </w:r>
      <w:r w:rsidR="0093641A">
        <w:rPr>
          <w:sz w:val="28"/>
          <w:szCs w:val="28"/>
        </w:rPr>
        <w:t xml:space="preserve">. </w:t>
      </w:r>
      <w:r w:rsidR="00324D9C">
        <w:rPr>
          <w:sz w:val="28"/>
          <w:szCs w:val="28"/>
        </w:rPr>
        <w:t xml:space="preserve"> </w:t>
      </w:r>
      <w:r w:rsidR="00861166">
        <w:rPr>
          <w:sz w:val="28"/>
          <w:szCs w:val="28"/>
        </w:rPr>
        <w:t xml:space="preserve">The implication of the text is that not only were the Shire Moots there </w:t>
      </w:r>
      <w:r w:rsidR="001D2ED3">
        <w:rPr>
          <w:sz w:val="28"/>
          <w:szCs w:val="28"/>
        </w:rPr>
        <w:t xml:space="preserve">to decide matters, </w:t>
      </w:r>
      <w:r w:rsidR="00861166">
        <w:rPr>
          <w:sz w:val="28"/>
          <w:szCs w:val="28"/>
        </w:rPr>
        <w:t xml:space="preserve">but also to investigate their veracity. The text does not tell us what the dispute between Eadwine and his mother was, but only that there was one. It was considered serious enough to dispatch three Thegns, as de facto investigators or officers of the court, to gain an account from the accused on a 20 </w:t>
      </w:r>
      <w:r w:rsidR="00EB7D79">
        <w:rPr>
          <w:sz w:val="28"/>
          <w:szCs w:val="28"/>
        </w:rPr>
        <w:t xml:space="preserve">mile round trip. </w:t>
      </w:r>
      <w:r w:rsidR="00861166">
        <w:rPr>
          <w:sz w:val="28"/>
          <w:szCs w:val="28"/>
        </w:rPr>
        <w:t xml:space="preserve"> </w:t>
      </w:r>
    </w:p>
    <w:p w:rsidR="00CD787D" w:rsidRDefault="006E3217" w:rsidP="0068151F">
      <w:pPr>
        <w:ind w:firstLine="720"/>
        <w:jc w:val="both"/>
        <w:rPr>
          <w:sz w:val="28"/>
          <w:szCs w:val="28"/>
        </w:rPr>
      </w:pPr>
      <w:r>
        <w:rPr>
          <w:sz w:val="28"/>
          <w:szCs w:val="28"/>
        </w:rPr>
        <w:t>Land was a great motivator in the medieval world and endless amounts of time and ink were spilled on the distribution of it. It is notable that the great shift from ‘Memory to Written Record’ as analysed by M</w:t>
      </w:r>
      <w:r w:rsidR="004B3174">
        <w:rPr>
          <w:sz w:val="28"/>
          <w:szCs w:val="28"/>
        </w:rPr>
        <w:t>.</w:t>
      </w:r>
      <w:r>
        <w:rPr>
          <w:sz w:val="28"/>
          <w:szCs w:val="28"/>
        </w:rPr>
        <w:t xml:space="preserve"> T</w:t>
      </w:r>
      <w:r w:rsidR="004B3174">
        <w:rPr>
          <w:sz w:val="28"/>
          <w:szCs w:val="28"/>
        </w:rPr>
        <w:t>.</w:t>
      </w:r>
      <w:r>
        <w:rPr>
          <w:sz w:val="28"/>
          <w:szCs w:val="28"/>
        </w:rPr>
        <w:t xml:space="preserve"> Clanchy in that seminal work, had not yet taken place by the early to mid 11</w:t>
      </w:r>
      <w:r w:rsidRPr="00924194">
        <w:rPr>
          <w:sz w:val="28"/>
          <w:szCs w:val="28"/>
          <w:vertAlign w:val="superscript"/>
        </w:rPr>
        <w:t>th</w:t>
      </w:r>
      <w:r>
        <w:rPr>
          <w:sz w:val="28"/>
          <w:szCs w:val="28"/>
        </w:rPr>
        <w:t xml:space="preserve"> century. </w:t>
      </w:r>
      <w:r>
        <w:rPr>
          <w:sz w:val="28"/>
          <w:szCs w:val="28"/>
        </w:rPr>
        <w:lastRenderedPageBreak/>
        <w:t>However</w:t>
      </w:r>
      <w:r w:rsidR="004B3174">
        <w:rPr>
          <w:sz w:val="28"/>
          <w:szCs w:val="28"/>
        </w:rPr>
        <w:t>,</w:t>
      </w:r>
      <w:r>
        <w:rPr>
          <w:sz w:val="28"/>
          <w:szCs w:val="28"/>
        </w:rPr>
        <w:t xml:space="preserve"> here we have not one but two land charters recorded in a Gospel and both</w:t>
      </w:r>
      <w:r w:rsidR="001D2ED3">
        <w:rPr>
          <w:sz w:val="28"/>
          <w:szCs w:val="28"/>
        </w:rPr>
        <w:t xml:space="preserve"> of these relate to land held by </w:t>
      </w:r>
      <w:r>
        <w:rPr>
          <w:sz w:val="28"/>
          <w:szCs w:val="28"/>
        </w:rPr>
        <w:t>the same family.</w:t>
      </w:r>
    </w:p>
    <w:p w:rsidR="0076604A" w:rsidRDefault="00A75EFB" w:rsidP="0068151F">
      <w:pPr>
        <w:ind w:firstLine="720"/>
        <w:jc w:val="both"/>
        <w:rPr>
          <w:sz w:val="28"/>
          <w:szCs w:val="28"/>
        </w:rPr>
      </w:pPr>
      <w:r>
        <w:rPr>
          <w:sz w:val="28"/>
          <w:szCs w:val="28"/>
        </w:rPr>
        <w:t>In order to become a Thegn one needed at least 5 hides of land, amongst other things. In order to rise from Ceorl to Thegn</w:t>
      </w:r>
      <w:r w:rsidR="004B3174">
        <w:rPr>
          <w:sz w:val="28"/>
          <w:szCs w:val="28"/>
        </w:rPr>
        <w:t>,</w:t>
      </w:r>
      <w:r>
        <w:rPr>
          <w:sz w:val="28"/>
          <w:szCs w:val="28"/>
        </w:rPr>
        <w:t xml:space="preserve"> a Ceorl must </w:t>
      </w:r>
      <w:r w:rsidR="0076604A">
        <w:rPr>
          <w:sz w:val="28"/>
          <w:szCs w:val="28"/>
        </w:rPr>
        <w:t>own this amount of land at least</w:t>
      </w:r>
      <w:r w:rsidR="004B3174">
        <w:rPr>
          <w:sz w:val="28"/>
          <w:szCs w:val="28"/>
        </w:rPr>
        <w:t>.</w:t>
      </w:r>
      <w:r w:rsidR="0076604A">
        <w:rPr>
          <w:sz w:val="28"/>
          <w:szCs w:val="28"/>
        </w:rPr>
        <w:t xml:space="preserve"> </w:t>
      </w:r>
    </w:p>
    <w:p w:rsidR="00A75EFB" w:rsidRDefault="0076604A" w:rsidP="0076604A">
      <w:pPr>
        <w:ind w:left="1560" w:right="2789" w:hanging="1560"/>
        <w:jc w:val="both"/>
        <w:rPr>
          <w:sz w:val="28"/>
          <w:szCs w:val="28"/>
        </w:rPr>
      </w:pPr>
      <w:r>
        <w:rPr>
          <w:sz w:val="28"/>
          <w:szCs w:val="28"/>
        </w:rPr>
        <w:t xml:space="preserve">                         ‘even if he prospers so that he possesses a helmet and a coat of mail and a gold plated sword, if he has not the land he is a Ceorl all the same’</w:t>
      </w:r>
      <w:r>
        <w:rPr>
          <w:rStyle w:val="FootnoteReference"/>
          <w:sz w:val="28"/>
          <w:szCs w:val="28"/>
        </w:rPr>
        <w:footnoteReference w:id="13"/>
      </w:r>
    </w:p>
    <w:p w:rsidR="00A75EFB" w:rsidRDefault="006E3217" w:rsidP="0068151F">
      <w:pPr>
        <w:ind w:firstLine="720"/>
        <w:jc w:val="both"/>
        <w:rPr>
          <w:sz w:val="28"/>
          <w:szCs w:val="28"/>
        </w:rPr>
      </w:pPr>
      <w:r>
        <w:rPr>
          <w:sz w:val="28"/>
          <w:szCs w:val="28"/>
        </w:rPr>
        <w:t>Clanchy states that the rise of the written word was in response to the need for a bett</w:t>
      </w:r>
      <w:r w:rsidR="00EB7D79">
        <w:rPr>
          <w:sz w:val="28"/>
          <w:szCs w:val="28"/>
        </w:rPr>
        <w:t>er administration</w:t>
      </w:r>
      <w:r w:rsidR="00EB7D79">
        <w:rPr>
          <w:rStyle w:val="FootnoteReference"/>
          <w:sz w:val="28"/>
          <w:szCs w:val="28"/>
        </w:rPr>
        <w:footnoteReference w:id="14"/>
      </w:r>
      <w:r>
        <w:rPr>
          <w:sz w:val="28"/>
          <w:szCs w:val="28"/>
        </w:rPr>
        <w:t>, however in difficult, tumultuous times</w:t>
      </w:r>
      <w:r w:rsidR="00EB7D79">
        <w:rPr>
          <w:sz w:val="28"/>
          <w:szCs w:val="28"/>
        </w:rPr>
        <w:t>,</w:t>
      </w:r>
      <w:r>
        <w:rPr>
          <w:sz w:val="28"/>
          <w:szCs w:val="28"/>
        </w:rPr>
        <w:t xml:space="preserve"> a further pressing need may be the legitimisation of actions by recording</w:t>
      </w:r>
      <w:r w:rsidR="00EB7D79">
        <w:rPr>
          <w:sz w:val="28"/>
          <w:szCs w:val="28"/>
        </w:rPr>
        <w:t xml:space="preserve"> them</w:t>
      </w:r>
      <w:r>
        <w:rPr>
          <w:sz w:val="28"/>
          <w:szCs w:val="28"/>
        </w:rPr>
        <w:t xml:space="preserve"> in t</w:t>
      </w:r>
      <w:r w:rsidR="001D2ED3">
        <w:rPr>
          <w:sz w:val="28"/>
          <w:szCs w:val="28"/>
        </w:rPr>
        <w:t>he written word. The move from o</w:t>
      </w:r>
      <w:r>
        <w:rPr>
          <w:sz w:val="28"/>
          <w:szCs w:val="28"/>
        </w:rPr>
        <w:t xml:space="preserve">rality to the written record, especially when further legitimised by recording the oral tradition </w:t>
      </w:r>
      <w:r w:rsidRPr="006E3217">
        <w:rPr>
          <w:i/>
          <w:sz w:val="28"/>
          <w:szCs w:val="28"/>
        </w:rPr>
        <w:t>‘on ane cristos boc’</w:t>
      </w:r>
      <w:r>
        <w:rPr>
          <w:sz w:val="28"/>
          <w:szCs w:val="28"/>
        </w:rPr>
        <w:t xml:space="preserve">, may </w:t>
      </w:r>
      <w:r w:rsidR="006C2B90">
        <w:rPr>
          <w:sz w:val="28"/>
          <w:szCs w:val="28"/>
        </w:rPr>
        <w:t>have sign</w:t>
      </w:r>
      <w:r w:rsidR="00EB7D79">
        <w:rPr>
          <w:sz w:val="28"/>
          <w:szCs w:val="28"/>
        </w:rPr>
        <w:t>ified a need for more permanent recording</w:t>
      </w:r>
      <w:r w:rsidR="006C2B90">
        <w:rPr>
          <w:sz w:val="28"/>
          <w:szCs w:val="28"/>
        </w:rPr>
        <w:t xml:space="preserve"> in an uncertain world.</w:t>
      </w:r>
    </w:p>
    <w:p w:rsidR="004C5DFD" w:rsidRDefault="00E45532" w:rsidP="0068151F">
      <w:pPr>
        <w:ind w:firstLine="720"/>
        <w:jc w:val="both"/>
        <w:rPr>
          <w:sz w:val="28"/>
          <w:szCs w:val="28"/>
        </w:rPr>
      </w:pPr>
      <w:r>
        <w:rPr>
          <w:sz w:val="28"/>
          <w:szCs w:val="28"/>
        </w:rPr>
        <w:t>There are many voices in the text, not least of which the voices of women. Thurkil’s wife is the recipient of the land and of the kinship of Eadwine</w:t>
      </w:r>
      <w:r w:rsidR="004B3174">
        <w:rPr>
          <w:sz w:val="28"/>
          <w:szCs w:val="28"/>
        </w:rPr>
        <w:t>’</w:t>
      </w:r>
      <w:r>
        <w:rPr>
          <w:sz w:val="28"/>
          <w:szCs w:val="28"/>
        </w:rPr>
        <w:t>s mother; Eadwine</w:t>
      </w:r>
      <w:r w:rsidR="004B3174">
        <w:rPr>
          <w:sz w:val="28"/>
          <w:szCs w:val="28"/>
        </w:rPr>
        <w:t>’</w:t>
      </w:r>
      <w:r>
        <w:rPr>
          <w:sz w:val="28"/>
          <w:szCs w:val="28"/>
        </w:rPr>
        <w:t>s mother is not named but is quoted verbatim and her evidence is taken without question. Why the mother is able to dispose of the land to her pleasure is not explored, her rights to do so are not questioned and no counter argument by Eadwine is recorded. This may be because the decision was in the favour of the person who dictated the text to be recorded</w:t>
      </w:r>
      <w:r w:rsidR="00975D08">
        <w:rPr>
          <w:sz w:val="28"/>
          <w:szCs w:val="28"/>
        </w:rPr>
        <w:t>, Thurkil,</w:t>
      </w:r>
      <w:r>
        <w:rPr>
          <w:sz w:val="28"/>
          <w:szCs w:val="28"/>
        </w:rPr>
        <w:t xml:space="preserve"> and only the salient points in favour of Thurkil</w:t>
      </w:r>
      <w:r w:rsidR="00975D08">
        <w:rPr>
          <w:sz w:val="28"/>
          <w:szCs w:val="28"/>
        </w:rPr>
        <w:t xml:space="preserve"> are recorded by Thurkil. In this matter the History is </w:t>
      </w:r>
      <w:r w:rsidR="00975D08">
        <w:rPr>
          <w:i/>
          <w:sz w:val="28"/>
          <w:szCs w:val="28"/>
        </w:rPr>
        <w:t xml:space="preserve">literally </w:t>
      </w:r>
      <w:r w:rsidR="00975D08">
        <w:rPr>
          <w:sz w:val="28"/>
          <w:szCs w:val="28"/>
        </w:rPr>
        <w:t>written by the winner.</w:t>
      </w:r>
      <w:r w:rsidR="001D2ED3">
        <w:rPr>
          <w:sz w:val="28"/>
          <w:szCs w:val="28"/>
        </w:rPr>
        <w:t xml:space="preserve"> </w:t>
      </w:r>
    </w:p>
    <w:p w:rsidR="001D2ED3" w:rsidRDefault="001D2ED3" w:rsidP="0068151F">
      <w:pPr>
        <w:ind w:firstLine="720"/>
        <w:jc w:val="both"/>
        <w:rPr>
          <w:sz w:val="28"/>
          <w:szCs w:val="28"/>
        </w:rPr>
      </w:pPr>
      <w:r>
        <w:rPr>
          <w:sz w:val="28"/>
          <w:szCs w:val="28"/>
        </w:rPr>
        <w:t>The land may have been part of the Morgengifu or morning gift, given to a wife by her husband after their wedding night</w:t>
      </w:r>
      <w:r w:rsidR="00147A09">
        <w:rPr>
          <w:sz w:val="28"/>
          <w:szCs w:val="28"/>
        </w:rPr>
        <w:t xml:space="preserve"> or as willed by a deceased husband</w:t>
      </w:r>
      <w:r>
        <w:rPr>
          <w:sz w:val="28"/>
          <w:szCs w:val="28"/>
        </w:rPr>
        <w:t>. However</w:t>
      </w:r>
      <w:r w:rsidR="004B3174">
        <w:rPr>
          <w:sz w:val="28"/>
          <w:szCs w:val="28"/>
        </w:rPr>
        <w:t>,</w:t>
      </w:r>
      <w:r>
        <w:rPr>
          <w:sz w:val="28"/>
          <w:szCs w:val="28"/>
        </w:rPr>
        <w:t xml:space="preserve"> our document is silent on this but does show that land could be legally passed from one female to another. Also that this type of gifting was pa</w:t>
      </w:r>
      <w:r w:rsidR="0037297C">
        <w:rPr>
          <w:sz w:val="28"/>
          <w:szCs w:val="28"/>
        </w:rPr>
        <w:t>ssed through the entirely male</w:t>
      </w:r>
      <w:r>
        <w:rPr>
          <w:sz w:val="28"/>
          <w:szCs w:val="28"/>
        </w:rPr>
        <w:t xml:space="preserve"> court</w:t>
      </w:r>
      <w:r w:rsidR="0037297C">
        <w:rPr>
          <w:sz w:val="28"/>
          <w:szCs w:val="28"/>
        </w:rPr>
        <w:t>,</w:t>
      </w:r>
      <w:r>
        <w:rPr>
          <w:sz w:val="28"/>
          <w:szCs w:val="28"/>
        </w:rPr>
        <w:t xml:space="preserve"> without complaint. </w:t>
      </w:r>
    </w:p>
    <w:p w:rsidR="00E45532" w:rsidRPr="006E3217" w:rsidRDefault="001D2ED3" w:rsidP="0068151F">
      <w:pPr>
        <w:ind w:firstLine="720"/>
        <w:jc w:val="both"/>
        <w:rPr>
          <w:sz w:val="28"/>
          <w:szCs w:val="28"/>
        </w:rPr>
      </w:pPr>
      <w:r>
        <w:rPr>
          <w:sz w:val="28"/>
          <w:szCs w:val="28"/>
        </w:rPr>
        <w:lastRenderedPageBreak/>
        <w:t>The document shows us that the females are essentially outside th</w:t>
      </w:r>
      <w:r w:rsidR="0037297C">
        <w:rPr>
          <w:sz w:val="28"/>
          <w:szCs w:val="28"/>
        </w:rPr>
        <w:t>e sphere of the decision making;</w:t>
      </w:r>
      <w:r>
        <w:rPr>
          <w:sz w:val="28"/>
          <w:szCs w:val="28"/>
        </w:rPr>
        <w:t xml:space="preserve"> they are not present at the court but are in fact together at the separate location. They represent a kinship group which may own land but require the </w:t>
      </w:r>
      <w:r w:rsidR="004C5DFD">
        <w:rPr>
          <w:sz w:val="28"/>
          <w:szCs w:val="28"/>
        </w:rPr>
        <w:t xml:space="preserve">males of the community to approve and </w:t>
      </w:r>
      <w:r w:rsidR="00147A09">
        <w:rPr>
          <w:sz w:val="28"/>
          <w:szCs w:val="28"/>
        </w:rPr>
        <w:t>assent to their disposal of it. Eadwine</w:t>
      </w:r>
      <w:r w:rsidR="0037297C">
        <w:rPr>
          <w:sz w:val="28"/>
          <w:szCs w:val="28"/>
        </w:rPr>
        <w:t>’</w:t>
      </w:r>
      <w:r w:rsidR="00147A09">
        <w:rPr>
          <w:sz w:val="28"/>
          <w:szCs w:val="28"/>
        </w:rPr>
        <w:t>s mother is not named and this could have been due to Thurkil wishing to obscure her identity, or she may have been so well known that she needed no introduction.</w:t>
      </w:r>
    </w:p>
    <w:p w:rsidR="004C5DFD" w:rsidRDefault="00590734" w:rsidP="0068151F">
      <w:pPr>
        <w:ind w:firstLine="720"/>
        <w:jc w:val="both"/>
        <w:rPr>
          <w:sz w:val="28"/>
          <w:szCs w:val="28"/>
        </w:rPr>
      </w:pPr>
      <w:r w:rsidRPr="00F92D2A">
        <w:rPr>
          <w:sz w:val="28"/>
          <w:szCs w:val="28"/>
        </w:rPr>
        <w:t xml:space="preserve">There is a very great urgency in the whole of the recording of the Moot court and the subsequent investigation. </w:t>
      </w:r>
      <w:r w:rsidR="00F92D2A">
        <w:rPr>
          <w:sz w:val="28"/>
          <w:szCs w:val="28"/>
        </w:rPr>
        <w:t>Th</w:t>
      </w:r>
      <w:r w:rsidR="001E2791" w:rsidRPr="00F92D2A">
        <w:rPr>
          <w:sz w:val="28"/>
          <w:szCs w:val="28"/>
        </w:rPr>
        <w:t>e complainant dramatica</w:t>
      </w:r>
      <w:r w:rsidR="0037297C">
        <w:rPr>
          <w:sz w:val="28"/>
          <w:szCs w:val="28"/>
        </w:rPr>
        <w:t>lly arrives and lays his charge;</w:t>
      </w:r>
      <w:r w:rsidR="001E2791" w:rsidRPr="00F92D2A">
        <w:rPr>
          <w:sz w:val="28"/>
          <w:szCs w:val="28"/>
        </w:rPr>
        <w:t xml:space="preserve"> Thegns are dispatched to the scene to interview the culprit, a 20 mile round trip! They are met by an angry, eloquent and anonymous matriarch who berates the Thegns and the court and her son vociferou</w:t>
      </w:r>
      <w:r w:rsidR="00A5681F">
        <w:rPr>
          <w:sz w:val="28"/>
          <w:szCs w:val="28"/>
        </w:rPr>
        <w:t>sly. They return with the mother</w:t>
      </w:r>
      <w:r w:rsidR="0037297C">
        <w:rPr>
          <w:sz w:val="28"/>
          <w:szCs w:val="28"/>
        </w:rPr>
        <w:t>’</w:t>
      </w:r>
      <w:r w:rsidR="00A5681F">
        <w:rPr>
          <w:sz w:val="28"/>
          <w:szCs w:val="28"/>
        </w:rPr>
        <w:t>s</w:t>
      </w:r>
      <w:r w:rsidR="001E2791" w:rsidRPr="00F92D2A">
        <w:rPr>
          <w:sz w:val="28"/>
          <w:szCs w:val="28"/>
        </w:rPr>
        <w:t xml:space="preserve"> heartfelt plea and Thurkil calls on the whole assemblage to b</w:t>
      </w:r>
      <w:r w:rsidR="004C5DFD">
        <w:rPr>
          <w:sz w:val="28"/>
          <w:szCs w:val="28"/>
        </w:rPr>
        <w:t xml:space="preserve">ack </w:t>
      </w:r>
      <w:r w:rsidR="00147A09">
        <w:rPr>
          <w:sz w:val="28"/>
          <w:szCs w:val="28"/>
        </w:rPr>
        <w:t>his claim before he immediately</w:t>
      </w:r>
      <w:r w:rsidR="001E2791" w:rsidRPr="00F92D2A">
        <w:rPr>
          <w:sz w:val="28"/>
          <w:szCs w:val="28"/>
        </w:rPr>
        <w:t xml:space="preserve"> rides to the Cathedral and has the whole matter committed to </w:t>
      </w:r>
      <w:r w:rsidR="001E2791" w:rsidRPr="00A97FEC">
        <w:rPr>
          <w:sz w:val="28"/>
          <w:szCs w:val="28"/>
        </w:rPr>
        <w:t>th</w:t>
      </w:r>
      <w:r w:rsidR="004C5DFD" w:rsidRPr="00A97FEC">
        <w:rPr>
          <w:sz w:val="28"/>
          <w:szCs w:val="28"/>
        </w:rPr>
        <w:t>e Lord</w:t>
      </w:r>
      <w:r w:rsidR="00A97FEC">
        <w:rPr>
          <w:sz w:val="28"/>
          <w:szCs w:val="28"/>
        </w:rPr>
        <w:t>’</w:t>
      </w:r>
      <w:r w:rsidR="004C5DFD" w:rsidRPr="00A97FEC">
        <w:rPr>
          <w:sz w:val="28"/>
          <w:szCs w:val="28"/>
        </w:rPr>
        <w:t>s</w:t>
      </w:r>
      <w:r w:rsidR="004C5DFD">
        <w:rPr>
          <w:sz w:val="28"/>
          <w:szCs w:val="28"/>
        </w:rPr>
        <w:t xml:space="preserve"> safe keeping.</w:t>
      </w:r>
    </w:p>
    <w:p w:rsidR="00590734" w:rsidRDefault="004C5DFD" w:rsidP="0068151F">
      <w:pPr>
        <w:ind w:firstLine="720"/>
        <w:jc w:val="both"/>
        <w:rPr>
          <w:sz w:val="28"/>
          <w:szCs w:val="28"/>
        </w:rPr>
      </w:pPr>
      <w:r>
        <w:rPr>
          <w:sz w:val="28"/>
          <w:szCs w:val="28"/>
        </w:rPr>
        <w:t xml:space="preserve">A wonderful drama is played out here. This is not just </w:t>
      </w:r>
      <w:r w:rsidR="0037297C">
        <w:rPr>
          <w:sz w:val="28"/>
          <w:szCs w:val="28"/>
        </w:rPr>
        <w:t>the recording of a land dispute</w:t>
      </w:r>
      <w:r>
        <w:rPr>
          <w:sz w:val="28"/>
          <w:szCs w:val="28"/>
        </w:rPr>
        <w:t xml:space="preserve"> that could have been recorded in a much more mundane manner as the second entry shows us. </w:t>
      </w:r>
      <w:r w:rsidR="00971D19">
        <w:rPr>
          <w:sz w:val="28"/>
          <w:szCs w:val="28"/>
        </w:rPr>
        <w:t>This is the end of a drawn out series of events</w:t>
      </w:r>
      <w:r w:rsidR="0037297C">
        <w:rPr>
          <w:sz w:val="28"/>
          <w:szCs w:val="28"/>
        </w:rPr>
        <w:t>,</w:t>
      </w:r>
      <w:r w:rsidR="00971D19">
        <w:rPr>
          <w:sz w:val="28"/>
          <w:szCs w:val="28"/>
        </w:rPr>
        <w:t xml:space="preserve"> set against the backdrop of deeply uncertain times, where those with political skill were using all their acumen to safeguard what they could. </w:t>
      </w:r>
    </w:p>
    <w:p w:rsidR="00971D19" w:rsidRDefault="00187122" w:rsidP="0068151F">
      <w:pPr>
        <w:ind w:firstLine="720"/>
        <w:jc w:val="both"/>
        <w:rPr>
          <w:sz w:val="28"/>
          <w:szCs w:val="28"/>
        </w:rPr>
      </w:pPr>
      <w:r>
        <w:rPr>
          <w:sz w:val="28"/>
          <w:szCs w:val="28"/>
        </w:rPr>
        <w:t>Leo</w:t>
      </w:r>
      <w:r w:rsidR="00EB2977">
        <w:rPr>
          <w:sz w:val="28"/>
          <w:szCs w:val="28"/>
        </w:rPr>
        <w:t>f</w:t>
      </w:r>
      <w:r>
        <w:rPr>
          <w:sz w:val="28"/>
          <w:szCs w:val="28"/>
        </w:rPr>
        <w:t xml:space="preserve">flaed, the beneficiary of </w:t>
      </w:r>
      <w:r w:rsidR="00A97FEC">
        <w:rPr>
          <w:sz w:val="28"/>
          <w:szCs w:val="28"/>
        </w:rPr>
        <w:t>Eadwine’s</w:t>
      </w:r>
      <w:r>
        <w:rPr>
          <w:sz w:val="28"/>
          <w:szCs w:val="28"/>
        </w:rPr>
        <w:t xml:space="preserve"> Mother</w:t>
      </w:r>
      <w:r w:rsidR="0037297C">
        <w:rPr>
          <w:sz w:val="28"/>
          <w:szCs w:val="28"/>
        </w:rPr>
        <w:t>’</w:t>
      </w:r>
      <w:r>
        <w:rPr>
          <w:sz w:val="28"/>
          <w:szCs w:val="28"/>
        </w:rPr>
        <w:t>s largesse and Thurkil</w:t>
      </w:r>
      <w:r w:rsidR="0037297C">
        <w:rPr>
          <w:sz w:val="28"/>
          <w:szCs w:val="28"/>
        </w:rPr>
        <w:t>’</w:t>
      </w:r>
      <w:r>
        <w:rPr>
          <w:sz w:val="28"/>
          <w:szCs w:val="28"/>
        </w:rPr>
        <w:t>s wife</w:t>
      </w:r>
      <w:r w:rsidR="0037297C">
        <w:rPr>
          <w:sz w:val="28"/>
          <w:szCs w:val="28"/>
        </w:rPr>
        <w:t>, is mentioned in the Doomsday B</w:t>
      </w:r>
      <w:r>
        <w:rPr>
          <w:sz w:val="28"/>
          <w:szCs w:val="28"/>
        </w:rPr>
        <w:t>ook as being a land holder but the land in question here is shown as having belonged to Thurkil The White</w:t>
      </w:r>
      <w:r w:rsidR="0037297C">
        <w:rPr>
          <w:sz w:val="28"/>
          <w:szCs w:val="28"/>
        </w:rPr>
        <w:t>’</w:t>
      </w:r>
      <w:r>
        <w:rPr>
          <w:sz w:val="28"/>
          <w:szCs w:val="28"/>
        </w:rPr>
        <w:t>s family.</w:t>
      </w:r>
      <w:r w:rsidR="009E35C2">
        <w:rPr>
          <w:rStyle w:val="FootnoteReference"/>
          <w:sz w:val="28"/>
          <w:szCs w:val="28"/>
        </w:rPr>
        <w:footnoteReference w:id="15"/>
      </w:r>
      <w:r>
        <w:rPr>
          <w:sz w:val="28"/>
          <w:szCs w:val="28"/>
        </w:rPr>
        <w:t xml:space="preserve"> </w:t>
      </w:r>
      <w:r w:rsidR="00C50FAB">
        <w:rPr>
          <w:sz w:val="28"/>
          <w:szCs w:val="28"/>
        </w:rPr>
        <w:t xml:space="preserve">Thurkil, </w:t>
      </w:r>
      <w:r>
        <w:rPr>
          <w:sz w:val="28"/>
          <w:szCs w:val="28"/>
        </w:rPr>
        <w:t>an astute and canny operator in a dangerous time and place!</w:t>
      </w:r>
    </w:p>
    <w:p w:rsidR="0061164D" w:rsidRDefault="0061164D" w:rsidP="0068151F">
      <w:pPr>
        <w:ind w:firstLine="720"/>
        <w:jc w:val="both"/>
        <w:rPr>
          <w:sz w:val="28"/>
          <w:szCs w:val="28"/>
        </w:rPr>
      </w:pPr>
    </w:p>
    <w:p w:rsidR="0061164D" w:rsidRDefault="0061164D" w:rsidP="0068151F">
      <w:pPr>
        <w:ind w:firstLine="720"/>
        <w:jc w:val="both"/>
        <w:rPr>
          <w:sz w:val="28"/>
          <w:szCs w:val="28"/>
        </w:rPr>
      </w:pPr>
    </w:p>
    <w:p w:rsidR="0061164D" w:rsidRDefault="0061164D" w:rsidP="0068151F">
      <w:pPr>
        <w:ind w:firstLine="720"/>
        <w:jc w:val="both"/>
        <w:rPr>
          <w:sz w:val="28"/>
          <w:szCs w:val="28"/>
        </w:rPr>
      </w:pPr>
    </w:p>
    <w:p w:rsidR="0061164D" w:rsidRDefault="0061164D" w:rsidP="0068151F">
      <w:pPr>
        <w:ind w:firstLine="720"/>
        <w:jc w:val="both"/>
        <w:rPr>
          <w:sz w:val="28"/>
          <w:szCs w:val="28"/>
        </w:rPr>
      </w:pPr>
    </w:p>
    <w:p w:rsidR="0061164D" w:rsidRDefault="0061164D" w:rsidP="0068151F">
      <w:pPr>
        <w:ind w:firstLine="720"/>
        <w:jc w:val="both"/>
        <w:rPr>
          <w:sz w:val="28"/>
          <w:szCs w:val="28"/>
        </w:rPr>
      </w:pPr>
    </w:p>
    <w:p w:rsidR="0061164D" w:rsidRDefault="0061164D" w:rsidP="0061164D">
      <w:pPr>
        <w:ind w:firstLine="720"/>
        <w:jc w:val="center"/>
        <w:rPr>
          <w:b/>
          <w:sz w:val="28"/>
          <w:szCs w:val="28"/>
        </w:rPr>
      </w:pPr>
      <w:r w:rsidRPr="0061164D">
        <w:rPr>
          <w:b/>
          <w:sz w:val="28"/>
          <w:szCs w:val="28"/>
        </w:rPr>
        <w:lastRenderedPageBreak/>
        <w:t>Reference List</w:t>
      </w:r>
    </w:p>
    <w:p w:rsidR="0061164D" w:rsidRDefault="0061164D" w:rsidP="0061164D">
      <w:pPr>
        <w:pStyle w:val="FootnoteText"/>
        <w:ind w:left="284" w:hanging="284"/>
        <w:rPr>
          <w:rFonts w:cstheme="minorHAnsi"/>
          <w:i/>
          <w:sz w:val="28"/>
          <w:szCs w:val="28"/>
        </w:rPr>
      </w:pPr>
      <w:r w:rsidRPr="0061164D">
        <w:rPr>
          <w:rFonts w:cstheme="minorHAnsi"/>
          <w:b/>
          <w:sz w:val="28"/>
          <w:szCs w:val="28"/>
        </w:rPr>
        <w:t>Searle</w:t>
      </w:r>
      <w:r>
        <w:rPr>
          <w:rFonts w:cstheme="minorHAnsi"/>
          <w:b/>
          <w:sz w:val="28"/>
          <w:szCs w:val="28"/>
        </w:rPr>
        <w:t>,</w:t>
      </w:r>
      <w:r w:rsidRPr="0061164D">
        <w:rPr>
          <w:rFonts w:cstheme="minorHAnsi"/>
          <w:b/>
          <w:sz w:val="28"/>
          <w:szCs w:val="28"/>
        </w:rPr>
        <w:t xml:space="preserve"> W.G.</w:t>
      </w:r>
      <w:r w:rsidRPr="0061164D">
        <w:rPr>
          <w:rFonts w:cstheme="minorHAnsi"/>
          <w:sz w:val="28"/>
          <w:szCs w:val="28"/>
        </w:rPr>
        <w:t xml:space="preserve"> Onomasticon Anglo-Saxonicum (Cambriodge 1897) P192 cited in </w:t>
      </w:r>
      <w:r w:rsidRPr="0061164D">
        <w:rPr>
          <w:rFonts w:cstheme="minorHAnsi"/>
          <w:i/>
          <w:sz w:val="28"/>
          <w:szCs w:val="28"/>
        </w:rPr>
        <w:t>Anglo Saxonica in Hereford Cathedral Library</w:t>
      </w:r>
      <w:r w:rsidRPr="0061164D">
        <w:rPr>
          <w:rFonts w:cstheme="minorHAnsi"/>
          <w:sz w:val="28"/>
          <w:szCs w:val="28"/>
        </w:rPr>
        <w:t xml:space="preserve"> by </w:t>
      </w:r>
      <w:r w:rsidRPr="0061164D">
        <w:rPr>
          <w:rFonts w:cstheme="minorHAnsi"/>
          <w:i/>
          <w:sz w:val="28"/>
          <w:szCs w:val="28"/>
        </w:rPr>
        <w:t>Cyril Bathurst Judge</w:t>
      </w:r>
      <w:r w:rsidR="001F2951">
        <w:rPr>
          <w:rFonts w:cstheme="minorHAnsi"/>
          <w:i/>
          <w:sz w:val="28"/>
          <w:szCs w:val="28"/>
        </w:rPr>
        <w:t xml:space="preserve"> (Harvard 1934) </w:t>
      </w:r>
    </w:p>
    <w:p w:rsidR="001F2951" w:rsidRPr="0061164D" w:rsidRDefault="001F2951" w:rsidP="0061164D">
      <w:pPr>
        <w:pStyle w:val="FootnoteText"/>
        <w:ind w:left="284" w:hanging="284"/>
        <w:rPr>
          <w:rFonts w:cstheme="minorHAnsi"/>
          <w:i/>
          <w:sz w:val="28"/>
          <w:szCs w:val="28"/>
        </w:rPr>
      </w:pPr>
    </w:p>
    <w:p w:rsidR="0061164D" w:rsidRPr="0061164D" w:rsidRDefault="0061164D" w:rsidP="0061164D">
      <w:pPr>
        <w:pStyle w:val="FootnoteText"/>
        <w:ind w:left="284" w:hanging="284"/>
        <w:rPr>
          <w:rFonts w:cstheme="minorHAnsi"/>
          <w:sz w:val="28"/>
          <w:szCs w:val="28"/>
        </w:rPr>
      </w:pPr>
    </w:p>
    <w:p w:rsidR="0061164D" w:rsidRDefault="0061164D" w:rsidP="0061164D">
      <w:pPr>
        <w:pStyle w:val="FootnoteText"/>
        <w:tabs>
          <w:tab w:val="left" w:pos="426"/>
        </w:tabs>
        <w:ind w:left="284" w:hanging="284"/>
        <w:rPr>
          <w:rFonts w:cstheme="minorHAnsi"/>
          <w:sz w:val="28"/>
          <w:szCs w:val="28"/>
        </w:rPr>
      </w:pPr>
      <w:r w:rsidRPr="0061164D">
        <w:rPr>
          <w:rFonts w:cstheme="minorHAnsi"/>
          <w:b/>
          <w:sz w:val="28"/>
          <w:szCs w:val="28"/>
        </w:rPr>
        <w:t>Gameson</w:t>
      </w:r>
      <w:r>
        <w:rPr>
          <w:rFonts w:cstheme="minorHAnsi"/>
          <w:b/>
          <w:sz w:val="28"/>
          <w:szCs w:val="28"/>
        </w:rPr>
        <w:t>,</w:t>
      </w:r>
      <w:r w:rsidRPr="0061164D">
        <w:rPr>
          <w:rFonts w:cstheme="minorHAnsi"/>
          <w:b/>
          <w:sz w:val="28"/>
          <w:szCs w:val="28"/>
        </w:rPr>
        <w:t xml:space="preserve"> R</w:t>
      </w:r>
      <w:r w:rsidRPr="0061164D">
        <w:rPr>
          <w:rFonts w:cstheme="minorHAnsi"/>
          <w:sz w:val="28"/>
          <w:szCs w:val="28"/>
        </w:rPr>
        <w:t xml:space="preserve">. </w:t>
      </w:r>
      <w:r w:rsidRPr="0061164D">
        <w:rPr>
          <w:rFonts w:cstheme="minorHAnsi"/>
          <w:i/>
          <w:sz w:val="28"/>
          <w:szCs w:val="28"/>
        </w:rPr>
        <w:t>The Insular Gospel Book at Hereford Cathedral</w:t>
      </w:r>
      <w:r w:rsidRPr="0061164D">
        <w:rPr>
          <w:rFonts w:cstheme="minorHAnsi"/>
          <w:sz w:val="28"/>
          <w:szCs w:val="28"/>
        </w:rPr>
        <w:t>, International Review Of Manuscript Studies, Tome LVI 2002 1. Centre de’tu</w:t>
      </w:r>
      <w:r w:rsidR="001F2951">
        <w:rPr>
          <w:rFonts w:cstheme="minorHAnsi"/>
          <w:sz w:val="28"/>
          <w:szCs w:val="28"/>
        </w:rPr>
        <w:t xml:space="preserve">de Des Manuscrite. Brussels. </w:t>
      </w:r>
    </w:p>
    <w:p w:rsidR="001F2951" w:rsidRPr="0061164D" w:rsidRDefault="001F2951" w:rsidP="0061164D">
      <w:pPr>
        <w:pStyle w:val="FootnoteText"/>
        <w:tabs>
          <w:tab w:val="left" w:pos="426"/>
        </w:tabs>
        <w:ind w:left="284" w:hanging="284"/>
        <w:rPr>
          <w:rFonts w:cstheme="minorHAnsi"/>
          <w:sz w:val="28"/>
          <w:szCs w:val="28"/>
        </w:rPr>
      </w:pPr>
    </w:p>
    <w:p w:rsidR="0061164D" w:rsidRPr="0061164D" w:rsidRDefault="0061164D" w:rsidP="0061164D">
      <w:pPr>
        <w:pStyle w:val="FootnoteText"/>
        <w:tabs>
          <w:tab w:val="left" w:pos="426"/>
        </w:tabs>
        <w:ind w:left="284" w:hanging="284"/>
        <w:rPr>
          <w:rFonts w:cstheme="minorHAnsi"/>
          <w:sz w:val="28"/>
          <w:szCs w:val="28"/>
        </w:rPr>
      </w:pPr>
    </w:p>
    <w:p w:rsidR="0061164D" w:rsidRDefault="0061164D" w:rsidP="0061164D">
      <w:pPr>
        <w:rPr>
          <w:rFonts w:cstheme="minorHAnsi"/>
          <w:sz w:val="28"/>
          <w:szCs w:val="28"/>
        </w:rPr>
      </w:pPr>
      <w:r w:rsidRPr="0061164D">
        <w:rPr>
          <w:rFonts w:cstheme="minorHAnsi"/>
          <w:b/>
          <w:sz w:val="28"/>
          <w:szCs w:val="28"/>
        </w:rPr>
        <w:t>Higham, N. and Ryan, N.</w:t>
      </w:r>
      <w:r w:rsidRPr="0061164D">
        <w:rPr>
          <w:rFonts w:cstheme="minorHAnsi"/>
          <w:sz w:val="28"/>
          <w:szCs w:val="28"/>
        </w:rPr>
        <w:t xml:space="preserve"> </w:t>
      </w:r>
      <w:r w:rsidRPr="0061164D">
        <w:rPr>
          <w:rFonts w:cstheme="minorHAnsi"/>
          <w:i/>
          <w:sz w:val="28"/>
          <w:szCs w:val="28"/>
        </w:rPr>
        <w:t>The Anglo Saxon World</w:t>
      </w:r>
      <w:r w:rsidRPr="0061164D">
        <w:rPr>
          <w:rFonts w:cstheme="minorHAnsi"/>
          <w:sz w:val="28"/>
          <w:szCs w:val="28"/>
        </w:rPr>
        <w:t xml:space="preserve"> </w:t>
      </w:r>
      <w:r w:rsidR="001F2951">
        <w:rPr>
          <w:rFonts w:cstheme="minorHAnsi"/>
          <w:sz w:val="28"/>
          <w:szCs w:val="28"/>
        </w:rPr>
        <w:t xml:space="preserve">(Yale University Press 2013) </w:t>
      </w:r>
    </w:p>
    <w:p w:rsidR="001F2951" w:rsidRPr="0061164D" w:rsidRDefault="001F2951" w:rsidP="0061164D">
      <w:pPr>
        <w:rPr>
          <w:rFonts w:cstheme="minorHAnsi"/>
          <w:sz w:val="28"/>
          <w:szCs w:val="28"/>
        </w:rPr>
      </w:pPr>
    </w:p>
    <w:p w:rsidR="0061164D" w:rsidRDefault="0061164D" w:rsidP="0061164D">
      <w:pPr>
        <w:ind w:left="426" w:hanging="426"/>
        <w:rPr>
          <w:rFonts w:eastAsia="Times New Roman" w:cstheme="minorHAnsi"/>
          <w:sz w:val="28"/>
          <w:szCs w:val="28"/>
          <w:lang w:eastAsia="en-GB"/>
        </w:rPr>
      </w:pPr>
      <w:r w:rsidRPr="0061164D">
        <w:rPr>
          <w:rFonts w:eastAsia="Times New Roman" w:cstheme="minorHAnsi"/>
          <w:b/>
          <w:sz w:val="28"/>
          <w:szCs w:val="28"/>
          <w:lang w:eastAsia="en-GB"/>
        </w:rPr>
        <w:t>Mack. K.</w:t>
      </w:r>
      <w:r w:rsidRPr="0061164D">
        <w:rPr>
          <w:rFonts w:eastAsia="Times New Roman" w:cstheme="minorHAnsi"/>
          <w:sz w:val="28"/>
          <w:szCs w:val="28"/>
          <w:lang w:eastAsia="en-GB"/>
        </w:rPr>
        <w:t xml:space="preserve"> “</w:t>
      </w:r>
      <w:r w:rsidRPr="0061164D">
        <w:rPr>
          <w:rFonts w:eastAsia="Times New Roman" w:cstheme="minorHAnsi"/>
          <w:i/>
          <w:sz w:val="28"/>
          <w:szCs w:val="28"/>
          <w:lang w:eastAsia="en-GB"/>
        </w:rPr>
        <w:t>Changing Thegns: Cnut's Conquest and the English Aristocracy</w:t>
      </w:r>
      <w:r w:rsidRPr="0061164D">
        <w:rPr>
          <w:rFonts w:eastAsia="Times New Roman" w:cstheme="minorHAnsi"/>
          <w:sz w:val="28"/>
          <w:szCs w:val="28"/>
          <w:lang w:eastAsia="en-GB"/>
        </w:rPr>
        <w:t xml:space="preserve">.” </w:t>
      </w:r>
      <w:r w:rsidRPr="0061164D">
        <w:rPr>
          <w:rFonts w:eastAsia="Times New Roman" w:cstheme="minorHAnsi"/>
          <w:i/>
          <w:iCs/>
          <w:sz w:val="28"/>
          <w:szCs w:val="28"/>
          <w:lang w:eastAsia="en-GB"/>
        </w:rPr>
        <w:t>Albion: A Quarterly Journal Concerned with British Studies”</w:t>
      </w:r>
      <w:r w:rsidRPr="0061164D">
        <w:rPr>
          <w:rFonts w:eastAsia="Times New Roman" w:cstheme="minorHAnsi"/>
          <w:sz w:val="28"/>
          <w:szCs w:val="28"/>
          <w:lang w:eastAsia="en-GB"/>
        </w:rPr>
        <w:t xml:space="preserve">, vol. 16, no. 4, 1984, pp. 375–387. </w:t>
      </w:r>
      <w:r w:rsidRPr="0061164D">
        <w:rPr>
          <w:rFonts w:eastAsia="Times New Roman" w:cstheme="minorHAnsi"/>
          <w:i/>
          <w:iCs/>
          <w:sz w:val="28"/>
          <w:szCs w:val="28"/>
          <w:lang w:eastAsia="en-GB"/>
        </w:rPr>
        <w:t>JSTOR</w:t>
      </w:r>
      <w:r w:rsidRPr="0061164D">
        <w:rPr>
          <w:rFonts w:eastAsia="Times New Roman" w:cstheme="minorHAnsi"/>
          <w:sz w:val="28"/>
          <w:szCs w:val="28"/>
          <w:lang w:eastAsia="en-GB"/>
        </w:rPr>
        <w:t xml:space="preserve">, </w:t>
      </w:r>
      <w:hyperlink r:id="rId8" w:history="1">
        <w:r w:rsidRPr="0061164D">
          <w:rPr>
            <w:rStyle w:val="Hyperlink"/>
            <w:rFonts w:eastAsia="Times New Roman" w:cstheme="minorHAnsi"/>
            <w:sz w:val="28"/>
            <w:szCs w:val="28"/>
            <w:lang w:eastAsia="en-GB"/>
          </w:rPr>
          <w:t>www.jstor.org/stable/4049386. Accessed 3 Apr. 2020</w:t>
        </w:r>
      </w:hyperlink>
      <w:r w:rsidRPr="0061164D">
        <w:rPr>
          <w:rFonts w:eastAsia="Times New Roman" w:cstheme="minorHAnsi"/>
          <w:sz w:val="28"/>
          <w:szCs w:val="28"/>
          <w:lang w:eastAsia="en-GB"/>
        </w:rPr>
        <w:t>.</w:t>
      </w:r>
    </w:p>
    <w:p w:rsidR="001F2951" w:rsidRPr="0061164D" w:rsidRDefault="001F2951" w:rsidP="0061164D">
      <w:pPr>
        <w:ind w:left="426" w:hanging="426"/>
        <w:rPr>
          <w:rFonts w:eastAsia="Times New Roman" w:cstheme="minorHAnsi"/>
          <w:sz w:val="28"/>
          <w:szCs w:val="28"/>
          <w:lang w:eastAsia="en-GB"/>
        </w:rPr>
      </w:pPr>
    </w:p>
    <w:p w:rsidR="0061164D" w:rsidRDefault="0061164D" w:rsidP="0061164D">
      <w:pPr>
        <w:ind w:left="426" w:hanging="426"/>
        <w:rPr>
          <w:rFonts w:cstheme="minorHAnsi"/>
          <w:sz w:val="28"/>
          <w:szCs w:val="28"/>
        </w:rPr>
      </w:pPr>
      <w:r w:rsidRPr="001F2951">
        <w:rPr>
          <w:rFonts w:cstheme="minorHAnsi"/>
          <w:b/>
          <w:sz w:val="28"/>
          <w:szCs w:val="28"/>
        </w:rPr>
        <w:t>Stenton</w:t>
      </w:r>
      <w:r w:rsidR="001F2951">
        <w:rPr>
          <w:rFonts w:cstheme="minorHAnsi"/>
          <w:b/>
          <w:sz w:val="28"/>
          <w:szCs w:val="28"/>
        </w:rPr>
        <w:t>,</w:t>
      </w:r>
      <w:r w:rsidRPr="001F2951">
        <w:rPr>
          <w:rFonts w:cstheme="minorHAnsi"/>
          <w:b/>
          <w:sz w:val="28"/>
          <w:szCs w:val="28"/>
        </w:rPr>
        <w:t xml:space="preserve"> F</w:t>
      </w:r>
      <w:r w:rsidR="001F2951">
        <w:rPr>
          <w:rFonts w:cstheme="minorHAnsi"/>
          <w:sz w:val="28"/>
          <w:szCs w:val="28"/>
        </w:rPr>
        <w:t>.</w:t>
      </w:r>
      <w:r w:rsidRPr="0061164D">
        <w:rPr>
          <w:rFonts w:cstheme="minorHAnsi"/>
          <w:sz w:val="28"/>
          <w:szCs w:val="28"/>
        </w:rPr>
        <w:t xml:space="preserve"> </w:t>
      </w:r>
      <w:r w:rsidRPr="0061164D">
        <w:rPr>
          <w:rFonts w:cstheme="minorHAnsi"/>
          <w:i/>
          <w:sz w:val="28"/>
          <w:szCs w:val="28"/>
        </w:rPr>
        <w:t>Anglo Saxon England</w:t>
      </w:r>
      <w:r w:rsidRPr="0061164D">
        <w:rPr>
          <w:rFonts w:cstheme="minorHAnsi"/>
          <w:sz w:val="28"/>
          <w:szCs w:val="28"/>
        </w:rPr>
        <w:t>, 3</w:t>
      </w:r>
      <w:r w:rsidRPr="0061164D">
        <w:rPr>
          <w:rFonts w:cstheme="minorHAnsi"/>
          <w:sz w:val="28"/>
          <w:szCs w:val="28"/>
          <w:vertAlign w:val="superscript"/>
        </w:rPr>
        <w:t>rd</w:t>
      </w:r>
      <w:r w:rsidRPr="0061164D">
        <w:rPr>
          <w:rFonts w:cstheme="minorHAnsi"/>
          <w:sz w:val="28"/>
          <w:szCs w:val="28"/>
        </w:rPr>
        <w:t xml:space="preserve"> Edition (Oxford The Clarendon Press 1985</w:t>
      </w:r>
      <w:r w:rsidR="001F2951">
        <w:rPr>
          <w:rFonts w:cstheme="minorHAnsi"/>
          <w:sz w:val="28"/>
          <w:szCs w:val="28"/>
        </w:rPr>
        <w:t xml:space="preserve">)  </w:t>
      </w:r>
    </w:p>
    <w:p w:rsidR="001F2951" w:rsidRPr="0061164D" w:rsidRDefault="001F2951" w:rsidP="0061164D">
      <w:pPr>
        <w:ind w:left="426" w:hanging="426"/>
        <w:rPr>
          <w:rFonts w:cstheme="minorHAnsi"/>
          <w:sz w:val="28"/>
          <w:szCs w:val="28"/>
        </w:rPr>
      </w:pPr>
    </w:p>
    <w:p w:rsidR="0061164D" w:rsidRDefault="0061164D" w:rsidP="0061164D">
      <w:pPr>
        <w:pStyle w:val="FootnoteText"/>
        <w:rPr>
          <w:rFonts w:cstheme="minorHAnsi"/>
          <w:sz w:val="28"/>
          <w:szCs w:val="28"/>
        </w:rPr>
      </w:pPr>
      <w:r w:rsidRPr="001F2951">
        <w:rPr>
          <w:rFonts w:cstheme="minorHAnsi"/>
          <w:b/>
          <w:sz w:val="28"/>
          <w:szCs w:val="28"/>
        </w:rPr>
        <w:t>Clanchy</w:t>
      </w:r>
      <w:r w:rsidR="001F2951">
        <w:rPr>
          <w:rFonts w:cstheme="minorHAnsi"/>
          <w:b/>
          <w:sz w:val="28"/>
          <w:szCs w:val="28"/>
        </w:rPr>
        <w:t>,</w:t>
      </w:r>
      <w:r w:rsidRPr="001F2951">
        <w:rPr>
          <w:rFonts w:cstheme="minorHAnsi"/>
          <w:b/>
          <w:sz w:val="28"/>
          <w:szCs w:val="28"/>
        </w:rPr>
        <w:t xml:space="preserve"> M</w:t>
      </w:r>
      <w:r w:rsidR="001F2951">
        <w:rPr>
          <w:rFonts w:cstheme="minorHAnsi"/>
          <w:b/>
          <w:sz w:val="28"/>
          <w:szCs w:val="28"/>
        </w:rPr>
        <w:t>.</w:t>
      </w:r>
      <w:r w:rsidRPr="001F2951">
        <w:rPr>
          <w:rFonts w:cstheme="minorHAnsi"/>
          <w:b/>
          <w:sz w:val="28"/>
          <w:szCs w:val="28"/>
        </w:rPr>
        <w:t xml:space="preserve"> T</w:t>
      </w:r>
      <w:r w:rsidR="001F2951">
        <w:rPr>
          <w:rFonts w:cstheme="minorHAnsi"/>
          <w:b/>
          <w:sz w:val="28"/>
          <w:szCs w:val="28"/>
        </w:rPr>
        <w:t>.</w:t>
      </w:r>
      <w:r w:rsidRPr="0061164D">
        <w:rPr>
          <w:rFonts w:cstheme="minorHAnsi"/>
          <w:sz w:val="28"/>
          <w:szCs w:val="28"/>
        </w:rPr>
        <w:t xml:space="preserve"> </w:t>
      </w:r>
      <w:r w:rsidRPr="0061164D">
        <w:rPr>
          <w:rFonts w:cstheme="minorHAnsi"/>
          <w:i/>
          <w:iCs/>
          <w:sz w:val="28"/>
          <w:szCs w:val="28"/>
        </w:rPr>
        <w:t>From Memory to Written Record England 1066-1307</w:t>
      </w:r>
      <w:r w:rsidRPr="0061164D">
        <w:rPr>
          <w:rFonts w:cstheme="minorHAnsi"/>
          <w:sz w:val="28"/>
          <w:szCs w:val="28"/>
        </w:rPr>
        <w:t xml:space="preserve"> (Bla</w:t>
      </w:r>
      <w:r w:rsidR="001F2951">
        <w:rPr>
          <w:rFonts w:cstheme="minorHAnsi"/>
          <w:sz w:val="28"/>
          <w:szCs w:val="28"/>
        </w:rPr>
        <w:t>ckwell Publishing, 2003)</w:t>
      </w:r>
    </w:p>
    <w:p w:rsidR="001F2951" w:rsidRPr="0061164D" w:rsidRDefault="001F2951" w:rsidP="0061164D">
      <w:pPr>
        <w:pStyle w:val="FootnoteText"/>
        <w:rPr>
          <w:rFonts w:cstheme="minorHAnsi"/>
          <w:sz w:val="28"/>
          <w:szCs w:val="28"/>
        </w:rPr>
      </w:pPr>
    </w:p>
    <w:p w:rsidR="0061164D" w:rsidRPr="0061164D" w:rsidRDefault="0061164D" w:rsidP="0061164D">
      <w:pPr>
        <w:ind w:left="426" w:hanging="426"/>
        <w:rPr>
          <w:rFonts w:eastAsia="Times New Roman" w:cstheme="minorHAnsi"/>
          <w:sz w:val="28"/>
          <w:szCs w:val="28"/>
          <w:lang w:eastAsia="en-GB"/>
        </w:rPr>
      </w:pPr>
    </w:p>
    <w:p w:rsidR="0061164D" w:rsidRDefault="0037297C" w:rsidP="0061164D">
      <w:pPr>
        <w:pStyle w:val="FootnoteText"/>
        <w:rPr>
          <w:rFonts w:cstheme="minorHAnsi"/>
          <w:sz w:val="28"/>
          <w:szCs w:val="28"/>
        </w:rPr>
      </w:pPr>
      <w:r w:rsidRPr="001F2951">
        <w:rPr>
          <w:rFonts w:cstheme="minorHAnsi"/>
          <w:b/>
          <w:i/>
          <w:sz w:val="28"/>
          <w:szCs w:val="28"/>
        </w:rPr>
        <w:t>Doomsday</w:t>
      </w:r>
      <w:r w:rsidR="0061164D" w:rsidRPr="001F2951">
        <w:rPr>
          <w:rFonts w:cstheme="minorHAnsi"/>
          <w:b/>
          <w:i/>
          <w:sz w:val="28"/>
          <w:szCs w:val="28"/>
        </w:rPr>
        <w:t xml:space="preserve"> Book A Complete Translation</w:t>
      </w:r>
      <w:r w:rsidR="0061164D" w:rsidRPr="0061164D">
        <w:rPr>
          <w:rFonts w:cstheme="minorHAnsi"/>
          <w:sz w:val="28"/>
          <w:szCs w:val="28"/>
        </w:rPr>
        <w:t xml:space="preserve"> Eds Ann Williams, G.H</w:t>
      </w:r>
      <w:r w:rsidR="001F2951">
        <w:rPr>
          <w:rFonts w:cstheme="minorHAnsi"/>
          <w:sz w:val="28"/>
          <w:szCs w:val="28"/>
        </w:rPr>
        <w:t xml:space="preserve">. Martin (Penguin Books 1992) </w:t>
      </w:r>
    </w:p>
    <w:p w:rsidR="001F2951" w:rsidRDefault="001F2951" w:rsidP="0061164D">
      <w:pPr>
        <w:pStyle w:val="FootnoteText"/>
        <w:rPr>
          <w:rFonts w:cstheme="minorHAnsi"/>
          <w:sz w:val="28"/>
          <w:szCs w:val="28"/>
        </w:rPr>
      </w:pPr>
    </w:p>
    <w:p w:rsidR="001F2951" w:rsidRPr="0061164D" w:rsidRDefault="001F2951" w:rsidP="0061164D">
      <w:pPr>
        <w:pStyle w:val="FootnoteText"/>
        <w:rPr>
          <w:rFonts w:cstheme="minorHAnsi"/>
          <w:sz w:val="28"/>
          <w:szCs w:val="28"/>
        </w:rPr>
      </w:pPr>
    </w:p>
    <w:p w:rsidR="0061164D" w:rsidRPr="0061164D" w:rsidRDefault="0061164D" w:rsidP="0061164D">
      <w:pPr>
        <w:rPr>
          <w:b/>
          <w:sz w:val="28"/>
          <w:szCs w:val="28"/>
        </w:rPr>
      </w:pPr>
    </w:p>
    <w:p w:rsidR="0061164D" w:rsidRDefault="0061164D" w:rsidP="0061164D">
      <w:pPr>
        <w:ind w:firstLine="720"/>
        <w:jc w:val="center"/>
        <w:rPr>
          <w:b/>
          <w:sz w:val="28"/>
          <w:szCs w:val="28"/>
        </w:rPr>
      </w:pPr>
    </w:p>
    <w:p w:rsidR="0061164D" w:rsidRDefault="0061164D" w:rsidP="0061164D">
      <w:pPr>
        <w:ind w:firstLine="720"/>
        <w:jc w:val="center"/>
        <w:rPr>
          <w:b/>
          <w:sz w:val="28"/>
          <w:szCs w:val="28"/>
        </w:rPr>
      </w:pPr>
    </w:p>
    <w:p w:rsidR="0061164D" w:rsidRDefault="0061164D" w:rsidP="0061164D">
      <w:pPr>
        <w:ind w:firstLine="720"/>
        <w:jc w:val="center"/>
        <w:rPr>
          <w:b/>
          <w:sz w:val="28"/>
          <w:szCs w:val="28"/>
        </w:rPr>
      </w:pPr>
    </w:p>
    <w:p w:rsidR="0061164D" w:rsidRDefault="0061164D" w:rsidP="00FE26B2">
      <w:pPr>
        <w:jc w:val="center"/>
        <w:rPr>
          <w:b/>
          <w:sz w:val="28"/>
          <w:szCs w:val="28"/>
        </w:rPr>
      </w:pPr>
      <w:r w:rsidRPr="0061164D">
        <w:rPr>
          <w:b/>
          <w:sz w:val="28"/>
          <w:szCs w:val="28"/>
        </w:rPr>
        <w:t>Bibliography</w:t>
      </w:r>
    </w:p>
    <w:p w:rsidR="0061164D" w:rsidRDefault="0061164D" w:rsidP="0061164D">
      <w:pPr>
        <w:tabs>
          <w:tab w:val="left" w:pos="0"/>
        </w:tabs>
        <w:suppressAutoHyphens/>
        <w:rPr>
          <w:sz w:val="28"/>
          <w:szCs w:val="28"/>
        </w:rPr>
      </w:pPr>
      <w:r w:rsidRPr="001F2951">
        <w:rPr>
          <w:b/>
          <w:sz w:val="28"/>
          <w:szCs w:val="28"/>
        </w:rPr>
        <w:t>Cheney C.R.</w:t>
      </w:r>
      <w:r w:rsidRPr="001F2951">
        <w:rPr>
          <w:sz w:val="28"/>
          <w:szCs w:val="28"/>
        </w:rPr>
        <w:t xml:space="preserve"> (1945) </w:t>
      </w:r>
      <w:r w:rsidRPr="001F2951">
        <w:rPr>
          <w:i/>
          <w:iCs/>
          <w:sz w:val="28"/>
          <w:szCs w:val="28"/>
        </w:rPr>
        <w:t>A Handbook Of Dates For Students of British History</w:t>
      </w:r>
      <w:r w:rsidRPr="001F2951">
        <w:rPr>
          <w:sz w:val="28"/>
          <w:szCs w:val="28"/>
        </w:rPr>
        <w:t>, Revised Edition 2000 edn., Cambridge: Cambridge University Press .</w:t>
      </w:r>
    </w:p>
    <w:p w:rsidR="001F2951" w:rsidRPr="001F2951" w:rsidRDefault="001F2951" w:rsidP="0061164D">
      <w:pPr>
        <w:tabs>
          <w:tab w:val="left" w:pos="0"/>
        </w:tabs>
        <w:suppressAutoHyphens/>
        <w:rPr>
          <w:sz w:val="28"/>
          <w:szCs w:val="28"/>
        </w:rPr>
      </w:pPr>
    </w:p>
    <w:p w:rsidR="0061164D" w:rsidRDefault="0061164D" w:rsidP="0061164D">
      <w:pPr>
        <w:tabs>
          <w:tab w:val="left" w:pos="0"/>
        </w:tabs>
        <w:suppressAutoHyphens/>
        <w:rPr>
          <w:sz w:val="28"/>
          <w:szCs w:val="28"/>
        </w:rPr>
      </w:pPr>
      <w:r w:rsidRPr="001F2951">
        <w:rPr>
          <w:b/>
          <w:sz w:val="28"/>
          <w:szCs w:val="28"/>
        </w:rPr>
        <w:t>E B Pryde</w:t>
      </w:r>
      <w:r w:rsidRPr="001F2951">
        <w:rPr>
          <w:sz w:val="28"/>
          <w:szCs w:val="28"/>
        </w:rPr>
        <w:t xml:space="preserve">, D E Greenway, S Porter I Roy Ed (1941) </w:t>
      </w:r>
      <w:r w:rsidRPr="001F2951">
        <w:rPr>
          <w:i/>
          <w:iCs/>
          <w:sz w:val="28"/>
          <w:szCs w:val="28"/>
        </w:rPr>
        <w:t>Handbook Of British Chronology</w:t>
      </w:r>
      <w:r w:rsidRPr="001F2951">
        <w:rPr>
          <w:sz w:val="28"/>
          <w:szCs w:val="28"/>
        </w:rPr>
        <w:t>, 3rd Edition 2003 edn., Cambridge: Cambridge University Press.</w:t>
      </w:r>
    </w:p>
    <w:p w:rsidR="001F2951" w:rsidRPr="001F2951" w:rsidRDefault="001F2951" w:rsidP="0061164D">
      <w:pPr>
        <w:tabs>
          <w:tab w:val="left" w:pos="0"/>
        </w:tabs>
        <w:suppressAutoHyphens/>
        <w:rPr>
          <w:sz w:val="28"/>
          <w:szCs w:val="28"/>
        </w:rPr>
      </w:pPr>
    </w:p>
    <w:p w:rsidR="0061164D" w:rsidRDefault="001F2951" w:rsidP="0061164D">
      <w:pPr>
        <w:rPr>
          <w:rFonts w:cstheme="minorHAnsi"/>
          <w:sz w:val="28"/>
          <w:szCs w:val="28"/>
        </w:rPr>
      </w:pPr>
      <w:r w:rsidRPr="00937C4F">
        <w:rPr>
          <w:rFonts w:cstheme="minorHAnsi"/>
          <w:b/>
          <w:sz w:val="28"/>
          <w:szCs w:val="28"/>
        </w:rPr>
        <w:t>Leyser Henrietta</w:t>
      </w:r>
      <w:r w:rsidRPr="00937C4F">
        <w:rPr>
          <w:rFonts w:cstheme="minorHAnsi"/>
          <w:sz w:val="28"/>
          <w:szCs w:val="28"/>
        </w:rPr>
        <w:t xml:space="preserve">, </w:t>
      </w:r>
      <w:r w:rsidRPr="00937C4F">
        <w:rPr>
          <w:rFonts w:cstheme="minorHAnsi"/>
          <w:i/>
          <w:iCs/>
          <w:sz w:val="28"/>
          <w:szCs w:val="28"/>
        </w:rPr>
        <w:t>Medieval Women; A Social History Of Women In England 450-1500</w:t>
      </w:r>
      <w:r w:rsidRPr="00937C4F">
        <w:rPr>
          <w:rFonts w:cstheme="minorHAnsi"/>
          <w:sz w:val="28"/>
          <w:szCs w:val="28"/>
        </w:rPr>
        <w:t xml:space="preserve"> (London: Orion Books Ltd, 1995)</w:t>
      </w:r>
      <w:r>
        <w:rPr>
          <w:rFonts w:cstheme="minorHAnsi"/>
          <w:sz w:val="28"/>
          <w:szCs w:val="28"/>
        </w:rPr>
        <w:t>.</w:t>
      </w:r>
    </w:p>
    <w:p w:rsidR="001F2951" w:rsidRDefault="001F2951" w:rsidP="0061164D">
      <w:pPr>
        <w:rPr>
          <w:rFonts w:cstheme="minorHAnsi"/>
          <w:sz w:val="28"/>
          <w:szCs w:val="28"/>
        </w:rPr>
      </w:pPr>
    </w:p>
    <w:p w:rsidR="001F2951" w:rsidRDefault="001F2951" w:rsidP="0061164D">
      <w:pPr>
        <w:rPr>
          <w:rFonts w:cstheme="minorHAnsi"/>
          <w:sz w:val="28"/>
          <w:szCs w:val="28"/>
        </w:rPr>
      </w:pPr>
      <w:r w:rsidRPr="00937C4F">
        <w:rPr>
          <w:rFonts w:cstheme="minorHAnsi"/>
          <w:b/>
          <w:sz w:val="28"/>
          <w:szCs w:val="28"/>
        </w:rPr>
        <w:t>Dyer, C.,</w:t>
      </w:r>
      <w:r w:rsidRPr="00937C4F">
        <w:rPr>
          <w:rFonts w:cstheme="minorHAnsi"/>
          <w:sz w:val="28"/>
          <w:szCs w:val="28"/>
        </w:rPr>
        <w:t xml:space="preserve"> </w:t>
      </w:r>
      <w:r w:rsidRPr="00937C4F">
        <w:rPr>
          <w:rFonts w:cstheme="minorHAnsi"/>
          <w:i/>
          <w:iCs/>
          <w:sz w:val="28"/>
          <w:szCs w:val="28"/>
        </w:rPr>
        <w:t>Making a Living in the Middle Ages: The People of Britain 850–1520</w:t>
      </w:r>
      <w:r w:rsidRPr="00937C4F">
        <w:rPr>
          <w:rFonts w:cstheme="minorHAnsi"/>
          <w:sz w:val="28"/>
          <w:szCs w:val="28"/>
        </w:rPr>
        <w:t xml:space="preserve"> (London: Yale University Press, 2009)</w:t>
      </w:r>
      <w:r>
        <w:rPr>
          <w:rFonts w:cstheme="minorHAnsi"/>
          <w:sz w:val="28"/>
          <w:szCs w:val="28"/>
        </w:rPr>
        <w:t>.</w:t>
      </w:r>
    </w:p>
    <w:p w:rsidR="001F2951" w:rsidRDefault="001F2951" w:rsidP="0061164D">
      <w:pPr>
        <w:rPr>
          <w:rFonts w:cstheme="minorHAnsi"/>
          <w:sz w:val="28"/>
          <w:szCs w:val="28"/>
        </w:rPr>
      </w:pPr>
    </w:p>
    <w:p w:rsidR="001F2951" w:rsidRDefault="001F2951" w:rsidP="001F2951">
      <w:pPr>
        <w:rPr>
          <w:sz w:val="28"/>
          <w:szCs w:val="28"/>
        </w:rPr>
      </w:pPr>
      <w:r w:rsidRPr="00B57BD7">
        <w:rPr>
          <w:b/>
          <w:sz w:val="28"/>
          <w:szCs w:val="28"/>
        </w:rPr>
        <w:t>Power, E.</w:t>
      </w:r>
      <w:r>
        <w:rPr>
          <w:sz w:val="28"/>
          <w:szCs w:val="28"/>
        </w:rPr>
        <w:t xml:space="preserve"> </w:t>
      </w:r>
      <w:r w:rsidRPr="00B57BD7">
        <w:rPr>
          <w:i/>
          <w:sz w:val="28"/>
          <w:szCs w:val="28"/>
        </w:rPr>
        <w:t>Medieval People</w:t>
      </w:r>
      <w:r>
        <w:rPr>
          <w:sz w:val="28"/>
          <w:szCs w:val="28"/>
        </w:rPr>
        <w:t xml:space="preserve"> 10</w:t>
      </w:r>
      <w:r w:rsidRPr="00B57BD7">
        <w:rPr>
          <w:sz w:val="28"/>
          <w:szCs w:val="28"/>
          <w:vertAlign w:val="superscript"/>
        </w:rPr>
        <w:t>th</w:t>
      </w:r>
      <w:r>
        <w:rPr>
          <w:sz w:val="28"/>
          <w:szCs w:val="28"/>
        </w:rPr>
        <w:t xml:space="preserve"> edn (Routledge 1924).</w:t>
      </w:r>
    </w:p>
    <w:p w:rsidR="001F2951" w:rsidRDefault="001F2951" w:rsidP="001F2951">
      <w:pPr>
        <w:rPr>
          <w:sz w:val="28"/>
          <w:szCs w:val="28"/>
        </w:rPr>
      </w:pPr>
    </w:p>
    <w:p w:rsidR="001F2951" w:rsidRPr="007E25D7" w:rsidRDefault="001F2951" w:rsidP="001F2951">
      <w:pPr>
        <w:rPr>
          <w:sz w:val="28"/>
          <w:szCs w:val="28"/>
        </w:rPr>
      </w:pPr>
      <w:r w:rsidRPr="007E25D7">
        <w:rPr>
          <w:b/>
          <w:sz w:val="28"/>
          <w:szCs w:val="28"/>
        </w:rPr>
        <w:t>Whittock, M</w:t>
      </w:r>
      <w:r>
        <w:rPr>
          <w:sz w:val="28"/>
          <w:szCs w:val="28"/>
        </w:rPr>
        <w:t xml:space="preserve">. </w:t>
      </w:r>
      <w:r w:rsidRPr="007E25D7">
        <w:rPr>
          <w:sz w:val="28"/>
          <w:szCs w:val="28"/>
        </w:rPr>
        <w:t xml:space="preserve"> </w:t>
      </w:r>
      <w:r w:rsidRPr="007E25D7">
        <w:rPr>
          <w:i/>
          <w:iCs/>
          <w:sz w:val="28"/>
          <w:szCs w:val="28"/>
        </w:rPr>
        <w:t>Life In The Middle Ages</w:t>
      </w:r>
      <w:r w:rsidRPr="007E25D7">
        <w:rPr>
          <w:sz w:val="28"/>
          <w:szCs w:val="28"/>
        </w:rPr>
        <w:t xml:space="preserve">, </w:t>
      </w:r>
      <w:r>
        <w:rPr>
          <w:sz w:val="28"/>
          <w:szCs w:val="28"/>
        </w:rPr>
        <w:t>(</w:t>
      </w:r>
      <w:r w:rsidRPr="007E25D7">
        <w:rPr>
          <w:sz w:val="28"/>
          <w:szCs w:val="28"/>
        </w:rPr>
        <w:t>London: Constable and Robinson Ltd</w:t>
      </w:r>
      <w:r>
        <w:rPr>
          <w:sz w:val="28"/>
          <w:szCs w:val="28"/>
        </w:rPr>
        <w:t xml:space="preserve"> </w:t>
      </w:r>
      <w:r w:rsidRPr="007E25D7">
        <w:rPr>
          <w:sz w:val="28"/>
          <w:szCs w:val="28"/>
        </w:rPr>
        <w:t>2009</w:t>
      </w:r>
      <w:r>
        <w:rPr>
          <w:sz w:val="28"/>
          <w:szCs w:val="28"/>
        </w:rPr>
        <w:t>)</w:t>
      </w:r>
      <w:r w:rsidRPr="007E25D7">
        <w:rPr>
          <w:sz w:val="28"/>
          <w:szCs w:val="28"/>
        </w:rPr>
        <w:t>.</w:t>
      </w:r>
    </w:p>
    <w:p w:rsidR="001F2951" w:rsidRDefault="001F2951" w:rsidP="001F2951">
      <w:pPr>
        <w:rPr>
          <w:sz w:val="28"/>
          <w:szCs w:val="28"/>
        </w:rPr>
      </w:pPr>
    </w:p>
    <w:p w:rsidR="001F2951" w:rsidRPr="0061164D" w:rsidRDefault="001F2951" w:rsidP="0061164D">
      <w:pPr>
        <w:rPr>
          <w:b/>
          <w:sz w:val="28"/>
          <w:szCs w:val="28"/>
        </w:rPr>
      </w:pPr>
    </w:p>
    <w:sectPr w:rsidR="001F2951" w:rsidRPr="0061164D" w:rsidSect="00386FA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0453" w:rsidRDefault="00240453" w:rsidP="00036057">
      <w:pPr>
        <w:spacing w:after="0" w:line="240" w:lineRule="auto"/>
      </w:pPr>
      <w:r>
        <w:separator/>
      </w:r>
    </w:p>
  </w:endnote>
  <w:endnote w:type="continuationSeparator" w:id="0">
    <w:p w:rsidR="00240453" w:rsidRDefault="00240453" w:rsidP="000360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0453" w:rsidRDefault="00240453" w:rsidP="00036057">
      <w:pPr>
        <w:spacing w:after="0" w:line="240" w:lineRule="auto"/>
      </w:pPr>
      <w:r>
        <w:separator/>
      </w:r>
    </w:p>
  </w:footnote>
  <w:footnote w:type="continuationSeparator" w:id="0">
    <w:p w:rsidR="00240453" w:rsidRDefault="00240453" w:rsidP="00036057">
      <w:pPr>
        <w:spacing w:after="0" w:line="240" w:lineRule="auto"/>
      </w:pPr>
      <w:r>
        <w:continuationSeparator/>
      </w:r>
    </w:p>
  </w:footnote>
  <w:footnote w:id="1">
    <w:p w:rsidR="00036057" w:rsidRDefault="00036057">
      <w:pPr>
        <w:pStyle w:val="FootnoteText"/>
      </w:pPr>
      <w:r>
        <w:rPr>
          <w:rStyle w:val="FootnoteReference"/>
        </w:rPr>
        <w:footnoteRef/>
      </w:r>
      <w:r>
        <w:t xml:space="preserve"> </w:t>
      </w:r>
      <w:r w:rsidRPr="00352D6A">
        <w:rPr>
          <w:i/>
        </w:rPr>
        <w:t>Hereford Insular Gospels</w:t>
      </w:r>
      <w:r>
        <w:t>. Hereford Cathedral Library P.I.II. Folio 134 R-V</w:t>
      </w:r>
      <w:r w:rsidR="007B0F02">
        <w:t>.</w:t>
      </w:r>
    </w:p>
  </w:footnote>
  <w:footnote w:id="2">
    <w:p w:rsidR="0042553D" w:rsidRDefault="0042553D" w:rsidP="00352D6A">
      <w:pPr>
        <w:pStyle w:val="FootnoteText"/>
        <w:ind w:left="284" w:hanging="284"/>
      </w:pPr>
      <w:r>
        <w:rPr>
          <w:rStyle w:val="FootnoteReference"/>
        </w:rPr>
        <w:footnoteRef/>
      </w:r>
      <w:r>
        <w:t xml:space="preserve"> Searle </w:t>
      </w:r>
      <w:r w:rsidR="00352D6A">
        <w:t xml:space="preserve">W.G. </w:t>
      </w:r>
      <w:r>
        <w:t xml:space="preserve">Onomasticon Anglo-Saxonicum (Cambriodge 1897) P192 cited in </w:t>
      </w:r>
      <w:r w:rsidR="009C6AF6" w:rsidRPr="00036057">
        <w:rPr>
          <w:i/>
        </w:rPr>
        <w:t xml:space="preserve">Anglo Saxonica in Hereford </w:t>
      </w:r>
      <w:r w:rsidR="00352D6A">
        <w:rPr>
          <w:i/>
        </w:rPr>
        <w:t xml:space="preserve">   </w:t>
      </w:r>
      <w:r w:rsidR="009C6AF6" w:rsidRPr="00036057">
        <w:rPr>
          <w:i/>
        </w:rPr>
        <w:t>Cathedral Library</w:t>
      </w:r>
      <w:r w:rsidR="009C6AF6">
        <w:t xml:space="preserve"> by </w:t>
      </w:r>
      <w:r w:rsidR="009C6AF6" w:rsidRPr="00036057">
        <w:rPr>
          <w:i/>
        </w:rPr>
        <w:t>Cyril Bathurst Judge</w:t>
      </w:r>
      <w:r w:rsidR="009C6AF6">
        <w:rPr>
          <w:i/>
        </w:rPr>
        <w:t xml:space="preserve"> (Harvard 1934) P96 </w:t>
      </w:r>
      <w:r w:rsidR="009C6AF6" w:rsidRPr="009C6AF6">
        <w:rPr>
          <w:i/>
        </w:rPr>
        <w:t>fn 44</w:t>
      </w:r>
      <w:r w:rsidR="009C6AF6">
        <w:rPr>
          <w:i/>
        </w:rPr>
        <w:t xml:space="preserve">. </w:t>
      </w:r>
    </w:p>
  </w:footnote>
  <w:footnote w:id="3">
    <w:p w:rsidR="00292649" w:rsidRDefault="00292649" w:rsidP="00352D6A">
      <w:pPr>
        <w:pStyle w:val="FootnoteText"/>
        <w:tabs>
          <w:tab w:val="left" w:pos="426"/>
        </w:tabs>
        <w:ind w:left="284" w:hanging="284"/>
      </w:pPr>
      <w:r>
        <w:rPr>
          <w:rStyle w:val="FootnoteReference"/>
        </w:rPr>
        <w:footnoteRef/>
      </w:r>
      <w:r>
        <w:t xml:space="preserve"> </w:t>
      </w:r>
      <w:r w:rsidR="00352D6A">
        <w:t xml:space="preserve">Gameson Richard </w:t>
      </w:r>
      <w:r w:rsidRPr="00352D6A">
        <w:rPr>
          <w:i/>
        </w:rPr>
        <w:t>The Insular Gosp</w:t>
      </w:r>
      <w:r w:rsidR="00352D6A" w:rsidRPr="00352D6A">
        <w:rPr>
          <w:i/>
        </w:rPr>
        <w:t>el Book at Hereford Cathedral</w:t>
      </w:r>
      <w:r>
        <w:t>, International Review Of Manuscript Studies, Tome LVI 2002 1. Centre de’</w:t>
      </w:r>
      <w:r w:rsidR="007B0F02">
        <w:t xml:space="preserve">tude Des Manuscrite. Brussels. p. </w:t>
      </w:r>
      <w:r>
        <w:t>70</w:t>
      </w:r>
      <w:r w:rsidR="007B0F02">
        <w:t>.</w:t>
      </w:r>
    </w:p>
  </w:footnote>
  <w:footnote w:id="4">
    <w:p w:rsidR="00C13042" w:rsidRDefault="00C13042">
      <w:pPr>
        <w:pStyle w:val="FootnoteText"/>
      </w:pPr>
      <w:r>
        <w:rPr>
          <w:rStyle w:val="FootnoteReference"/>
        </w:rPr>
        <w:footnoteRef/>
      </w:r>
      <w:r>
        <w:t xml:space="preserve"> </w:t>
      </w:r>
      <w:r w:rsidR="00292649">
        <w:t>Ibid</w:t>
      </w:r>
      <w:r w:rsidR="007B0F02">
        <w:t xml:space="preserve"> p. 70.</w:t>
      </w:r>
    </w:p>
  </w:footnote>
  <w:footnote w:id="5">
    <w:p w:rsidR="009A77FA" w:rsidRDefault="009A77FA">
      <w:pPr>
        <w:pStyle w:val="FootnoteText"/>
      </w:pPr>
      <w:r>
        <w:rPr>
          <w:rStyle w:val="FootnoteReference"/>
        </w:rPr>
        <w:footnoteRef/>
      </w:r>
      <w:r>
        <w:t xml:space="preserve"> Ibid. P70.</w:t>
      </w:r>
    </w:p>
  </w:footnote>
  <w:footnote w:id="6">
    <w:p w:rsidR="00E07701" w:rsidRDefault="00E07701">
      <w:pPr>
        <w:pStyle w:val="FootnoteText"/>
      </w:pPr>
      <w:r>
        <w:rPr>
          <w:rStyle w:val="FootnoteReference"/>
        </w:rPr>
        <w:footnoteRef/>
      </w:r>
      <w:r w:rsidR="00292649">
        <w:t xml:space="preserve"> </w:t>
      </w:r>
      <w:r w:rsidR="00292649" w:rsidRPr="00352D6A">
        <w:rPr>
          <w:i/>
        </w:rPr>
        <w:t>Hereford Insular Gospels</w:t>
      </w:r>
      <w:r w:rsidR="00292649">
        <w:t xml:space="preserve"> Fo</w:t>
      </w:r>
      <w:r>
        <w:t>lio 135</w:t>
      </w:r>
      <w:r w:rsidR="007B0F02">
        <w:t>.</w:t>
      </w:r>
    </w:p>
  </w:footnote>
  <w:footnote w:id="7">
    <w:p w:rsidR="00E07701" w:rsidRDefault="00E07701">
      <w:pPr>
        <w:pStyle w:val="FootnoteText"/>
      </w:pPr>
      <w:r>
        <w:rPr>
          <w:rStyle w:val="FootnoteReference"/>
        </w:rPr>
        <w:footnoteRef/>
      </w:r>
      <w:r>
        <w:t xml:space="preserve"> </w:t>
      </w:r>
      <w:r w:rsidR="00352D6A">
        <w:t xml:space="preserve">Ibid </w:t>
      </w:r>
      <w:r w:rsidR="007B0F02">
        <w:t xml:space="preserve">Gameson p. </w:t>
      </w:r>
      <w:r>
        <w:t>70</w:t>
      </w:r>
      <w:r w:rsidR="007B0F02">
        <w:t>.</w:t>
      </w:r>
    </w:p>
  </w:footnote>
  <w:footnote w:id="8">
    <w:p w:rsidR="00094AEA" w:rsidRDefault="00094AEA">
      <w:pPr>
        <w:pStyle w:val="FootnoteText"/>
      </w:pPr>
      <w:r>
        <w:rPr>
          <w:rStyle w:val="FootnoteReference"/>
        </w:rPr>
        <w:footnoteRef/>
      </w:r>
      <w:r>
        <w:t xml:space="preserve"> </w:t>
      </w:r>
      <w:r w:rsidR="001D5894">
        <w:t xml:space="preserve">Ibid </w:t>
      </w:r>
      <w:r w:rsidR="007B0F02">
        <w:t xml:space="preserve">Gameson p. </w:t>
      </w:r>
      <w:r>
        <w:t>71</w:t>
      </w:r>
      <w:r w:rsidR="007B0F02">
        <w:t>.</w:t>
      </w:r>
    </w:p>
  </w:footnote>
  <w:footnote w:id="9">
    <w:p w:rsidR="001D5894" w:rsidRDefault="001D5894">
      <w:pPr>
        <w:pStyle w:val="FootnoteText"/>
      </w:pPr>
      <w:r>
        <w:rPr>
          <w:rStyle w:val="FootnoteReference"/>
        </w:rPr>
        <w:footnoteRef/>
      </w:r>
      <w:r w:rsidR="007B0F02">
        <w:t xml:space="preserve"> Ibid Judge p. </w:t>
      </w:r>
      <w:r>
        <w:t>94</w:t>
      </w:r>
      <w:r w:rsidR="007B0F02">
        <w:t>.</w:t>
      </w:r>
    </w:p>
  </w:footnote>
  <w:footnote w:id="10">
    <w:p w:rsidR="00AE5B05" w:rsidRDefault="00AE5B05">
      <w:pPr>
        <w:pStyle w:val="FootnoteText"/>
      </w:pPr>
      <w:r>
        <w:rPr>
          <w:rStyle w:val="FootnoteReference"/>
        </w:rPr>
        <w:footnoteRef/>
      </w:r>
      <w:r w:rsidR="00E45532">
        <w:t xml:space="preserve"> As cited</w:t>
      </w:r>
      <w:r>
        <w:t xml:space="preserve"> in </w:t>
      </w:r>
      <w:r w:rsidRPr="00352D6A">
        <w:rPr>
          <w:i/>
        </w:rPr>
        <w:t>The Anglo Saxon World</w:t>
      </w:r>
      <w:r>
        <w:t xml:space="preserve"> N.Higham and N. Ry</w:t>
      </w:r>
      <w:r w:rsidR="007B0F02">
        <w:t>an (Yale University Press 2013) p.</w:t>
      </w:r>
      <w:r>
        <w:t xml:space="preserve"> </w:t>
      </w:r>
      <w:r w:rsidR="007B0F02">
        <w:t xml:space="preserve"> </w:t>
      </w:r>
      <w:r>
        <w:t>362</w:t>
      </w:r>
      <w:r w:rsidR="007B0F02">
        <w:t>.</w:t>
      </w:r>
      <w:r>
        <w:t xml:space="preserve"> </w:t>
      </w:r>
    </w:p>
  </w:footnote>
  <w:footnote w:id="11">
    <w:p w:rsidR="00DE4382" w:rsidRPr="00B23567" w:rsidRDefault="00DE4382" w:rsidP="00352D6A">
      <w:pPr>
        <w:ind w:left="426" w:hanging="426"/>
        <w:rPr>
          <w:rFonts w:ascii="Times New Roman" w:eastAsia="Times New Roman" w:hAnsi="Times New Roman" w:cs="Times New Roman"/>
          <w:sz w:val="24"/>
          <w:szCs w:val="24"/>
          <w:lang w:eastAsia="en-GB"/>
        </w:rPr>
      </w:pPr>
      <w:r>
        <w:rPr>
          <w:rStyle w:val="FootnoteReference"/>
        </w:rPr>
        <w:footnoteRef/>
      </w:r>
      <w:r>
        <w:t xml:space="preserve"> </w:t>
      </w:r>
      <w:r w:rsidR="00C7712B" w:rsidRPr="00C7712B">
        <w:rPr>
          <w:rFonts w:ascii="Times New Roman" w:eastAsia="Times New Roman" w:hAnsi="Times New Roman" w:cs="Times New Roman"/>
          <w:sz w:val="20"/>
          <w:szCs w:val="20"/>
          <w:lang w:eastAsia="en-GB"/>
        </w:rPr>
        <w:t>Mack</w:t>
      </w:r>
      <w:r w:rsidR="00352D6A" w:rsidRPr="00352D6A">
        <w:rPr>
          <w:rFonts w:ascii="Times New Roman" w:eastAsia="Times New Roman" w:hAnsi="Times New Roman" w:cs="Times New Roman"/>
          <w:sz w:val="20"/>
          <w:szCs w:val="20"/>
          <w:lang w:eastAsia="en-GB"/>
        </w:rPr>
        <w:t xml:space="preserve"> </w:t>
      </w:r>
      <w:r w:rsidR="00352D6A" w:rsidRPr="00C7712B">
        <w:rPr>
          <w:rFonts w:ascii="Times New Roman" w:eastAsia="Times New Roman" w:hAnsi="Times New Roman" w:cs="Times New Roman"/>
          <w:sz w:val="20"/>
          <w:szCs w:val="20"/>
          <w:lang w:eastAsia="en-GB"/>
        </w:rPr>
        <w:t>Katharin</w:t>
      </w:r>
      <w:r w:rsidR="00C7712B" w:rsidRPr="00C7712B">
        <w:rPr>
          <w:rFonts w:ascii="Times New Roman" w:eastAsia="Times New Roman" w:hAnsi="Times New Roman" w:cs="Times New Roman"/>
          <w:sz w:val="20"/>
          <w:szCs w:val="20"/>
          <w:lang w:eastAsia="en-GB"/>
        </w:rPr>
        <w:t>. “</w:t>
      </w:r>
      <w:r w:rsidR="00C7712B" w:rsidRPr="00352D6A">
        <w:rPr>
          <w:rFonts w:ascii="Times New Roman" w:eastAsia="Times New Roman" w:hAnsi="Times New Roman" w:cs="Times New Roman"/>
          <w:i/>
          <w:sz w:val="20"/>
          <w:szCs w:val="20"/>
          <w:lang w:eastAsia="en-GB"/>
        </w:rPr>
        <w:t>Changing Thegns: Cnut's Conquest and the English Aristocracy</w:t>
      </w:r>
      <w:r w:rsidR="00C7712B" w:rsidRPr="00C7712B">
        <w:rPr>
          <w:rFonts w:ascii="Times New Roman" w:eastAsia="Times New Roman" w:hAnsi="Times New Roman" w:cs="Times New Roman"/>
          <w:sz w:val="20"/>
          <w:szCs w:val="20"/>
          <w:lang w:eastAsia="en-GB"/>
        </w:rPr>
        <w:t xml:space="preserve">.” </w:t>
      </w:r>
      <w:r w:rsidR="00C7712B" w:rsidRPr="00C7712B">
        <w:rPr>
          <w:rFonts w:ascii="Times New Roman" w:eastAsia="Times New Roman" w:hAnsi="Times New Roman" w:cs="Times New Roman"/>
          <w:i/>
          <w:iCs/>
          <w:sz w:val="20"/>
          <w:szCs w:val="20"/>
          <w:lang w:eastAsia="en-GB"/>
        </w:rPr>
        <w:t>Albion: A Quarterly Journal Concerned with British Studies</w:t>
      </w:r>
      <w:r w:rsidR="007B0F02">
        <w:rPr>
          <w:rFonts w:ascii="Times New Roman" w:eastAsia="Times New Roman" w:hAnsi="Times New Roman" w:cs="Times New Roman"/>
          <w:i/>
          <w:iCs/>
          <w:sz w:val="20"/>
          <w:szCs w:val="20"/>
          <w:lang w:eastAsia="en-GB"/>
        </w:rPr>
        <w:t>”</w:t>
      </w:r>
      <w:r w:rsidR="00C7712B" w:rsidRPr="00C7712B">
        <w:rPr>
          <w:rFonts w:ascii="Times New Roman" w:eastAsia="Times New Roman" w:hAnsi="Times New Roman" w:cs="Times New Roman"/>
          <w:sz w:val="20"/>
          <w:szCs w:val="20"/>
          <w:lang w:eastAsia="en-GB"/>
        </w:rPr>
        <w:t xml:space="preserve">, vol. 16, no. 4, 1984, pp. 375–387. </w:t>
      </w:r>
      <w:r w:rsidR="00C7712B" w:rsidRPr="00C7712B">
        <w:rPr>
          <w:rFonts w:ascii="Times New Roman" w:eastAsia="Times New Roman" w:hAnsi="Times New Roman" w:cs="Times New Roman"/>
          <w:i/>
          <w:iCs/>
          <w:sz w:val="20"/>
          <w:szCs w:val="20"/>
          <w:lang w:eastAsia="en-GB"/>
        </w:rPr>
        <w:t>JSTOR</w:t>
      </w:r>
      <w:r w:rsidR="00C7712B" w:rsidRPr="00C7712B">
        <w:rPr>
          <w:rFonts w:ascii="Times New Roman" w:eastAsia="Times New Roman" w:hAnsi="Times New Roman" w:cs="Times New Roman"/>
          <w:sz w:val="20"/>
          <w:szCs w:val="20"/>
          <w:lang w:eastAsia="en-GB"/>
        </w:rPr>
        <w:t>, www.jstor.org/stable/4049386. Accessed 3 Apr. 2020.</w:t>
      </w:r>
    </w:p>
  </w:footnote>
  <w:footnote w:id="12">
    <w:p w:rsidR="00B23567" w:rsidRDefault="00B23567">
      <w:pPr>
        <w:pStyle w:val="FootnoteText"/>
      </w:pPr>
      <w:r>
        <w:rPr>
          <w:rStyle w:val="FootnoteReference"/>
        </w:rPr>
        <w:footnoteRef/>
      </w:r>
      <w:r w:rsidR="00352D6A">
        <w:t xml:space="preserve"> Stenton </w:t>
      </w:r>
      <w:r>
        <w:t xml:space="preserve">Frank </w:t>
      </w:r>
      <w:r w:rsidRPr="00352D6A">
        <w:rPr>
          <w:i/>
        </w:rPr>
        <w:t>Anglo Saxon England</w:t>
      </w:r>
      <w:r>
        <w:t>, 3</w:t>
      </w:r>
      <w:r w:rsidRPr="00B23567">
        <w:rPr>
          <w:vertAlign w:val="superscript"/>
        </w:rPr>
        <w:t>rd</w:t>
      </w:r>
      <w:r w:rsidR="007B0F02">
        <w:t xml:space="preserve"> Edition (Oxford </w:t>
      </w:r>
      <w:r>
        <w:t>The Clarendon Press 1985</w:t>
      </w:r>
      <w:r w:rsidR="007B0F02">
        <w:t>)  p.</w:t>
      </w:r>
      <w:r>
        <w:t xml:space="preserve"> 396-397</w:t>
      </w:r>
      <w:r w:rsidR="007B0F02">
        <w:t>.</w:t>
      </w:r>
    </w:p>
  </w:footnote>
  <w:footnote w:id="13">
    <w:p w:rsidR="0076604A" w:rsidRDefault="0076604A">
      <w:pPr>
        <w:pStyle w:val="FootnoteText"/>
      </w:pPr>
      <w:r>
        <w:rPr>
          <w:rStyle w:val="FootnoteReference"/>
        </w:rPr>
        <w:footnoteRef/>
      </w:r>
      <w:r>
        <w:t xml:space="preserve"> Bishop Wul</w:t>
      </w:r>
      <w:r w:rsidR="007B0F02">
        <w:t>fstan cited in Higham and Ryan p.</w:t>
      </w:r>
      <w:r>
        <w:t xml:space="preserve"> 365</w:t>
      </w:r>
      <w:r w:rsidR="007B0F02">
        <w:t>.</w:t>
      </w:r>
    </w:p>
  </w:footnote>
  <w:footnote w:id="14">
    <w:p w:rsidR="00EB7D79" w:rsidRDefault="00EB7D79">
      <w:pPr>
        <w:pStyle w:val="FootnoteText"/>
      </w:pPr>
      <w:r>
        <w:rPr>
          <w:rStyle w:val="FootnoteReference"/>
        </w:rPr>
        <w:footnoteRef/>
      </w:r>
      <w:r>
        <w:t xml:space="preserve"> </w:t>
      </w:r>
      <w:r w:rsidR="007B0F02">
        <w:t xml:space="preserve">Clanchy M T , </w:t>
      </w:r>
      <w:r w:rsidR="007B0F02">
        <w:rPr>
          <w:i/>
          <w:iCs/>
        </w:rPr>
        <w:t>From Memory to Written Record England 1066-1307</w:t>
      </w:r>
      <w:r w:rsidR="007B0F02">
        <w:t xml:space="preserve"> (Blackwell Publishing, 2003), p. 19.</w:t>
      </w:r>
    </w:p>
  </w:footnote>
  <w:footnote w:id="15">
    <w:p w:rsidR="009E35C2" w:rsidRDefault="009E35C2">
      <w:pPr>
        <w:pStyle w:val="FootnoteText"/>
      </w:pPr>
      <w:r>
        <w:rPr>
          <w:rStyle w:val="FootnoteReference"/>
        </w:rPr>
        <w:footnoteRef/>
      </w:r>
      <w:r>
        <w:t xml:space="preserve"> </w:t>
      </w:r>
      <w:r w:rsidR="0037297C" w:rsidRPr="00352D6A">
        <w:rPr>
          <w:i/>
        </w:rPr>
        <w:t>Doomsday</w:t>
      </w:r>
      <w:r w:rsidR="00C50FAB" w:rsidRPr="00352D6A">
        <w:rPr>
          <w:i/>
        </w:rPr>
        <w:t xml:space="preserve"> Book A Complete Translation</w:t>
      </w:r>
      <w:r w:rsidR="00C50FAB">
        <w:t xml:space="preserve"> Eds Ann Williams, </w:t>
      </w:r>
      <w:r w:rsidR="007B0F02">
        <w:t>G.H. Martin (Penguin Books 1992) p.</w:t>
      </w:r>
      <w:r w:rsidR="00C50FAB">
        <w:t>516</w:t>
      </w:r>
      <w:r w:rsidR="007B0F02">
        <w:t>.</w:t>
      </w:r>
      <w:r w:rsidR="00C50FAB">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36057"/>
    <w:rsid w:val="0003088E"/>
    <w:rsid w:val="00036057"/>
    <w:rsid w:val="000370DC"/>
    <w:rsid w:val="00066AB7"/>
    <w:rsid w:val="00072A42"/>
    <w:rsid w:val="0008669D"/>
    <w:rsid w:val="00094AEA"/>
    <w:rsid w:val="00105622"/>
    <w:rsid w:val="00147A09"/>
    <w:rsid w:val="00187122"/>
    <w:rsid w:val="001D2ED3"/>
    <w:rsid w:val="001D5894"/>
    <w:rsid w:val="001E2791"/>
    <w:rsid w:val="001F2951"/>
    <w:rsid w:val="00240453"/>
    <w:rsid w:val="00292649"/>
    <w:rsid w:val="00324D9C"/>
    <w:rsid w:val="00352D6A"/>
    <w:rsid w:val="0037297C"/>
    <w:rsid w:val="00386FAF"/>
    <w:rsid w:val="0039452C"/>
    <w:rsid w:val="003E206C"/>
    <w:rsid w:val="0042553D"/>
    <w:rsid w:val="00456393"/>
    <w:rsid w:val="004B3174"/>
    <w:rsid w:val="004C5DFD"/>
    <w:rsid w:val="004D6368"/>
    <w:rsid w:val="00517CFF"/>
    <w:rsid w:val="00531FFD"/>
    <w:rsid w:val="00564EBB"/>
    <w:rsid w:val="00584084"/>
    <w:rsid w:val="00590734"/>
    <w:rsid w:val="005A421A"/>
    <w:rsid w:val="005C5E24"/>
    <w:rsid w:val="006015E2"/>
    <w:rsid w:val="0061164D"/>
    <w:rsid w:val="006235B4"/>
    <w:rsid w:val="006727B0"/>
    <w:rsid w:val="0068151F"/>
    <w:rsid w:val="00695002"/>
    <w:rsid w:val="006C2B90"/>
    <w:rsid w:val="006E3217"/>
    <w:rsid w:val="00736A25"/>
    <w:rsid w:val="0076604A"/>
    <w:rsid w:val="007B0F02"/>
    <w:rsid w:val="007C3241"/>
    <w:rsid w:val="007F42D0"/>
    <w:rsid w:val="0081791C"/>
    <w:rsid w:val="00861166"/>
    <w:rsid w:val="00892695"/>
    <w:rsid w:val="00924194"/>
    <w:rsid w:val="0093641A"/>
    <w:rsid w:val="00971D19"/>
    <w:rsid w:val="00975D08"/>
    <w:rsid w:val="00983905"/>
    <w:rsid w:val="00994FB6"/>
    <w:rsid w:val="009A77FA"/>
    <w:rsid w:val="009C6AF6"/>
    <w:rsid w:val="009D2EE5"/>
    <w:rsid w:val="009E35C2"/>
    <w:rsid w:val="00A2408D"/>
    <w:rsid w:val="00A5681F"/>
    <w:rsid w:val="00A75EFB"/>
    <w:rsid w:val="00A97FEC"/>
    <w:rsid w:val="00AA1DF1"/>
    <w:rsid w:val="00AC0A26"/>
    <w:rsid w:val="00AE5B05"/>
    <w:rsid w:val="00B06E5A"/>
    <w:rsid w:val="00B151B6"/>
    <w:rsid w:val="00B159E7"/>
    <w:rsid w:val="00B23567"/>
    <w:rsid w:val="00B6101E"/>
    <w:rsid w:val="00B63D52"/>
    <w:rsid w:val="00BB7F4C"/>
    <w:rsid w:val="00C13042"/>
    <w:rsid w:val="00C50FAB"/>
    <w:rsid w:val="00C577D0"/>
    <w:rsid w:val="00C7712B"/>
    <w:rsid w:val="00CB4E4E"/>
    <w:rsid w:val="00CD38BA"/>
    <w:rsid w:val="00CD787D"/>
    <w:rsid w:val="00CE2BF4"/>
    <w:rsid w:val="00CF32C2"/>
    <w:rsid w:val="00CF3FD9"/>
    <w:rsid w:val="00D51AEE"/>
    <w:rsid w:val="00DE4382"/>
    <w:rsid w:val="00E07701"/>
    <w:rsid w:val="00E10490"/>
    <w:rsid w:val="00E45532"/>
    <w:rsid w:val="00E967CB"/>
    <w:rsid w:val="00EB2977"/>
    <w:rsid w:val="00EB7D79"/>
    <w:rsid w:val="00F47467"/>
    <w:rsid w:val="00F92D2A"/>
    <w:rsid w:val="00F94E45"/>
    <w:rsid w:val="00FE26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6FAF"/>
  </w:style>
  <w:style w:type="paragraph" w:styleId="Heading3">
    <w:name w:val="heading 3"/>
    <w:basedOn w:val="Normal"/>
    <w:link w:val="Heading3Char"/>
    <w:qFormat/>
    <w:rsid w:val="0008669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36057"/>
    <w:pPr>
      <w:spacing w:after="0" w:line="240" w:lineRule="auto"/>
    </w:pPr>
    <w:rPr>
      <w:sz w:val="20"/>
      <w:szCs w:val="20"/>
    </w:rPr>
  </w:style>
  <w:style w:type="character" w:customStyle="1" w:styleId="FootnoteTextChar">
    <w:name w:val="Footnote Text Char"/>
    <w:basedOn w:val="DefaultParagraphFont"/>
    <w:link w:val="FootnoteText"/>
    <w:uiPriority w:val="99"/>
    <w:rsid w:val="00036057"/>
    <w:rPr>
      <w:sz w:val="20"/>
      <w:szCs w:val="20"/>
    </w:rPr>
  </w:style>
  <w:style w:type="character" w:styleId="FootnoteReference">
    <w:name w:val="footnote reference"/>
    <w:basedOn w:val="DefaultParagraphFont"/>
    <w:uiPriority w:val="99"/>
    <w:semiHidden/>
    <w:unhideWhenUsed/>
    <w:rsid w:val="00036057"/>
    <w:rPr>
      <w:vertAlign w:val="superscript"/>
    </w:rPr>
  </w:style>
  <w:style w:type="paragraph" w:styleId="ListParagraph">
    <w:name w:val="List Paragraph"/>
    <w:basedOn w:val="Normal"/>
    <w:uiPriority w:val="34"/>
    <w:qFormat/>
    <w:rsid w:val="0061164D"/>
    <w:pPr>
      <w:ind w:left="720"/>
      <w:contextualSpacing/>
    </w:pPr>
    <w:rPr>
      <w:rFonts w:ascii="Calibri" w:eastAsia="Calibri" w:hAnsi="Calibri" w:cs="Arial"/>
    </w:rPr>
  </w:style>
  <w:style w:type="character" w:styleId="Hyperlink">
    <w:name w:val="Hyperlink"/>
    <w:basedOn w:val="DefaultParagraphFont"/>
    <w:uiPriority w:val="99"/>
    <w:unhideWhenUsed/>
    <w:rsid w:val="0061164D"/>
    <w:rPr>
      <w:color w:val="0000FF" w:themeColor="hyperlink"/>
      <w:u w:val="single"/>
    </w:rPr>
  </w:style>
  <w:style w:type="character" w:customStyle="1" w:styleId="Heading3Char">
    <w:name w:val="Heading 3 Char"/>
    <w:basedOn w:val="DefaultParagraphFont"/>
    <w:link w:val="Heading3"/>
    <w:rsid w:val="0008669D"/>
    <w:rPr>
      <w:rFonts w:ascii="Tahoma" w:eastAsia="SimSun" w:hAnsi="Tahoma" w:cs="Tahoma"/>
      <w:b/>
      <w:bCs/>
      <w:sz w:val="20"/>
      <w:szCs w:val="20"/>
      <w:lang w:eastAsia="zh-CN"/>
    </w:rPr>
  </w:style>
  <w:style w:type="paragraph" w:styleId="NormalWeb">
    <w:name w:val="Normal (Web)"/>
    <w:basedOn w:val="Normal"/>
    <w:rsid w:val="0008669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0866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69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73198493">
      <w:bodyDiv w:val="1"/>
      <w:marLeft w:val="0"/>
      <w:marRight w:val="0"/>
      <w:marTop w:val="0"/>
      <w:marBottom w:val="0"/>
      <w:divBdr>
        <w:top w:val="none" w:sz="0" w:space="0" w:color="auto"/>
        <w:left w:val="none" w:sz="0" w:space="0" w:color="auto"/>
        <w:bottom w:val="none" w:sz="0" w:space="0" w:color="auto"/>
        <w:right w:val="none" w:sz="0" w:space="0" w:color="auto"/>
      </w:divBdr>
      <w:divsChild>
        <w:div w:id="2068411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49386.%20Accessed%203%20Apr.%20202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8BD8ED0-155A-4188-A9DF-6A2A916DC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2603</Words>
  <Characters>12741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2020-06-11T14:26:00Z</dcterms:created>
  <dcterms:modified xsi:type="dcterms:W3CDTF">2020-06-11T14:26:00Z</dcterms:modified>
</cp:coreProperties>
</file>