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A31FF" w14:textId="0262C4A4" w:rsidR="005B3A0A" w:rsidRPr="00A15E49" w:rsidRDefault="00A15E49">
      <w:pPr>
        <w:rPr>
          <w:rFonts w:ascii="Arial" w:hAnsi="Arial" w:cs="Arial"/>
          <w:b/>
          <w:bCs/>
          <w:sz w:val="48"/>
          <w:szCs w:val="48"/>
        </w:rPr>
      </w:pPr>
      <w:r w:rsidRPr="00A15E49">
        <w:rPr>
          <w:rFonts w:ascii="Arial" w:hAnsi="Arial" w:cs="Arial"/>
          <w:b/>
          <w:sz w:val="44"/>
          <w:szCs w:val="44"/>
          <w:highlight w:val="darkGray"/>
        </w:rPr>
        <w:t>Intention to create legal relations</w:t>
      </w:r>
    </w:p>
    <w:p w14:paraId="60C2BE62" w14:textId="2A0E9776" w:rsidR="00A15E49" w:rsidRDefault="00A15E49">
      <w:pPr>
        <w:rPr>
          <w:rFonts w:ascii="Arial" w:hAnsi="Arial" w:cs="Arial"/>
          <w:b/>
          <w:bCs/>
        </w:rPr>
      </w:pPr>
    </w:p>
    <w:p w14:paraId="0CD545E3" w14:textId="6CE6DBE5" w:rsidR="00A15E49" w:rsidRDefault="00A15E49">
      <w:pPr>
        <w:rPr>
          <w:rFonts w:ascii="Arial" w:hAnsi="Arial" w:cs="Arial"/>
          <w:b/>
          <w:bCs/>
        </w:rPr>
      </w:pPr>
    </w:p>
    <w:p w14:paraId="6F8ED680" w14:textId="3722D956" w:rsidR="00A15E49" w:rsidRDefault="00A15E49">
      <w:pPr>
        <w:rPr>
          <w:rFonts w:ascii="Arial" w:hAnsi="Arial" w:cs="Arial"/>
          <w:b/>
          <w:bCs/>
        </w:rPr>
      </w:pPr>
      <w:r>
        <w:rPr>
          <w:rFonts w:ascii="Arial" w:hAnsi="Arial" w:cs="Arial"/>
          <w:b/>
          <w:bCs/>
        </w:rPr>
        <w:t xml:space="preserve">Assignment 1 - </w:t>
      </w:r>
      <w:r>
        <w:rPr>
          <w:rFonts w:ascii="Arial" w:hAnsi="Arial" w:cs="Arial"/>
          <w:b/>
          <w:sz w:val="22"/>
          <w:szCs w:val="22"/>
        </w:rPr>
        <w:t>BMLW5009</w:t>
      </w:r>
    </w:p>
    <w:p w14:paraId="70BC938D" w14:textId="0D757493" w:rsidR="00A15E49" w:rsidRDefault="00A15E49">
      <w:pPr>
        <w:rPr>
          <w:rFonts w:ascii="Arial" w:hAnsi="Arial" w:cs="Arial"/>
          <w:b/>
          <w:bCs/>
        </w:rPr>
      </w:pPr>
    </w:p>
    <w:p w14:paraId="6E05D1B0" w14:textId="704A462B" w:rsidR="00A15E49" w:rsidRDefault="00A15E49">
      <w:pPr>
        <w:rPr>
          <w:rFonts w:ascii="Arial" w:hAnsi="Arial" w:cs="Arial"/>
          <w:b/>
          <w:bCs/>
        </w:rPr>
      </w:pPr>
    </w:p>
    <w:p w14:paraId="6C72DBED" w14:textId="0D6BFA21" w:rsidR="00A15E49" w:rsidRDefault="00A15E49">
      <w:pPr>
        <w:rPr>
          <w:rFonts w:ascii="Arial" w:hAnsi="Arial" w:cs="Arial"/>
          <w:b/>
          <w:bCs/>
        </w:rPr>
      </w:pPr>
    </w:p>
    <w:p w14:paraId="02676E2D" w14:textId="54FA71F0" w:rsidR="00A15E49" w:rsidRDefault="00A15E49">
      <w:pPr>
        <w:rPr>
          <w:rFonts w:ascii="Arial" w:hAnsi="Arial" w:cs="Arial"/>
          <w:b/>
          <w:bCs/>
        </w:rPr>
      </w:pPr>
    </w:p>
    <w:p w14:paraId="26F1E9DF" w14:textId="29A5C6C9" w:rsidR="00A15E49" w:rsidRDefault="00A15E49">
      <w:pPr>
        <w:rPr>
          <w:rFonts w:ascii="Arial" w:hAnsi="Arial" w:cs="Arial"/>
          <w:b/>
          <w:bCs/>
        </w:rPr>
      </w:pPr>
    </w:p>
    <w:p w14:paraId="57C7DE64" w14:textId="29AB8636" w:rsidR="00A15E49" w:rsidRDefault="00A15E49">
      <w:pPr>
        <w:rPr>
          <w:rFonts w:ascii="Arial" w:hAnsi="Arial" w:cs="Arial"/>
          <w:b/>
          <w:bCs/>
        </w:rPr>
      </w:pPr>
    </w:p>
    <w:p w14:paraId="34487DF7" w14:textId="5C1536FC" w:rsidR="00A15E49" w:rsidRDefault="00A15E49">
      <w:pPr>
        <w:rPr>
          <w:rFonts w:ascii="Arial" w:hAnsi="Arial" w:cs="Arial"/>
          <w:b/>
          <w:bCs/>
        </w:rPr>
      </w:pPr>
    </w:p>
    <w:p w14:paraId="34EB3B9D" w14:textId="3F5AB640" w:rsidR="00A15E49" w:rsidRDefault="00A15E49">
      <w:pPr>
        <w:rPr>
          <w:rFonts w:ascii="Arial" w:hAnsi="Arial" w:cs="Arial"/>
          <w:b/>
          <w:bCs/>
        </w:rPr>
      </w:pPr>
    </w:p>
    <w:p w14:paraId="160E8247" w14:textId="45A8AD24" w:rsidR="00A15E49" w:rsidRDefault="00A15E49">
      <w:pPr>
        <w:rPr>
          <w:rFonts w:ascii="Arial" w:hAnsi="Arial" w:cs="Arial"/>
          <w:b/>
          <w:bCs/>
        </w:rPr>
      </w:pPr>
    </w:p>
    <w:p w14:paraId="730725A0" w14:textId="743B6C60" w:rsidR="00A15E49" w:rsidRDefault="00A15E49">
      <w:pPr>
        <w:rPr>
          <w:rFonts w:ascii="Arial" w:hAnsi="Arial" w:cs="Arial"/>
          <w:b/>
          <w:bCs/>
        </w:rPr>
      </w:pPr>
    </w:p>
    <w:p w14:paraId="26B98574" w14:textId="3641803E" w:rsidR="00A15E49" w:rsidRDefault="00A15E49">
      <w:pPr>
        <w:rPr>
          <w:rFonts w:ascii="Arial" w:hAnsi="Arial" w:cs="Arial"/>
          <w:b/>
          <w:bCs/>
        </w:rPr>
      </w:pPr>
    </w:p>
    <w:p w14:paraId="09E1A0D8" w14:textId="2FE43B89" w:rsidR="00A15E49" w:rsidRDefault="00A15E49">
      <w:pPr>
        <w:rPr>
          <w:rFonts w:ascii="Arial" w:hAnsi="Arial" w:cs="Arial"/>
          <w:b/>
          <w:bCs/>
        </w:rPr>
      </w:pPr>
    </w:p>
    <w:p w14:paraId="61CCD208" w14:textId="09A25FE4" w:rsidR="00A15E49" w:rsidRDefault="00A15E49">
      <w:pPr>
        <w:rPr>
          <w:rFonts w:ascii="Arial" w:hAnsi="Arial" w:cs="Arial"/>
          <w:b/>
          <w:bCs/>
        </w:rPr>
      </w:pPr>
    </w:p>
    <w:p w14:paraId="35455F48" w14:textId="41652280" w:rsidR="00A15E49" w:rsidRDefault="00A15E49">
      <w:pPr>
        <w:rPr>
          <w:rFonts w:ascii="Arial" w:hAnsi="Arial" w:cs="Arial"/>
          <w:b/>
          <w:bCs/>
        </w:rPr>
      </w:pPr>
    </w:p>
    <w:p w14:paraId="5FE95E11" w14:textId="16CA9CA7" w:rsidR="00A15E49" w:rsidRDefault="00A15E49">
      <w:pPr>
        <w:rPr>
          <w:rFonts w:ascii="Arial" w:hAnsi="Arial" w:cs="Arial"/>
          <w:b/>
          <w:bCs/>
        </w:rPr>
      </w:pPr>
    </w:p>
    <w:p w14:paraId="75E86A69" w14:textId="704743BD" w:rsidR="00A15E49" w:rsidRDefault="00A15E49">
      <w:pPr>
        <w:rPr>
          <w:rFonts w:ascii="Arial" w:hAnsi="Arial" w:cs="Arial"/>
          <w:b/>
          <w:bCs/>
        </w:rPr>
      </w:pPr>
    </w:p>
    <w:p w14:paraId="78FEA4C4" w14:textId="5C03DDD3" w:rsidR="00A15E49" w:rsidRDefault="00A15E49">
      <w:pPr>
        <w:rPr>
          <w:rFonts w:ascii="Arial" w:hAnsi="Arial" w:cs="Arial"/>
          <w:b/>
          <w:bCs/>
        </w:rPr>
      </w:pPr>
    </w:p>
    <w:p w14:paraId="1B61D3C7" w14:textId="130630E5" w:rsidR="00A15E49" w:rsidRDefault="00A15E49">
      <w:pPr>
        <w:rPr>
          <w:rFonts w:ascii="Arial" w:hAnsi="Arial" w:cs="Arial"/>
          <w:b/>
          <w:bCs/>
        </w:rPr>
      </w:pPr>
    </w:p>
    <w:p w14:paraId="600A3E99" w14:textId="041063D4" w:rsidR="00A15E49" w:rsidRDefault="00A15E49">
      <w:pPr>
        <w:rPr>
          <w:rFonts w:ascii="Arial" w:hAnsi="Arial" w:cs="Arial"/>
          <w:b/>
          <w:bCs/>
        </w:rPr>
      </w:pPr>
    </w:p>
    <w:p w14:paraId="03D2733E" w14:textId="3B9BBFFB" w:rsidR="00A15E49" w:rsidRDefault="00A15E49">
      <w:pPr>
        <w:rPr>
          <w:rFonts w:ascii="Arial" w:hAnsi="Arial" w:cs="Arial"/>
          <w:b/>
          <w:bCs/>
        </w:rPr>
      </w:pPr>
    </w:p>
    <w:p w14:paraId="6120CB56" w14:textId="42258333" w:rsidR="00A15E49" w:rsidRDefault="00A15E49">
      <w:pPr>
        <w:rPr>
          <w:rFonts w:ascii="Arial" w:hAnsi="Arial" w:cs="Arial"/>
          <w:b/>
          <w:bCs/>
        </w:rPr>
      </w:pPr>
    </w:p>
    <w:p w14:paraId="34271704" w14:textId="5AAAC5F9" w:rsidR="00A15E49" w:rsidRDefault="00A15E49">
      <w:pPr>
        <w:rPr>
          <w:rFonts w:ascii="Arial" w:hAnsi="Arial" w:cs="Arial"/>
          <w:b/>
          <w:bCs/>
        </w:rPr>
      </w:pPr>
    </w:p>
    <w:p w14:paraId="6479D345" w14:textId="30AAFAE6" w:rsidR="00A15E49" w:rsidRDefault="00A15E49">
      <w:pPr>
        <w:rPr>
          <w:rFonts w:ascii="Arial" w:hAnsi="Arial" w:cs="Arial"/>
          <w:b/>
          <w:bCs/>
        </w:rPr>
      </w:pPr>
    </w:p>
    <w:p w14:paraId="2A68148F" w14:textId="75E984F8" w:rsidR="00A15E49" w:rsidRDefault="00A15E49">
      <w:pPr>
        <w:rPr>
          <w:rFonts w:ascii="Arial" w:hAnsi="Arial" w:cs="Arial"/>
          <w:b/>
          <w:bCs/>
        </w:rPr>
      </w:pPr>
    </w:p>
    <w:p w14:paraId="1A9F01D3" w14:textId="77777777" w:rsidR="00A15E49" w:rsidRDefault="00A15E49"/>
    <w:p w14:paraId="176164EB" w14:textId="0E69413F" w:rsidR="002A042C" w:rsidRDefault="002A042C"/>
    <w:p w14:paraId="76F8D85D" w14:textId="439156C1" w:rsidR="002A042C" w:rsidRDefault="002A042C"/>
    <w:p w14:paraId="39BA0467" w14:textId="3047B88A" w:rsidR="002A042C" w:rsidRDefault="002A042C"/>
    <w:p w14:paraId="4A7F46CC" w14:textId="0FCBD096" w:rsidR="002A042C" w:rsidRDefault="002A042C"/>
    <w:p w14:paraId="190DC11E" w14:textId="3FB65F56" w:rsidR="002A042C" w:rsidRDefault="002A042C"/>
    <w:p w14:paraId="52742C00" w14:textId="4DC8D9F6" w:rsidR="002A042C" w:rsidRDefault="002A042C"/>
    <w:p w14:paraId="2D5E83AA" w14:textId="1DEDEDAC" w:rsidR="002A042C" w:rsidRDefault="002A042C"/>
    <w:p w14:paraId="4BC39BF3" w14:textId="2A42A986" w:rsidR="002A042C" w:rsidRDefault="002A042C"/>
    <w:p w14:paraId="5A6E30E7" w14:textId="5056E2BC" w:rsidR="002A042C" w:rsidRDefault="002A042C"/>
    <w:p w14:paraId="304537D1" w14:textId="6A7B0784" w:rsidR="002A042C" w:rsidRDefault="002A042C"/>
    <w:p w14:paraId="0CDC54CF" w14:textId="7BAE345B" w:rsidR="002A042C" w:rsidRDefault="002A042C"/>
    <w:p w14:paraId="651B78DF" w14:textId="69F8FFEA" w:rsidR="002A042C" w:rsidRDefault="002A042C"/>
    <w:p w14:paraId="107EAC59" w14:textId="66A67ADE" w:rsidR="002A042C" w:rsidRDefault="002A042C"/>
    <w:p w14:paraId="1BC47AC1" w14:textId="5BA60B5D" w:rsidR="002A042C" w:rsidRDefault="002A042C"/>
    <w:p w14:paraId="0C0ED30B" w14:textId="2FC301D2" w:rsidR="002A042C" w:rsidRDefault="002A042C"/>
    <w:p w14:paraId="6729B14D" w14:textId="4583B2E9" w:rsidR="002A042C" w:rsidRDefault="002A042C"/>
    <w:p w14:paraId="6873699C" w14:textId="2EA78520" w:rsidR="002A042C" w:rsidRDefault="002A042C"/>
    <w:p w14:paraId="6BAAF556" w14:textId="1892E6D8" w:rsidR="002A042C" w:rsidRDefault="002A042C"/>
    <w:p w14:paraId="7B8EAC56" w14:textId="489F860D" w:rsidR="007445B4" w:rsidRPr="001E0A35" w:rsidRDefault="00291418" w:rsidP="007445B4">
      <w:pPr>
        <w:pStyle w:val="NormalWeb"/>
        <w:rPr>
          <w:rFonts w:ascii="Arial" w:hAnsi="Arial" w:cs="Arial"/>
          <w:color w:val="000000"/>
        </w:rPr>
      </w:pPr>
      <w:r w:rsidRPr="001E0A35">
        <w:rPr>
          <w:rFonts w:ascii="Arial" w:hAnsi="Arial" w:cs="Arial"/>
          <w:color w:val="000000" w:themeColor="text1"/>
        </w:rPr>
        <w:lastRenderedPageBreak/>
        <w:t xml:space="preserve">Generally, </w:t>
      </w:r>
      <w:r w:rsidRPr="001E0A35">
        <w:rPr>
          <w:rFonts w:ascii="Arial" w:hAnsi="Arial" w:cs="Arial"/>
        </w:rPr>
        <w:t>the courts need to find an intention to create legal relations</w:t>
      </w:r>
      <w:r w:rsidRPr="001E0A35">
        <w:rPr>
          <w:rFonts w:ascii="Arial" w:hAnsi="Arial" w:cs="Arial"/>
          <w:color w:val="000000" w:themeColor="text1"/>
        </w:rPr>
        <w:t xml:space="preserve"> because </w:t>
      </w:r>
      <w:r w:rsidR="007445B4" w:rsidRPr="001E0A35">
        <w:rPr>
          <w:rFonts w:ascii="Arial" w:hAnsi="Arial" w:cs="Arial"/>
          <w:color w:val="000000" w:themeColor="text1"/>
        </w:rPr>
        <w:t xml:space="preserve">in </w:t>
      </w:r>
      <w:r w:rsidRPr="001E0A35">
        <w:rPr>
          <w:rFonts w:ascii="Arial" w:hAnsi="Arial" w:cs="Arial"/>
          <w:color w:val="000000" w:themeColor="text1"/>
        </w:rPr>
        <w:t>contract law</w:t>
      </w:r>
      <w:r w:rsidR="007445B4" w:rsidRPr="001E0A35">
        <w:rPr>
          <w:rFonts w:ascii="Arial" w:hAnsi="Arial" w:cs="Arial"/>
          <w:color w:val="000000" w:themeColor="text1"/>
        </w:rPr>
        <w:t xml:space="preserve">, the courts </w:t>
      </w:r>
      <w:r w:rsidRPr="001E0A35">
        <w:rPr>
          <w:rFonts w:ascii="Arial" w:hAnsi="Arial" w:cs="Arial"/>
          <w:color w:val="000000" w:themeColor="text1"/>
        </w:rPr>
        <w:t xml:space="preserve">require to filter out cases that are not appropriate for court proceedings. Agreements do not always lead to legally binding contracts that can be enforced in court. </w:t>
      </w:r>
      <w:r w:rsidR="001E3A3F">
        <w:rPr>
          <w:rFonts w:ascii="Arial" w:hAnsi="Arial" w:cs="Arial"/>
          <w:color w:val="000000" w:themeColor="text1"/>
        </w:rPr>
        <w:t>Finch and F</w:t>
      </w:r>
      <w:r w:rsidR="00386233">
        <w:rPr>
          <w:rFonts w:ascii="Arial" w:hAnsi="Arial" w:cs="Arial"/>
          <w:color w:val="000000" w:themeColor="text1"/>
        </w:rPr>
        <w:t>afinski (201</w:t>
      </w:r>
      <w:r w:rsidR="0032784C">
        <w:rPr>
          <w:rFonts w:ascii="Arial" w:hAnsi="Arial" w:cs="Arial"/>
          <w:color w:val="000000" w:themeColor="text1"/>
        </w:rPr>
        <w:t>8</w:t>
      </w:r>
      <w:r w:rsidR="00386233">
        <w:rPr>
          <w:rFonts w:ascii="Arial" w:hAnsi="Arial" w:cs="Arial"/>
          <w:color w:val="000000" w:themeColor="text1"/>
        </w:rPr>
        <w:t xml:space="preserve">). </w:t>
      </w:r>
      <w:r w:rsidR="007445B4" w:rsidRPr="001E0A35">
        <w:rPr>
          <w:rFonts w:ascii="Arial" w:hAnsi="Arial" w:cs="Arial"/>
          <w:color w:val="000000"/>
        </w:rPr>
        <w:t>It may be agreed to meet at a pub with a friend, for example. Honouring an agreement may be a moral duty, but it is not a legal obligation. In such agreements, the parties generally do not intend to be legally bound, and the law seeks to reflect their wishes. There is a distinction between social and domestic agreements and commercial agreements to determine which are legally binding and intend to create legal relations.</w:t>
      </w:r>
      <w:r w:rsidR="00717DF2">
        <w:rPr>
          <w:rFonts w:ascii="Arial" w:hAnsi="Arial" w:cs="Arial"/>
          <w:color w:val="000000"/>
        </w:rPr>
        <w:t xml:space="preserve"> Elliott and Quinn (2019). </w:t>
      </w:r>
    </w:p>
    <w:p w14:paraId="3CF216D4" w14:textId="2B76625E" w:rsidR="00291418" w:rsidRPr="001E0A35" w:rsidRDefault="00291418" w:rsidP="00291418">
      <w:pPr>
        <w:pStyle w:val="NormalWeb"/>
        <w:rPr>
          <w:rFonts w:ascii="Arial" w:hAnsi="Arial" w:cs="Arial"/>
          <w:color w:val="000000" w:themeColor="text1"/>
        </w:rPr>
      </w:pPr>
    </w:p>
    <w:p w14:paraId="576F5AFE" w14:textId="4BF1946D" w:rsidR="00627BB6" w:rsidRPr="001E0A35" w:rsidRDefault="00EA3195" w:rsidP="00627BB6">
      <w:pPr>
        <w:pStyle w:val="NormalWeb"/>
        <w:rPr>
          <w:rFonts w:ascii="Arial" w:hAnsi="Arial" w:cs="Arial"/>
          <w:color w:val="000000"/>
        </w:rPr>
      </w:pPr>
      <w:r>
        <w:rPr>
          <w:rFonts w:ascii="Arial" w:hAnsi="Arial" w:cs="Arial"/>
          <w:color w:val="000000" w:themeColor="text1"/>
        </w:rPr>
        <w:t>According to Poole (2016), t</w:t>
      </w:r>
      <w:r w:rsidR="00287972" w:rsidRPr="001E0A35">
        <w:rPr>
          <w:rFonts w:ascii="Arial" w:hAnsi="Arial" w:cs="Arial"/>
          <w:color w:val="000000" w:themeColor="text1"/>
        </w:rPr>
        <w:t>here are two key presumptions regarding the intent to create legal relations that assist courts in determining if an agreement is intended to be legally binding.</w:t>
      </w:r>
      <w:r w:rsidR="00287972" w:rsidRPr="001E0A35">
        <w:rPr>
          <w:rStyle w:val="apple-converted-space"/>
          <w:rFonts w:ascii="Arial" w:hAnsi="Arial" w:cs="Arial"/>
          <w:i/>
          <w:iCs/>
          <w:color w:val="000000" w:themeColor="text1"/>
        </w:rPr>
        <w:t> </w:t>
      </w:r>
      <w:r w:rsidR="00287972" w:rsidRPr="001E0A35">
        <w:rPr>
          <w:rStyle w:val="Emphasis"/>
          <w:rFonts w:ascii="Arial" w:hAnsi="Arial" w:cs="Arial"/>
          <w:i w:val="0"/>
          <w:iCs w:val="0"/>
          <w:color w:val="000000" w:themeColor="text1"/>
        </w:rPr>
        <w:t>In social and domestic agreements, there is a presumption that no legal relationship will be created. There is a possibility of</w:t>
      </w:r>
      <w:r w:rsidR="00287972" w:rsidRPr="001E0A35">
        <w:rPr>
          <w:rStyle w:val="apple-converted-space"/>
          <w:rFonts w:ascii="Arial" w:hAnsi="Arial" w:cs="Arial"/>
          <w:i/>
          <w:iCs/>
          <w:color w:val="000000" w:themeColor="text1"/>
        </w:rPr>
        <w:t> </w:t>
      </w:r>
      <w:r w:rsidR="00287972" w:rsidRPr="001E0A35">
        <w:rPr>
          <w:rStyle w:val="Emphasis"/>
          <w:rFonts w:ascii="Arial" w:hAnsi="Arial" w:cs="Arial"/>
          <w:i w:val="0"/>
          <w:iCs w:val="0"/>
          <w:color w:val="000000" w:themeColor="text1"/>
        </w:rPr>
        <w:t>rebutt</w:t>
      </w:r>
      <w:r w:rsidR="00C73CE6">
        <w:rPr>
          <w:rStyle w:val="Emphasis"/>
          <w:rFonts w:ascii="Arial" w:hAnsi="Arial" w:cs="Arial"/>
          <w:i w:val="0"/>
          <w:iCs w:val="0"/>
          <w:color w:val="000000" w:themeColor="text1"/>
        </w:rPr>
        <w:t>ing</w:t>
      </w:r>
      <w:r w:rsidR="00287972" w:rsidRPr="001E0A35">
        <w:rPr>
          <w:rStyle w:val="apple-converted-space"/>
          <w:rFonts w:ascii="Arial" w:hAnsi="Arial" w:cs="Arial"/>
          <w:i/>
          <w:iCs/>
          <w:color w:val="000000" w:themeColor="text1"/>
        </w:rPr>
        <w:t> </w:t>
      </w:r>
      <w:r w:rsidR="00287972" w:rsidRPr="001E0A35">
        <w:rPr>
          <w:rStyle w:val="Emphasis"/>
          <w:rFonts w:ascii="Arial" w:hAnsi="Arial" w:cs="Arial"/>
          <w:i w:val="0"/>
          <w:iCs w:val="0"/>
          <w:color w:val="000000" w:themeColor="text1"/>
        </w:rPr>
        <w:t>the presumption with evidence.</w:t>
      </w:r>
      <w:r w:rsidR="00287972" w:rsidRPr="001E0A35">
        <w:rPr>
          <w:rStyle w:val="apple-converted-space"/>
          <w:rFonts w:ascii="Arial" w:hAnsi="Arial" w:cs="Arial"/>
          <w:i/>
          <w:iCs/>
          <w:color w:val="000000" w:themeColor="text1"/>
        </w:rPr>
        <w:t> </w:t>
      </w:r>
      <w:r w:rsidR="00287972" w:rsidRPr="001E0A35">
        <w:rPr>
          <w:rFonts w:ascii="Arial" w:hAnsi="Arial" w:cs="Arial"/>
          <w:color w:val="000000" w:themeColor="text1"/>
        </w:rPr>
        <w:t>If the agreement is relied upon or a married/cohabiting couple is separating,</w:t>
      </w:r>
      <w:r w:rsidR="00C73CE6">
        <w:rPr>
          <w:rFonts w:ascii="Arial" w:hAnsi="Arial" w:cs="Arial"/>
          <w:color w:val="000000" w:themeColor="text1"/>
        </w:rPr>
        <w:t xml:space="preserve"> this may amount to evidence to rebut the presumption</w:t>
      </w:r>
      <w:r w:rsidR="00287972" w:rsidRPr="001E0A35">
        <w:rPr>
          <w:rFonts w:ascii="Arial" w:hAnsi="Arial" w:cs="Arial"/>
          <w:color w:val="000000" w:themeColor="text1"/>
        </w:rPr>
        <w:t xml:space="preserve">. </w:t>
      </w:r>
      <w:r w:rsidR="0032784C">
        <w:rPr>
          <w:rFonts w:ascii="Arial" w:hAnsi="Arial" w:cs="Arial"/>
          <w:color w:val="000000" w:themeColor="text1"/>
        </w:rPr>
        <w:t>Peel (2020) states that i</w:t>
      </w:r>
      <w:r w:rsidR="00287972" w:rsidRPr="001E0A35">
        <w:rPr>
          <w:rFonts w:ascii="Arial" w:hAnsi="Arial" w:cs="Arial"/>
          <w:color w:val="000000" w:themeColor="text1"/>
        </w:rPr>
        <w:t>n gambling situations, where there is evidence, for example, that winnings will be divided, the presumption can be rebutted if the agreement is in writing and/or made in a business context.</w:t>
      </w:r>
      <w:r w:rsidR="00627BB6" w:rsidRPr="001E0A35">
        <w:rPr>
          <w:rFonts w:ascii="Arial" w:hAnsi="Arial" w:cs="Arial"/>
          <w:color w:val="000000" w:themeColor="text1"/>
        </w:rPr>
        <w:t xml:space="preserve"> </w:t>
      </w:r>
      <w:r w:rsidR="00627BB6" w:rsidRPr="001E0A35">
        <w:rPr>
          <w:rFonts w:ascii="Arial" w:hAnsi="Arial" w:cs="Arial"/>
          <w:color w:val="000000"/>
        </w:rPr>
        <w:t>In deciding whether to enforce a contract, courts presume that the parties didn't intend for it to be legally binding.</w:t>
      </w:r>
      <w:r w:rsidR="0029139D">
        <w:rPr>
          <w:rFonts w:ascii="Arial" w:hAnsi="Arial" w:cs="Arial"/>
          <w:color w:val="000000"/>
        </w:rPr>
        <w:t xml:space="preserve"> </w:t>
      </w:r>
      <w:r w:rsidR="002C637F">
        <w:rPr>
          <w:rFonts w:ascii="Arial" w:hAnsi="Arial" w:cs="Arial"/>
          <w:color w:val="000000"/>
        </w:rPr>
        <w:t xml:space="preserve">This was addressed </w:t>
      </w:r>
      <w:r w:rsidR="002C637F" w:rsidRPr="001E0A35">
        <w:rPr>
          <w:rFonts w:ascii="Arial" w:hAnsi="Arial" w:cs="Arial"/>
          <w:color w:val="000000"/>
        </w:rPr>
        <w:t>in both Balfour v. Balfour and Merritt v. Merritt</w:t>
      </w:r>
      <w:r w:rsidR="002C637F">
        <w:rPr>
          <w:rFonts w:ascii="Arial" w:hAnsi="Arial" w:cs="Arial"/>
          <w:color w:val="000000"/>
        </w:rPr>
        <w:t>, regarding their intentions to create legal relations</w:t>
      </w:r>
    </w:p>
    <w:p w14:paraId="7703FDC0" w14:textId="6602AC12" w:rsidR="00287972" w:rsidRPr="001E0A35" w:rsidRDefault="00287972" w:rsidP="00287972">
      <w:pPr>
        <w:pStyle w:val="NormalWeb"/>
        <w:rPr>
          <w:rFonts w:ascii="Arial" w:hAnsi="Arial" w:cs="Arial"/>
          <w:color w:val="000000" w:themeColor="text1"/>
        </w:rPr>
      </w:pPr>
    </w:p>
    <w:p w14:paraId="008F726F" w14:textId="42FC24C1" w:rsidR="00AF635B" w:rsidRPr="001E0A35" w:rsidRDefault="005D5AB1" w:rsidP="00AF635B">
      <w:pPr>
        <w:pStyle w:val="NormalWeb"/>
        <w:rPr>
          <w:rStyle w:val="apple-converted-space"/>
          <w:rFonts w:ascii="Arial" w:hAnsi="Arial" w:cs="Arial"/>
          <w:color w:val="000000" w:themeColor="text1"/>
        </w:rPr>
      </w:pPr>
      <w:r>
        <w:rPr>
          <w:rFonts w:ascii="Arial" w:hAnsi="Arial" w:cs="Arial"/>
          <w:color w:val="000000" w:themeColor="text1"/>
        </w:rPr>
        <w:t>A key case in social and domestic agreements is</w:t>
      </w:r>
      <w:r w:rsidR="00AF635B" w:rsidRPr="001E0A35">
        <w:rPr>
          <w:rFonts w:ascii="Arial" w:hAnsi="Arial" w:cs="Arial"/>
          <w:color w:val="000000" w:themeColor="text1"/>
        </w:rPr>
        <w:t xml:space="preserve"> </w:t>
      </w:r>
      <w:r w:rsidR="00287972" w:rsidRPr="001E0A35">
        <w:rPr>
          <w:rFonts w:ascii="Arial" w:hAnsi="Arial" w:cs="Arial"/>
          <w:color w:val="000000" w:themeColor="text1"/>
        </w:rPr>
        <w:t xml:space="preserve">Balfour v Balfour </w:t>
      </w:r>
      <w:r w:rsidR="00AF635B" w:rsidRPr="001E0A35">
        <w:rPr>
          <w:rFonts w:ascii="Arial" w:hAnsi="Arial" w:cs="Arial"/>
          <w:color w:val="000000" w:themeColor="text1"/>
        </w:rPr>
        <w:t>[1919]</w:t>
      </w:r>
      <w:r>
        <w:rPr>
          <w:rFonts w:ascii="Arial" w:hAnsi="Arial" w:cs="Arial"/>
          <w:color w:val="000000" w:themeColor="text1"/>
        </w:rPr>
        <w:t>.</w:t>
      </w:r>
      <w:r w:rsidR="00AF635B" w:rsidRPr="001E0A35">
        <w:rPr>
          <w:rFonts w:ascii="Arial" w:hAnsi="Arial" w:cs="Arial"/>
          <w:color w:val="000000" w:themeColor="text1"/>
        </w:rPr>
        <w:t xml:space="preserve"> </w:t>
      </w:r>
      <w:r>
        <w:rPr>
          <w:rFonts w:ascii="Arial" w:hAnsi="Arial" w:cs="Arial"/>
          <w:color w:val="000000" w:themeColor="text1"/>
        </w:rPr>
        <w:t>T</w:t>
      </w:r>
      <w:r w:rsidR="00AF635B" w:rsidRPr="001E0A35">
        <w:rPr>
          <w:rFonts w:ascii="Arial" w:hAnsi="Arial" w:cs="Arial"/>
          <w:color w:val="000000" w:themeColor="text1"/>
        </w:rPr>
        <w:t>here was no intent to be</w:t>
      </w:r>
      <w:r w:rsidR="00AF635B" w:rsidRPr="001E0A35">
        <w:rPr>
          <w:rStyle w:val="apple-converted-space"/>
          <w:rFonts w:ascii="Arial" w:hAnsi="Arial" w:cs="Arial"/>
          <w:color w:val="000000" w:themeColor="text1"/>
        </w:rPr>
        <w:t> </w:t>
      </w:r>
      <w:r w:rsidR="00AF635B" w:rsidRPr="001E0A35">
        <w:rPr>
          <w:rStyle w:val="issue-underline"/>
          <w:rFonts w:ascii="Arial" w:hAnsi="Arial" w:cs="Arial"/>
          <w:color w:val="000000" w:themeColor="text1"/>
        </w:rPr>
        <w:t>legally</w:t>
      </w:r>
      <w:r w:rsidR="00AF635B" w:rsidRPr="001E0A35">
        <w:rPr>
          <w:rStyle w:val="apple-converted-space"/>
          <w:rFonts w:ascii="Arial" w:hAnsi="Arial" w:cs="Arial"/>
          <w:color w:val="000000" w:themeColor="text1"/>
        </w:rPr>
        <w:t> </w:t>
      </w:r>
      <w:r w:rsidR="00AF635B" w:rsidRPr="001E0A35">
        <w:rPr>
          <w:rFonts w:ascii="Arial" w:hAnsi="Arial" w:cs="Arial"/>
          <w:color w:val="000000" w:themeColor="text1"/>
        </w:rPr>
        <w:t xml:space="preserve">bound by the agreement since it was a purely domestic </w:t>
      </w:r>
      <w:r w:rsidR="0029139D">
        <w:rPr>
          <w:rFonts w:ascii="Arial" w:hAnsi="Arial" w:cs="Arial"/>
          <w:color w:val="000000" w:themeColor="text1"/>
        </w:rPr>
        <w:t>agreement</w:t>
      </w:r>
      <w:r w:rsidR="00C73CE6">
        <w:rPr>
          <w:rFonts w:ascii="Arial" w:hAnsi="Arial" w:cs="Arial"/>
          <w:color w:val="000000" w:themeColor="text1"/>
        </w:rPr>
        <w:t xml:space="preserve"> between a husband and wife</w:t>
      </w:r>
      <w:r w:rsidR="0029139D">
        <w:rPr>
          <w:rFonts w:ascii="Arial" w:hAnsi="Arial" w:cs="Arial"/>
          <w:color w:val="000000" w:themeColor="text1"/>
        </w:rPr>
        <w:t>.</w:t>
      </w:r>
      <w:r w:rsidR="00AF635B" w:rsidRPr="001E0A35">
        <w:rPr>
          <w:rFonts w:ascii="Arial" w:hAnsi="Arial" w:cs="Arial"/>
          <w:color w:val="000000" w:themeColor="text1"/>
        </w:rPr>
        <w:t xml:space="preserve"> A court must examine what the parties said and wrote considering all the surrounding circumstances. The court must then determine whether it is reasonable to conclude that ordinary people, speaking or writing in these circumstances, would intend to establish a legally binding contract. </w:t>
      </w:r>
      <w:r w:rsidR="00AF635B" w:rsidRPr="001E0A35">
        <w:rPr>
          <w:rFonts w:ascii="Arial" w:hAnsi="Arial" w:cs="Arial"/>
          <w:color w:val="000000"/>
        </w:rPr>
        <w:t xml:space="preserve">According to Atkin LJ, such arrangements were common between spouses. </w:t>
      </w:r>
      <w:r w:rsidR="00C55527">
        <w:rPr>
          <w:rFonts w:ascii="Arial" w:hAnsi="Arial" w:cs="Arial"/>
          <w:color w:val="000000"/>
        </w:rPr>
        <w:t xml:space="preserve">Chen-Wishart (2022) states </w:t>
      </w:r>
      <w:r w:rsidR="00C55527">
        <w:rPr>
          <w:rFonts w:ascii="Arial" w:hAnsi="Arial" w:cs="Arial"/>
          <w:color w:val="000000" w:themeColor="text1"/>
        </w:rPr>
        <w:t>t</w:t>
      </w:r>
      <w:r w:rsidR="00AF635B" w:rsidRPr="001E0A35">
        <w:rPr>
          <w:rFonts w:ascii="Arial" w:hAnsi="Arial" w:cs="Arial"/>
          <w:color w:val="000000" w:themeColor="text1"/>
        </w:rPr>
        <w:t>his is because even if they were legally enforced, such agreements were not intended for legal enforcement. It must be noted, however, that Atkin LJ did not investigate the facts in detail to determine whether this was the intention of the parties. The nature of the relationship between the parties led him to assume there was no intention.</w:t>
      </w:r>
      <w:r w:rsidR="00AF635B" w:rsidRPr="001E0A35">
        <w:rPr>
          <w:rStyle w:val="apple-converted-space"/>
          <w:rFonts w:ascii="Arial" w:hAnsi="Arial" w:cs="Arial"/>
          <w:color w:val="000000" w:themeColor="text1"/>
        </w:rPr>
        <w:t> </w:t>
      </w:r>
    </w:p>
    <w:p w14:paraId="61454884" w14:textId="39FBDC86" w:rsidR="0079230D" w:rsidRPr="001E0A35" w:rsidRDefault="0079230D" w:rsidP="00AF635B">
      <w:pPr>
        <w:pStyle w:val="NormalWeb"/>
        <w:rPr>
          <w:rStyle w:val="apple-converted-space"/>
          <w:rFonts w:ascii="Arial" w:hAnsi="Arial" w:cs="Arial"/>
          <w:color w:val="000000" w:themeColor="text1"/>
        </w:rPr>
      </w:pPr>
    </w:p>
    <w:p w14:paraId="66D696F4" w14:textId="4E24B718" w:rsidR="00524346" w:rsidRPr="001E0A35" w:rsidRDefault="0079230D" w:rsidP="00524346">
      <w:pPr>
        <w:pStyle w:val="NormalWeb"/>
        <w:rPr>
          <w:rStyle w:val="apple-converted-space"/>
          <w:rFonts w:ascii="Arial" w:hAnsi="Arial" w:cs="Arial"/>
          <w:color w:val="000000" w:themeColor="text1"/>
        </w:rPr>
      </w:pPr>
      <w:r w:rsidRPr="001E0A35">
        <w:rPr>
          <w:rStyle w:val="apple-converted-space"/>
          <w:rFonts w:ascii="Arial" w:hAnsi="Arial" w:cs="Arial"/>
          <w:color w:val="000000" w:themeColor="text1"/>
        </w:rPr>
        <w:t>Moreover, the case of Merritt v Merritt</w:t>
      </w:r>
      <w:r w:rsidR="00D10985">
        <w:rPr>
          <w:rStyle w:val="apple-converted-space"/>
          <w:rFonts w:ascii="Arial" w:hAnsi="Arial" w:cs="Arial"/>
          <w:color w:val="000000" w:themeColor="text1"/>
        </w:rPr>
        <w:t xml:space="preserve"> </w:t>
      </w:r>
      <w:r w:rsidR="007B56A9">
        <w:rPr>
          <w:rStyle w:val="apple-converted-space"/>
          <w:rFonts w:ascii="Arial" w:hAnsi="Arial" w:cs="Arial"/>
          <w:color w:val="000000" w:themeColor="text1"/>
        </w:rPr>
        <w:t xml:space="preserve">[1970] </w:t>
      </w:r>
      <w:r w:rsidR="00D10985">
        <w:rPr>
          <w:rStyle w:val="apple-converted-space"/>
          <w:rFonts w:ascii="Arial" w:hAnsi="Arial" w:cs="Arial"/>
          <w:color w:val="000000" w:themeColor="text1"/>
        </w:rPr>
        <w:t>establishes how the pre</w:t>
      </w:r>
      <w:r w:rsidR="007B56A9">
        <w:rPr>
          <w:rStyle w:val="apple-converted-space"/>
          <w:rFonts w:ascii="Arial" w:hAnsi="Arial" w:cs="Arial"/>
          <w:color w:val="000000" w:themeColor="text1"/>
        </w:rPr>
        <w:t>sumption can be rebutted. I</w:t>
      </w:r>
      <w:r w:rsidR="000B2A8E" w:rsidRPr="001E0A35">
        <w:rPr>
          <w:rStyle w:val="apple-converted-space"/>
          <w:rFonts w:ascii="Arial" w:hAnsi="Arial" w:cs="Arial"/>
          <w:color w:val="000000" w:themeColor="text1"/>
        </w:rPr>
        <w:t xml:space="preserve">t was contended that </w:t>
      </w:r>
      <w:r w:rsidR="000B2A8E" w:rsidRPr="001E0A35">
        <w:rPr>
          <w:rFonts w:ascii="Arial" w:hAnsi="Arial" w:cs="Arial"/>
          <w:color w:val="000000" w:themeColor="text1"/>
        </w:rPr>
        <w:t>a</w:t>
      </w:r>
      <w:r w:rsidR="00524346" w:rsidRPr="001E0A35">
        <w:rPr>
          <w:rFonts w:ascii="Arial" w:hAnsi="Arial" w:cs="Arial"/>
          <w:color w:val="000000" w:themeColor="text1"/>
        </w:rPr>
        <w:t xml:space="preserve">s the contract was a domestic arrangement, Mr Merritt stated there was no intent to create legal relations and, therefore, the contract could not be enforced. In addition, he claimed Mrs Merritt </w:t>
      </w:r>
      <w:r w:rsidR="004E30B1">
        <w:rPr>
          <w:rFonts w:ascii="Arial" w:hAnsi="Arial" w:cs="Arial"/>
          <w:color w:val="000000" w:themeColor="text1"/>
        </w:rPr>
        <w:t>was unsuccessful in providing</w:t>
      </w:r>
      <w:r w:rsidR="00524346" w:rsidRPr="001E0A35">
        <w:rPr>
          <w:rFonts w:ascii="Arial" w:hAnsi="Arial" w:cs="Arial"/>
          <w:color w:val="000000" w:themeColor="text1"/>
        </w:rPr>
        <w:t xml:space="preserve"> consideration for his promise and the purported contract was insufficiently certain to be enforceable by the court. Mrs. Merritt claimed that all expenses on the home and the mortgage payments she had paid would amount to consideration, since Mrs. Merritt intended to establish legal relations. Mr Merritt’s claim was </w:t>
      </w:r>
      <w:r w:rsidR="00524346" w:rsidRPr="001E0A35">
        <w:rPr>
          <w:rFonts w:ascii="Arial" w:hAnsi="Arial" w:cs="Arial"/>
          <w:color w:val="000000" w:themeColor="text1"/>
        </w:rPr>
        <w:lastRenderedPageBreak/>
        <w:t>deemed unsuccessful by the courts.</w:t>
      </w:r>
      <w:r w:rsidR="00524346" w:rsidRPr="006A11C2">
        <w:rPr>
          <w:rFonts w:ascii="Arial" w:hAnsi="Arial" w:cs="Arial"/>
          <w:color w:val="000000" w:themeColor="text1"/>
        </w:rPr>
        <w:t xml:space="preserve"> </w:t>
      </w:r>
      <w:r w:rsidR="006A11C2" w:rsidRPr="006A11C2">
        <w:rPr>
          <w:rFonts w:ascii="Arial" w:hAnsi="Arial" w:cs="Arial"/>
        </w:rPr>
        <w:t>Parties in the process of separating or who have already separated are not presumed to intend to arrange legal relations.</w:t>
      </w:r>
      <w:r w:rsidR="006A11C2" w:rsidRPr="006A11C2">
        <w:rPr>
          <w:rStyle w:val="apple-converted-space"/>
          <w:rFonts w:ascii="Arial" w:hAnsi="Arial" w:cs="Arial"/>
          <w:color w:val="000000"/>
          <w:sz w:val="27"/>
          <w:szCs w:val="27"/>
        </w:rPr>
        <w:t> </w:t>
      </w:r>
      <w:r w:rsidR="006A11C2" w:rsidRPr="006A11C2">
        <w:rPr>
          <w:rFonts w:ascii="Arial" w:hAnsi="Arial" w:cs="Arial"/>
        </w:rPr>
        <w:t>A mortgage sum provided sufficient consideration for Mr Merritt's promise, and the agreement appeared enforceable in all material respects.</w:t>
      </w:r>
      <w:r w:rsidR="006A11C2" w:rsidRPr="006A11C2">
        <w:rPr>
          <w:rStyle w:val="apple-converted-space"/>
          <w:rFonts w:ascii="Arial" w:hAnsi="Arial" w:cs="Arial"/>
          <w:color w:val="000000"/>
          <w:sz w:val="27"/>
          <w:szCs w:val="27"/>
        </w:rPr>
        <w:t> </w:t>
      </w:r>
      <w:r w:rsidR="006A11C2" w:rsidRPr="006A11C2">
        <w:rPr>
          <w:rFonts w:ascii="Arial" w:hAnsi="Arial" w:cs="Arial"/>
        </w:rPr>
        <w:t>Mrs Merritt was awarded the entire house by the court after its ruling.</w:t>
      </w:r>
      <w:r w:rsidR="006A11C2" w:rsidRPr="006A11C2">
        <w:rPr>
          <w:rFonts w:ascii="Arial" w:hAnsi="Arial" w:cs="Arial"/>
          <w:color w:val="000000"/>
          <w:sz w:val="27"/>
          <w:szCs w:val="27"/>
        </w:rPr>
        <w:t> </w:t>
      </w:r>
    </w:p>
    <w:p w14:paraId="060F560A" w14:textId="15648198" w:rsidR="00FF0439" w:rsidRPr="001E0A35" w:rsidRDefault="00FF0439" w:rsidP="00DA5AA4">
      <w:pPr>
        <w:pStyle w:val="NormalWeb"/>
        <w:ind w:left="720"/>
        <w:rPr>
          <w:rFonts w:ascii="Arial" w:hAnsi="Arial" w:cs="Arial"/>
          <w:color w:val="000000" w:themeColor="text1"/>
          <w:shd w:val="clear" w:color="auto" w:fill="FFFFFF"/>
        </w:rPr>
      </w:pPr>
    </w:p>
    <w:p w14:paraId="3DBE4261" w14:textId="4E10A129" w:rsidR="00FF4344" w:rsidRPr="001E0A35" w:rsidRDefault="00FF4344" w:rsidP="00FF4344">
      <w:pPr>
        <w:pStyle w:val="NormalWeb"/>
        <w:rPr>
          <w:rFonts w:ascii="Arial" w:hAnsi="Arial" w:cs="Arial"/>
          <w:color w:val="000000"/>
        </w:rPr>
      </w:pPr>
      <w:r w:rsidRPr="001E0A35">
        <w:rPr>
          <w:rFonts w:ascii="Arial" w:hAnsi="Arial" w:cs="Arial"/>
          <w:color w:val="000000"/>
        </w:rPr>
        <w:t>The intention to create legal relations is addressed in both Balfour v. Balfour and Merritt v. Merritt. However, in Merritt v Merritt, it was held that the circumstances were different. This is because the couple in Balfour v Balfour had been married, but in this case, they were separated. In addition, any agreement between divorcees is normally assumed to have legal consequences. Usually, discussions about money between a husband and wife do not aim to create legally binding contracts when they are living together in amity. This is what Lord Atkin said in Balfour v Balfour</w:t>
      </w:r>
      <w:r w:rsidR="00C73CE6">
        <w:rPr>
          <w:rFonts w:ascii="Arial" w:hAnsi="Arial" w:cs="Arial"/>
          <w:color w:val="000000"/>
        </w:rPr>
        <w:t xml:space="preserve"> (cited in </w:t>
      </w:r>
      <w:proofErr w:type="spellStart"/>
      <w:r w:rsidR="00EA3195">
        <w:rPr>
          <w:rStyle w:val="apple-converted-space"/>
          <w:rFonts w:ascii="Arial" w:hAnsi="Arial" w:cs="Arial"/>
          <w:color w:val="000000"/>
        </w:rPr>
        <w:t>Merkin</w:t>
      </w:r>
      <w:proofErr w:type="spellEnd"/>
      <w:r w:rsidR="00EA3195">
        <w:rPr>
          <w:rStyle w:val="apple-converted-space"/>
          <w:rFonts w:ascii="Arial" w:hAnsi="Arial" w:cs="Arial"/>
          <w:color w:val="000000"/>
        </w:rPr>
        <w:t xml:space="preserve"> and </w:t>
      </w:r>
      <w:proofErr w:type="spellStart"/>
      <w:r w:rsidR="00EA3195">
        <w:rPr>
          <w:rStyle w:val="apple-converted-space"/>
          <w:rFonts w:ascii="Arial" w:hAnsi="Arial" w:cs="Arial"/>
          <w:color w:val="000000"/>
        </w:rPr>
        <w:t>Saintier</w:t>
      </w:r>
      <w:proofErr w:type="spellEnd"/>
      <w:r w:rsidR="00C73CE6">
        <w:rPr>
          <w:rStyle w:val="apple-converted-space"/>
          <w:rFonts w:ascii="Arial" w:hAnsi="Arial" w:cs="Arial"/>
          <w:color w:val="000000"/>
        </w:rPr>
        <w:t xml:space="preserve">, </w:t>
      </w:r>
      <w:r w:rsidR="00EA3195">
        <w:rPr>
          <w:rStyle w:val="apple-converted-space"/>
          <w:rFonts w:ascii="Arial" w:hAnsi="Arial" w:cs="Arial"/>
          <w:color w:val="000000"/>
        </w:rPr>
        <w:t>2021</w:t>
      </w:r>
      <w:r w:rsidR="00C73CE6">
        <w:rPr>
          <w:rStyle w:val="apple-converted-space"/>
          <w:rFonts w:ascii="Arial" w:hAnsi="Arial" w:cs="Arial"/>
          <w:color w:val="000000"/>
        </w:rPr>
        <w:t>, p.</w:t>
      </w:r>
      <w:r w:rsidR="008C31D9">
        <w:rPr>
          <w:rStyle w:val="apple-converted-space"/>
          <w:rFonts w:ascii="Arial" w:hAnsi="Arial" w:cs="Arial"/>
          <w:color w:val="000000"/>
        </w:rPr>
        <w:t>126</w:t>
      </w:r>
      <w:r w:rsidR="00EA3195">
        <w:rPr>
          <w:rStyle w:val="apple-converted-space"/>
          <w:rFonts w:ascii="Arial" w:hAnsi="Arial" w:cs="Arial"/>
          <w:color w:val="000000"/>
        </w:rPr>
        <w:t xml:space="preserve">).  </w:t>
      </w:r>
    </w:p>
    <w:p w14:paraId="18F413D1" w14:textId="66A8EB33" w:rsidR="00562DA2" w:rsidRPr="00AA2173" w:rsidRDefault="00562DA2" w:rsidP="00524346">
      <w:pPr>
        <w:pStyle w:val="NormalWeb"/>
        <w:rPr>
          <w:rStyle w:val="apple-converted-space"/>
          <w:rFonts w:ascii="Arial" w:hAnsi="Arial" w:cs="Arial"/>
          <w:color w:val="000000" w:themeColor="text1"/>
        </w:rPr>
      </w:pPr>
    </w:p>
    <w:p w14:paraId="6EE56374" w14:textId="594359A9" w:rsidR="00562DA2" w:rsidRPr="001E0A35" w:rsidRDefault="00AA2173" w:rsidP="00761B13">
      <w:pPr>
        <w:rPr>
          <w:rStyle w:val="apple-converted-space"/>
          <w:rFonts w:ascii="Arial" w:hAnsi="Arial" w:cs="Arial"/>
          <w:color w:val="000000"/>
        </w:rPr>
      </w:pPr>
      <w:r w:rsidRPr="00AA2173">
        <w:rPr>
          <w:rFonts w:ascii="Arial" w:hAnsi="Arial" w:cs="Arial"/>
        </w:rPr>
        <w:t>Jones v Padavatton [1969] is an instructive case about intentions between parents and children.</w:t>
      </w:r>
      <w:r w:rsidR="006A11C2">
        <w:rPr>
          <w:rFonts w:ascii="Arial" w:hAnsi="Arial" w:cs="Arial"/>
          <w:lang w:val="fr-FR"/>
        </w:rPr>
        <w:t xml:space="preserve"> </w:t>
      </w:r>
      <w:r w:rsidR="006A11C2" w:rsidRPr="006A11C2">
        <w:rPr>
          <w:rFonts w:ascii="Arial" w:hAnsi="Arial" w:cs="Arial"/>
        </w:rPr>
        <w:t>There is no intention of creating legal contracts in family arrangements, since they are presumed to be based on mutual trust, family connections, and affection.</w:t>
      </w:r>
      <w:r w:rsidR="00562DA2" w:rsidRPr="001E0A35">
        <w:rPr>
          <w:rStyle w:val="apple-converted-space"/>
          <w:rFonts w:ascii="Arial" w:hAnsi="Arial" w:cs="Arial"/>
          <w:color w:val="000000"/>
        </w:rPr>
        <w:t> </w:t>
      </w:r>
      <w:r w:rsidR="00DD5B4F" w:rsidRPr="001E0A35">
        <w:rPr>
          <w:rStyle w:val="apple-converted-space"/>
          <w:rFonts w:ascii="Arial" w:hAnsi="Arial" w:cs="Arial"/>
          <w:color w:val="000000"/>
        </w:rPr>
        <w:t xml:space="preserve">The courts found that despite the possibility for resumption, the </w:t>
      </w:r>
      <w:r w:rsidR="004E30B1" w:rsidRPr="001E0A35">
        <w:rPr>
          <w:rStyle w:val="apple-converted-space"/>
          <w:rFonts w:ascii="Arial" w:hAnsi="Arial" w:cs="Arial"/>
          <w:color w:val="000000"/>
        </w:rPr>
        <w:t>absence</w:t>
      </w:r>
      <w:r w:rsidR="00DD5B4F" w:rsidRPr="001E0A35">
        <w:rPr>
          <w:rStyle w:val="apple-converted-space"/>
          <w:rFonts w:ascii="Arial" w:hAnsi="Arial" w:cs="Arial"/>
          <w:color w:val="000000"/>
        </w:rPr>
        <w:t xml:space="preserve"> of formality</w:t>
      </w:r>
      <w:r w:rsidR="004E30B1">
        <w:rPr>
          <w:rStyle w:val="apple-converted-space"/>
          <w:rFonts w:ascii="Arial" w:hAnsi="Arial" w:cs="Arial"/>
          <w:color w:val="000000"/>
        </w:rPr>
        <w:t xml:space="preserve"> </w:t>
      </w:r>
      <w:r w:rsidR="00DD5B4F" w:rsidRPr="001E0A35">
        <w:rPr>
          <w:rStyle w:val="apple-converted-space"/>
          <w:rFonts w:ascii="Arial" w:hAnsi="Arial" w:cs="Arial"/>
          <w:color w:val="000000"/>
        </w:rPr>
        <w:t xml:space="preserve">concerning the arrangement between mother and daughter strongly suggests there was no such </w:t>
      </w:r>
      <w:r w:rsidR="004E30B1" w:rsidRPr="001E0A35">
        <w:rPr>
          <w:rStyle w:val="apple-converted-space"/>
          <w:rFonts w:ascii="Arial" w:hAnsi="Arial" w:cs="Arial"/>
          <w:color w:val="000000"/>
        </w:rPr>
        <w:t>intent</w:t>
      </w:r>
      <w:r w:rsidR="00DD5B4F" w:rsidRPr="001E0A35">
        <w:rPr>
          <w:rStyle w:val="apple-converted-space"/>
          <w:rFonts w:ascii="Arial" w:hAnsi="Arial" w:cs="Arial"/>
          <w:color w:val="000000"/>
        </w:rPr>
        <w:t xml:space="preserve">. The courts decided in the mother’s claim for the house, the daughter had no defence. </w:t>
      </w:r>
    </w:p>
    <w:p w14:paraId="59DA33DD" w14:textId="23048FD6" w:rsidR="00E7404D" w:rsidRPr="001E0A35" w:rsidRDefault="00E7404D" w:rsidP="00761B13">
      <w:pPr>
        <w:rPr>
          <w:rStyle w:val="apple-converted-space"/>
          <w:rFonts w:ascii="Arial" w:hAnsi="Arial" w:cs="Arial"/>
          <w:color w:val="000000"/>
        </w:rPr>
      </w:pPr>
    </w:p>
    <w:p w14:paraId="010EC376" w14:textId="2E6D3A9E" w:rsidR="00E7404D" w:rsidRPr="001E0A35" w:rsidRDefault="00E7404D" w:rsidP="00761B13">
      <w:pPr>
        <w:rPr>
          <w:rStyle w:val="apple-converted-space"/>
          <w:rFonts w:ascii="Arial" w:hAnsi="Arial" w:cs="Arial"/>
          <w:color w:val="000000"/>
        </w:rPr>
      </w:pPr>
    </w:p>
    <w:p w14:paraId="4899CB8F" w14:textId="5E9DD8A6" w:rsidR="00E7404D" w:rsidRPr="001E0A35" w:rsidRDefault="00E7404D" w:rsidP="00E7404D">
      <w:pPr>
        <w:pStyle w:val="NormalWeb"/>
        <w:rPr>
          <w:rFonts w:ascii="Arial" w:hAnsi="Arial" w:cs="Arial"/>
          <w:color w:val="000000"/>
        </w:rPr>
      </w:pPr>
      <w:r w:rsidRPr="001E0A35">
        <w:rPr>
          <w:rFonts w:ascii="Arial" w:hAnsi="Arial" w:cs="Arial"/>
          <w:color w:val="000000"/>
          <w:shd w:val="clear" w:color="auto" w:fill="FFFFFF"/>
        </w:rPr>
        <w:t>‌</w:t>
      </w:r>
      <w:r w:rsidR="004C5E6D">
        <w:rPr>
          <w:rFonts w:ascii="Arial" w:hAnsi="Arial" w:cs="Arial"/>
          <w:color w:val="000000"/>
          <w:shd w:val="clear" w:color="auto" w:fill="FFFFFF"/>
        </w:rPr>
        <w:t>Whereas i</w:t>
      </w:r>
      <w:r w:rsidR="00FF4344" w:rsidRPr="001E0A35">
        <w:rPr>
          <w:rFonts w:ascii="Arial" w:hAnsi="Arial" w:cs="Arial"/>
          <w:color w:val="000000"/>
          <w:shd w:val="clear" w:color="auto" w:fill="FFFFFF"/>
        </w:rPr>
        <w:t xml:space="preserve">n </w:t>
      </w:r>
      <w:r w:rsidRPr="001E0A35">
        <w:rPr>
          <w:rFonts w:ascii="Arial" w:hAnsi="Arial" w:cs="Arial"/>
          <w:color w:val="000000"/>
        </w:rPr>
        <w:t>Simpkins v Pays [1955]</w:t>
      </w:r>
      <w:r w:rsidR="00FF4344" w:rsidRPr="001E0A35">
        <w:rPr>
          <w:rFonts w:ascii="Arial" w:hAnsi="Arial" w:cs="Arial"/>
          <w:color w:val="000000"/>
        </w:rPr>
        <w:t xml:space="preserve">, it was highlighted </w:t>
      </w:r>
      <w:r w:rsidR="00AB0EA3" w:rsidRPr="001E0A35">
        <w:rPr>
          <w:rFonts w:ascii="Arial" w:hAnsi="Arial" w:cs="Arial"/>
          <w:color w:val="000000"/>
        </w:rPr>
        <w:t>how</w:t>
      </w:r>
      <w:r w:rsidRPr="001E0A35">
        <w:rPr>
          <w:rFonts w:ascii="Arial" w:hAnsi="Arial" w:cs="Arial"/>
          <w:color w:val="000000"/>
        </w:rPr>
        <w:t xml:space="preserve"> it was questioned whether a legal agreement to distribute the shares was intended by the informal arrangement between the </w:t>
      </w:r>
      <w:r w:rsidR="00AB0EA3" w:rsidRPr="001E0A35">
        <w:rPr>
          <w:rFonts w:ascii="Arial" w:hAnsi="Arial" w:cs="Arial"/>
          <w:color w:val="000000"/>
        </w:rPr>
        <w:t>p</w:t>
      </w:r>
      <w:r w:rsidRPr="001E0A35">
        <w:rPr>
          <w:rFonts w:ascii="Arial" w:hAnsi="Arial" w:cs="Arial"/>
          <w:color w:val="000000"/>
        </w:rPr>
        <w:t>arties</w:t>
      </w:r>
      <w:r w:rsidR="004C5E6D">
        <w:rPr>
          <w:rFonts w:ascii="Arial" w:hAnsi="Arial" w:cs="Arial"/>
          <w:color w:val="000000"/>
        </w:rPr>
        <w:t>, ultimately rebutting the presumption</w:t>
      </w:r>
      <w:r w:rsidRPr="001E0A35">
        <w:rPr>
          <w:rFonts w:ascii="Arial" w:hAnsi="Arial" w:cs="Arial"/>
          <w:color w:val="000000"/>
        </w:rPr>
        <w:t xml:space="preserve">. </w:t>
      </w:r>
      <w:r w:rsidR="00C561BD" w:rsidRPr="00C561BD">
        <w:rPr>
          <w:rFonts w:ascii="Arial" w:hAnsi="Arial" w:cs="Arial"/>
        </w:rPr>
        <w:t>The coupon was not intended as a gesture by Ms. Simpkins despite the domestic circumstances.</w:t>
      </w:r>
      <w:r w:rsidR="00C561BD" w:rsidRPr="00C561BD">
        <w:rPr>
          <w:rFonts w:ascii="Arial" w:hAnsi="Arial" w:cs="Arial"/>
        </w:rPr>
        <w:t xml:space="preserve"> </w:t>
      </w:r>
      <w:proofErr w:type="gramStart"/>
      <w:r w:rsidRPr="001E0A35">
        <w:rPr>
          <w:rFonts w:ascii="Arial" w:hAnsi="Arial" w:cs="Arial"/>
          <w:color w:val="000000"/>
        </w:rPr>
        <w:t>Instead</w:t>
      </w:r>
      <w:proofErr w:type="gramEnd"/>
      <w:r w:rsidRPr="001E0A35">
        <w:rPr>
          <w:rFonts w:ascii="Arial" w:hAnsi="Arial" w:cs="Arial"/>
          <w:color w:val="000000"/>
        </w:rPr>
        <w:t xml:space="preserve">, it was the result of a </w:t>
      </w:r>
      <w:r w:rsidR="004E30B1" w:rsidRPr="001E0A35">
        <w:rPr>
          <w:rFonts w:ascii="Arial" w:hAnsi="Arial" w:cs="Arial"/>
          <w:color w:val="000000"/>
        </w:rPr>
        <w:t>settlement</w:t>
      </w:r>
      <w:r w:rsidRPr="001E0A35">
        <w:rPr>
          <w:rFonts w:ascii="Arial" w:hAnsi="Arial" w:cs="Arial"/>
          <w:color w:val="000000"/>
        </w:rPr>
        <w:t xml:space="preserve"> in which each party </w:t>
      </w:r>
      <w:r w:rsidR="004E30B1" w:rsidRPr="001E0A35">
        <w:rPr>
          <w:rFonts w:ascii="Arial" w:hAnsi="Arial" w:cs="Arial"/>
          <w:color w:val="000000"/>
        </w:rPr>
        <w:t>distributed</w:t>
      </w:r>
      <w:r w:rsidRPr="001E0A35">
        <w:rPr>
          <w:rFonts w:ascii="Arial" w:hAnsi="Arial" w:cs="Arial"/>
          <w:color w:val="000000"/>
        </w:rPr>
        <w:t xml:space="preserve"> in the result, demonstrating an intention to create legal relationships between the parties. No matter how informal the arrangement was, the Court found that it was a legally binding agreement to divide the shares in thirds.</w:t>
      </w:r>
    </w:p>
    <w:p w14:paraId="630492FE" w14:textId="77777777" w:rsidR="002C637F" w:rsidRDefault="002C637F" w:rsidP="00B45751">
      <w:pPr>
        <w:pStyle w:val="NormalWeb"/>
        <w:rPr>
          <w:rFonts w:ascii="Arial" w:hAnsi="Arial" w:cs="Arial"/>
          <w:color w:val="000000"/>
        </w:rPr>
      </w:pPr>
    </w:p>
    <w:p w14:paraId="35E44800" w14:textId="34FCB72E" w:rsidR="00B45751" w:rsidRDefault="002C637F" w:rsidP="00B45751">
      <w:pPr>
        <w:pStyle w:val="NormalWeb"/>
        <w:rPr>
          <w:rStyle w:val="Emphasis"/>
          <w:rFonts w:ascii="Arial" w:hAnsi="Arial" w:cs="Arial"/>
          <w:i w:val="0"/>
          <w:iCs w:val="0"/>
          <w:color w:val="000000"/>
        </w:rPr>
      </w:pPr>
      <w:r>
        <w:rPr>
          <w:rFonts w:ascii="Arial" w:hAnsi="Arial" w:cs="Arial"/>
        </w:rPr>
        <w:t xml:space="preserve">In contrast to agreements made within </w:t>
      </w:r>
      <w:r w:rsidR="008C0CD9">
        <w:rPr>
          <w:rFonts w:ascii="Arial" w:hAnsi="Arial" w:cs="Arial"/>
        </w:rPr>
        <w:t xml:space="preserve">a </w:t>
      </w:r>
      <w:r>
        <w:rPr>
          <w:rFonts w:ascii="Arial" w:hAnsi="Arial" w:cs="Arial"/>
        </w:rPr>
        <w:t xml:space="preserve">social and domestic context, </w:t>
      </w:r>
      <w:r w:rsidR="00B45751" w:rsidRPr="001E0A35">
        <w:rPr>
          <w:rFonts w:ascii="Arial" w:hAnsi="Arial" w:cs="Arial"/>
        </w:rPr>
        <w:t>agreements made within a commercial/business context</w:t>
      </w:r>
      <w:r w:rsidR="00B45751" w:rsidRPr="001E0A35">
        <w:rPr>
          <w:rStyle w:val="Strong"/>
          <w:rFonts w:ascii="Arial" w:hAnsi="Arial" w:cs="Arial"/>
          <w:b w:val="0"/>
          <w:bCs w:val="0"/>
          <w:color w:val="000000"/>
        </w:rPr>
        <w:t xml:space="preserve"> as legally binding agreements are presumed to be made </w:t>
      </w:r>
      <w:r w:rsidR="005D5AB1" w:rsidRPr="001E0A35">
        <w:rPr>
          <w:rStyle w:val="Strong"/>
          <w:rFonts w:ascii="Arial" w:hAnsi="Arial" w:cs="Arial"/>
          <w:b w:val="0"/>
          <w:bCs w:val="0"/>
          <w:color w:val="000000"/>
        </w:rPr>
        <w:t>during</w:t>
      </w:r>
      <w:r w:rsidR="00B45751" w:rsidRPr="001E0A35">
        <w:rPr>
          <w:rStyle w:val="Strong"/>
          <w:rFonts w:ascii="Arial" w:hAnsi="Arial" w:cs="Arial"/>
          <w:b w:val="0"/>
          <w:bCs w:val="0"/>
          <w:color w:val="000000"/>
        </w:rPr>
        <w:t xml:space="preserve"> business</w:t>
      </w:r>
      <w:r>
        <w:rPr>
          <w:rStyle w:val="Strong"/>
          <w:rFonts w:ascii="Arial" w:hAnsi="Arial" w:cs="Arial"/>
          <w:b w:val="0"/>
          <w:bCs w:val="0"/>
          <w:color w:val="000000"/>
        </w:rPr>
        <w:t>.</w:t>
      </w:r>
      <w:r w:rsidR="00B45751" w:rsidRPr="001E0A35">
        <w:rPr>
          <w:rStyle w:val="Strong"/>
          <w:rFonts w:ascii="Arial" w:hAnsi="Arial" w:cs="Arial"/>
          <w:b w:val="0"/>
          <w:bCs w:val="0"/>
          <w:color w:val="000000"/>
        </w:rPr>
        <w:t xml:space="preserve"> Due to the need for certainty in such transactions, it is imperative for a trader to be able to rely on the promises he has been given.</w:t>
      </w:r>
      <w:r w:rsidR="00B45751" w:rsidRPr="001E0A35">
        <w:rPr>
          <w:rStyle w:val="apple-converted-space"/>
          <w:rFonts w:ascii="Arial" w:hAnsi="Arial" w:cs="Arial"/>
          <w:color w:val="000000"/>
        </w:rPr>
        <w:t> </w:t>
      </w:r>
      <w:r w:rsidR="00B45751" w:rsidRPr="001E0A35">
        <w:rPr>
          <w:rStyle w:val="Emphasis"/>
          <w:rFonts w:ascii="Arial" w:hAnsi="Arial" w:cs="Arial"/>
          <w:i w:val="0"/>
          <w:iCs w:val="0"/>
          <w:color w:val="000000"/>
        </w:rPr>
        <w:t xml:space="preserve">There are three factors that can rebut the presumption in commercial contracts: the agreement </w:t>
      </w:r>
      <w:r w:rsidR="00415F9F" w:rsidRPr="001E0A35">
        <w:rPr>
          <w:rStyle w:val="Emphasis"/>
          <w:rFonts w:ascii="Arial" w:hAnsi="Arial" w:cs="Arial"/>
          <w:i w:val="0"/>
          <w:iCs w:val="0"/>
          <w:color w:val="000000"/>
        </w:rPr>
        <w:t xml:space="preserve">that </w:t>
      </w:r>
      <w:r w:rsidR="00B45751" w:rsidRPr="001E0A35">
        <w:rPr>
          <w:rStyle w:val="Emphasis"/>
          <w:rFonts w:ascii="Arial" w:hAnsi="Arial" w:cs="Arial"/>
          <w:i w:val="0"/>
          <w:iCs w:val="0"/>
          <w:color w:val="000000"/>
        </w:rPr>
        <w:t xml:space="preserve">states 'subject to contract,' letters of comfort, and/or honour clauses, and </w:t>
      </w:r>
      <w:r w:rsidR="00415F9F" w:rsidRPr="001E0A35">
        <w:rPr>
          <w:rStyle w:val="Emphasis"/>
          <w:rFonts w:ascii="Arial" w:hAnsi="Arial" w:cs="Arial"/>
          <w:i w:val="0"/>
          <w:iCs w:val="0"/>
          <w:color w:val="000000"/>
        </w:rPr>
        <w:t xml:space="preserve">how </w:t>
      </w:r>
      <w:r w:rsidR="00B45751" w:rsidRPr="001E0A35">
        <w:rPr>
          <w:rStyle w:val="Emphasis"/>
          <w:rFonts w:ascii="Arial" w:hAnsi="Arial" w:cs="Arial"/>
          <w:i w:val="0"/>
          <w:iCs w:val="0"/>
          <w:color w:val="000000"/>
        </w:rPr>
        <w:t>the agreement is a collective bargaining agreement.</w:t>
      </w:r>
      <w:r w:rsidR="00CA2101" w:rsidRPr="001E0A35">
        <w:rPr>
          <w:rStyle w:val="Emphasis"/>
          <w:rFonts w:ascii="Arial" w:hAnsi="Arial" w:cs="Arial"/>
          <w:i w:val="0"/>
          <w:iCs w:val="0"/>
          <w:color w:val="000000"/>
        </w:rPr>
        <w:t xml:space="preserve"> </w:t>
      </w:r>
      <w:r w:rsidR="00C24976">
        <w:rPr>
          <w:rStyle w:val="Emphasis"/>
          <w:rFonts w:ascii="Arial" w:hAnsi="Arial" w:cs="Arial"/>
          <w:i w:val="0"/>
          <w:iCs w:val="0"/>
          <w:color w:val="000000"/>
        </w:rPr>
        <w:t xml:space="preserve">Blackstone’s (2022). </w:t>
      </w:r>
    </w:p>
    <w:p w14:paraId="51387633" w14:textId="7E1B753D" w:rsidR="00660A21" w:rsidRDefault="00660A21" w:rsidP="00B45751">
      <w:pPr>
        <w:pStyle w:val="NormalWeb"/>
        <w:rPr>
          <w:rStyle w:val="Emphasis"/>
          <w:rFonts w:ascii="Arial" w:hAnsi="Arial" w:cs="Arial"/>
          <w:i w:val="0"/>
          <w:iCs w:val="0"/>
          <w:color w:val="000000"/>
        </w:rPr>
      </w:pPr>
    </w:p>
    <w:p w14:paraId="7E6DA8E1" w14:textId="23838025" w:rsidR="00660A21" w:rsidRDefault="00660A21" w:rsidP="00B45751">
      <w:pPr>
        <w:pStyle w:val="NormalWeb"/>
        <w:rPr>
          <w:rStyle w:val="apple-converted-space"/>
          <w:rFonts w:ascii="Arial" w:hAnsi="Arial" w:cs="Arial"/>
          <w:color w:val="000000"/>
        </w:rPr>
      </w:pPr>
      <w:r w:rsidRPr="00660A21">
        <w:rPr>
          <w:rFonts w:ascii="Arial" w:hAnsi="Arial" w:cs="Arial"/>
        </w:rPr>
        <w:lastRenderedPageBreak/>
        <w:t xml:space="preserve">The 'promissory hurdle' must be overcome for a presumption of legal binding to apply in a commercial/business context, and several cases indicate that whether a </w:t>
      </w:r>
      <w:r w:rsidR="004E30B1" w:rsidRPr="00660A21">
        <w:rPr>
          <w:rFonts w:ascii="Arial" w:hAnsi="Arial" w:cs="Arial"/>
        </w:rPr>
        <w:t>specific</w:t>
      </w:r>
      <w:r w:rsidRPr="00660A21">
        <w:rPr>
          <w:rFonts w:ascii="Arial" w:hAnsi="Arial" w:cs="Arial"/>
        </w:rPr>
        <w:t xml:space="preserve"> </w:t>
      </w:r>
      <w:r w:rsidR="004E30B1" w:rsidRPr="00660A21">
        <w:rPr>
          <w:rFonts w:ascii="Arial" w:hAnsi="Arial" w:cs="Arial"/>
        </w:rPr>
        <w:t>advert</w:t>
      </w:r>
      <w:r w:rsidRPr="00660A21">
        <w:rPr>
          <w:rFonts w:ascii="Arial" w:hAnsi="Arial" w:cs="Arial"/>
        </w:rPr>
        <w:t xml:space="preserve"> is promissory and </w:t>
      </w:r>
      <w:r w:rsidR="004E30B1" w:rsidRPr="00660A21">
        <w:rPr>
          <w:rFonts w:ascii="Arial" w:hAnsi="Arial" w:cs="Arial"/>
        </w:rPr>
        <w:t>proposed</w:t>
      </w:r>
      <w:r w:rsidRPr="00660A21">
        <w:rPr>
          <w:rFonts w:ascii="Arial" w:hAnsi="Arial" w:cs="Arial"/>
        </w:rPr>
        <w:t xml:space="preserve"> to have legal </w:t>
      </w:r>
      <w:r w:rsidR="00C561BD" w:rsidRPr="00660A21">
        <w:rPr>
          <w:rFonts w:ascii="Arial" w:hAnsi="Arial" w:cs="Arial"/>
        </w:rPr>
        <w:t>results</w:t>
      </w:r>
      <w:r w:rsidRPr="00660A21">
        <w:rPr>
          <w:rFonts w:ascii="Arial" w:hAnsi="Arial" w:cs="Arial"/>
        </w:rPr>
        <w:t xml:space="preserve"> depends on its particular facts.</w:t>
      </w:r>
      <w:r w:rsidRPr="00660A21">
        <w:rPr>
          <w:rStyle w:val="apple-converted-space"/>
          <w:rFonts w:ascii="Arial" w:hAnsi="Arial" w:cs="Arial"/>
          <w:color w:val="000000"/>
        </w:rPr>
        <w:t> </w:t>
      </w:r>
      <w:r w:rsidRPr="00660A21">
        <w:rPr>
          <w:rFonts w:ascii="Arial" w:hAnsi="Arial" w:cs="Arial"/>
          <w:color w:val="000000"/>
        </w:rPr>
        <w:t>Despite their agreement on the applicable law, judges may disagree on its application to the facts.</w:t>
      </w:r>
      <w:r w:rsidRPr="00660A21">
        <w:rPr>
          <w:rStyle w:val="apple-converted-space"/>
          <w:rFonts w:ascii="Arial" w:hAnsi="Arial" w:cs="Arial"/>
          <w:color w:val="000000"/>
        </w:rPr>
        <w:t> </w:t>
      </w:r>
      <w:r w:rsidRPr="00660A21">
        <w:rPr>
          <w:rFonts w:ascii="Arial" w:hAnsi="Arial" w:cs="Arial"/>
        </w:rPr>
        <w:t>In Esso Petroleum Co Ltd v Commissioners of Customs and Excise [1976], the House of Lords had a similar difference of opinion.</w:t>
      </w:r>
      <w:r w:rsidRPr="00660A21">
        <w:rPr>
          <w:rStyle w:val="apple-converted-space"/>
          <w:rFonts w:ascii="Arial" w:hAnsi="Arial" w:cs="Arial"/>
          <w:color w:val="000000"/>
        </w:rPr>
        <w:t> </w:t>
      </w:r>
      <w:r w:rsidRPr="00660A21">
        <w:rPr>
          <w:rFonts w:ascii="Arial" w:hAnsi="Arial" w:cs="Arial"/>
          <w:color w:val="000000"/>
        </w:rPr>
        <w:t xml:space="preserve">Hirst LJ pointed to the Court of Appeal's decision in </w:t>
      </w:r>
      <w:r w:rsidRPr="001E0A35">
        <w:rPr>
          <w:rFonts w:ascii="Arial" w:hAnsi="Arial" w:cs="Arial"/>
          <w:color w:val="000000" w:themeColor="text1"/>
        </w:rPr>
        <w:t>Kleinwort Benson v Malaysian Mining Corp [1989], which</w:t>
      </w:r>
      <w:r w:rsidRPr="00660A21">
        <w:rPr>
          <w:rFonts w:ascii="Arial" w:hAnsi="Arial" w:cs="Arial"/>
          <w:color w:val="000000"/>
        </w:rPr>
        <w:t xml:space="preserve"> supported this position, as the language used suggested a lack of contractual commitment.</w:t>
      </w:r>
      <w:r w:rsidRPr="00660A21">
        <w:rPr>
          <w:rStyle w:val="apple-converted-space"/>
          <w:rFonts w:ascii="Arial" w:hAnsi="Arial" w:cs="Arial"/>
          <w:color w:val="000000"/>
        </w:rPr>
        <w:t> </w:t>
      </w:r>
      <w:r w:rsidR="00B07AB9">
        <w:rPr>
          <w:rStyle w:val="apple-converted-space"/>
          <w:rFonts w:ascii="Arial" w:hAnsi="Arial" w:cs="Arial"/>
          <w:color w:val="000000"/>
        </w:rPr>
        <w:t xml:space="preserve">Brownsword (2006). </w:t>
      </w:r>
    </w:p>
    <w:p w14:paraId="65131AA7" w14:textId="28F26D2F" w:rsidR="009827EA" w:rsidRDefault="009827EA" w:rsidP="00B45751">
      <w:pPr>
        <w:pStyle w:val="NormalWeb"/>
        <w:rPr>
          <w:rStyle w:val="apple-converted-space"/>
          <w:rFonts w:ascii="Arial" w:hAnsi="Arial" w:cs="Arial"/>
          <w:color w:val="000000"/>
        </w:rPr>
      </w:pPr>
    </w:p>
    <w:p w14:paraId="55EA9005" w14:textId="77777777" w:rsidR="009827EA" w:rsidRPr="001E0A35" w:rsidRDefault="009827EA" w:rsidP="009827EA">
      <w:pPr>
        <w:rPr>
          <w:rFonts w:ascii="Arial" w:hAnsi="Arial" w:cs="Arial"/>
          <w:color w:val="000000"/>
          <w:shd w:val="clear" w:color="auto" w:fill="FFFFFF"/>
        </w:rPr>
      </w:pPr>
      <w:r w:rsidRPr="001E0A35">
        <w:rPr>
          <w:rFonts w:ascii="Arial" w:hAnsi="Arial" w:cs="Arial"/>
          <w:color w:val="000000"/>
          <w:shd w:val="clear" w:color="auto" w:fill="FFFFFF"/>
        </w:rPr>
        <w:t>For example, it was</w:t>
      </w:r>
      <w:r w:rsidRPr="001E0A35">
        <w:rPr>
          <w:rFonts w:ascii="Arial" w:hAnsi="Arial" w:cs="Arial"/>
          <w:color w:val="000000"/>
          <w:bdr w:val="none" w:sz="0" w:space="0" w:color="auto" w:frame="1"/>
        </w:rPr>
        <w:t xml:space="preserve"> held by the Court in </w:t>
      </w:r>
      <w:r w:rsidRPr="001E0A35">
        <w:rPr>
          <w:rFonts w:ascii="Arial" w:hAnsi="Arial" w:cs="Arial"/>
        </w:rPr>
        <w:t xml:space="preserve">Esso v Commissioners of Customs and Excise [1975], </w:t>
      </w:r>
      <w:r w:rsidRPr="001E0A35">
        <w:rPr>
          <w:rFonts w:ascii="Arial" w:hAnsi="Arial" w:cs="Arial"/>
          <w:color w:val="000000"/>
          <w:shd w:val="clear" w:color="auto" w:fill="FFFFFF"/>
        </w:rPr>
        <w:t>that Esso had intended to create a legal obligation to supply the coins. The Court ruled that goods must be transferred for monetary consideration for a contract of sale to be valid. Despite the intention to create a legal obligation, the Court held that the coins were not considered consideration for the transfer. This is because they were transferred under a separate contract for petrol sales. Esso's coin production contract referred to "goods for general sale," not a contract of sale.</w:t>
      </w:r>
      <w:r>
        <w:rPr>
          <w:rFonts w:ascii="Arial" w:hAnsi="Arial" w:cs="Arial"/>
          <w:color w:val="000000"/>
          <w:shd w:val="clear" w:color="auto" w:fill="FFFFFF"/>
        </w:rPr>
        <w:t xml:space="preserve"> </w:t>
      </w:r>
    </w:p>
    <w:p w14:paraId="775368DB" w14:textId="064A5811" w:rsidR="009827EA" w:rsidRDefault="009827EA" w:rsidP="00B45751">
      <w:pPr>
        <w:pStyle w:val="NormalWeb"/>
        <w:rPr>
          <w:rStyle w:val="Emphasis"/>
          <w:rFonts w:ascii="Arial" w:hAnsi="Arial" w:cs="Arial"/>
          <w:i w:val="0"/>
          <w:iCs w:val="0"/>
          <w:color w:val="000000"/>
        </w:rPr>
      </w:pPr>
    </w:p>
    <w:p w14:paraId="30383E22" w14:textId="204C289C" w:rsidR="009827EA" w:rsidRDefault="009827EA" w:rsidP="009827EA">
      <w:pPr>
        <w:rPr>
          <w:rFonts w:ascii="Arial" w:hAnsi="Arial" w:cs="Arial"/>
          <w:color w:val="000000"/>
        </w:rPr>
      </w:pPr>
      <w:r w:rsidRPr="001E0A35">
        <w:rPr>
          <w:rFonts w:ascii="Arial" w:hAnsi="Arial" w:cs="Arial"/>
        </w:rPr>
        <w:t xml:space="preserve">Additionally, Edwards v Skyways [1964] demonstrates how </w:t>
      </w:r>
      <w:r w:rsidRPr="001E0A35">
        <w:rPr>
          <w:rFonts w:ascii="Arial" w:hAnsi="Arial" w:cs="Arial"/>
          <w:color w:val="000000"/>
        </w:rPr>
        <w:t>employee contributions were the subject of the question of whether legal obligations and relations were intended in the agreement between the airplane company and the Association. An agreement reached during a business affair, as opposed than a domestic or social affair, is presumed to be</w:t>
      </w:r>
      <w:r w:rsidRPr="001E0A35">
        <w:rPr>
          <w:rStyle w:val="apple-converted-space"/>
          <w:rFonts w:ascii="Arial" w:hAnsi="Arial" w:cs="Arial"/>
          <w:color w:val="000000"/>
        </w:rPr>
        <w:t> </w:t>
      </w:r>
      <w:r w:rsidRPr="001E0A35">
        <w:rPr>
          <w:rStyle w:val="issue-underline"/>
          <w:rFonts w:ascii="Arial" w:hAnsi="Arial" w:cs="Arial"/>
          <w:color w:val="000000"/>
        </w:rPr>
        <w:t>intended</w:t>
      </w:r>
      <w:r w:rsidRPr="001E0A35">
        <w:rPr>
          <w:rStyle w:val="apple-converted-space"/>
          <w:rFonts w:ascii="Arial" w:hAnsi="Arial" w:cs="Arial"/>
          <w:color w:val="000000"/>
        </w:rPr>
        <w:t> </w:t>
      </w:r>
      <w:r w:rsidRPr="001E0A35">
        <w:rPr>
          <w:rFonts w:ascii="Arial" w:hAnsi="Arial" w:cs="Arial"/>
          <w:color w:val="000000"/>
        </w:rPr>
        <w:t xml:space="preserve">to establish legal relations. As such, it should be incorporated into the parties' legal relations. </w:t>
      </w:r>
      <w:r w:rsidR="00877277">
        <w:rPr>
          <w:rFonts w:ascii="Arial" w:hAnsi="Arial" w:cs="Arial"/>
          <w:color w:val="000000"/>
        </w:rPr>
        <w:t>O’Sullivan (2022) evokes r</w:t>
      </w:r>
      <w:r w:rsidRPr="001E0A35">
        <w:rPr>
          <w:rFonts w:ascii="Arial" w:hAnsi="Arial" w:cs="Arial"/>
          <w:color w:val="000000"/>
        </w:rPr>
        <w:t xml:space="preserve">ebutting this presumption requires the party to show that they </w:t>
      </w:r>
      <w:r w:rsidR="00C561BD" w:rsidRPr="001E0A35">
        <w:rPr>
          <w:rFonts w:ascii="Arial" w:hAnsi="Arial" w:cs="Arial"/>
          <w:color w:val="000000"/>
        </w:rPr>
        <w:t>anticipated</w:t>
      </w:r>
      <w:r w:rsidRPr="001E0A35">
        <w:rPr>
          <w:rFonts w:ascii="Arial" w:hAnsi="Arial" w:cs="Arial"/>
          <w:color w:val="000000"/>
        </w:rPr>
        <w:t xml:space="preserve"> to </w:t>
      </w:r>
      <w:r w:rsidR="00C561BD" w:rsidRPr="001E0A35">
        <w:rPr>
          <w:rFonts w:ascii="Arial" w:hAnsi="Arial" w:cs="Arial"/>
          <w:color w:val="000000"/>
        </w:rPr>
        <w:t>make</w:t>
      </w:r>
      <w:r w:rsidRPr="001E0A35">
        <w:rPr>
          <w:rFonts w:ascii="Arial" w:hAnsi="Arial" w:cs="Arial"/>
          <w:color w:val="000000"/>
        </w:rPr>
        <w:t xml:space="preserve"> a mere 'moral' </w:t>
      </w:r>
      <w:r w:rsidR="00C561BD" w:rsidRPr="001E0A35">
        <w:rPr>
          <w:rFonts w:ascii="Arial" w:hAnsi="Arial" w:cs="Arial"/>
          <w:color w:val="000000"/>
        </w:rPr>
        <w:t>settlement</w:t>
      </w:r>
      <w:r w:rsidRPr="001E0A35">
        <w:rPr>
          <w:rFonts w:ascii="Arial" w:hAnsi="Arial" w:cs="Arial"/>
          <w:color w:val="000000"/>
        </w:rPr>
        <w:t xml:space="preserve"> rather than a legal contract. It does not imply that the company's promise to pay is unenforceable because the words "ex gratia" are used. Therefore, the company agreed, through an agreement with authorized representatives and the payment of consideration, to create a legal obligation.</w:t>
      </w:r>
    </w:p>
    <w:p w14:paraId="6D2143F0" w14:textId="3ADBEADC" w:rsidR="009827EA" w:rsidRDefault="009827EA" w:rsidP="00B45751">
      <w:pPr>
        <w:pStyle w:val="NormalWeb"/>
        <w:rPr>
          <w:rStyle w:val="Emphasis"/>
          <w:rFonts w:ascii="Arial" w:hAnsi="Arial" w:cs="Arial"/>
          <w:i w:val="0"/>
          <w:iCs w:val="0"/>
          <w:color w:val="000000"/>
        </w:rPr>
      </w:pPr>
    </w:p>
    <w:p w14:paraId="6C9E5B69" w14:textId="42D19BF1" w:rsidR="009827EA" w:rsidRDefault="009827EA" w:rsidP="009827EA">
      <w:pPr>
        <w:pStyle w:val="NormalWeb"/>
        <w:rPr>
          <w:rStyle w:val="apple-converted-space"/>
          <w:rFonts w:ascii="Arial" w:hAnsi="Arial" w:cs="Arial"/>
          <w:color w:val="000000"/>
        </w:rPr>
      </w:pPr>
      <w:r w:rsidRPr="001E0A35">
        <w:rPr>
          <w:rFonts w:ascii="Arial" w:hAnsi="Arial" w:cs="Arial"/>
          <w:color w:val="000000"/>
        </w:rPr>
        <w:t xml:space="preserve">According to Rose &amp; Frank v Crompton Bros [1925], the document and </w:t>
      </w:r>
      <w:r w:rsidR="00C561BD" w:rsidRPr="001E0A35">
        <w:rPr>
          <w:rFonts w:ascii="Arial" w:hAnsi="Arial" w:cs="Arial"/>
          <w:color w:val="000000"/>
        </w:rPr>
        <w:t>contexts</w:t>
      </w:r>
      <w:r w:rsidRPr="001E0A35">
        <w:rPr>
          <w:rFonts w:ascii="Arial" w:hAnsi="Arial" w:cs="Arial"/>
          <w:color w:val="000000"/>
        </w:rPr>
        <w:t xml:space="preserve"> did not intend to create any</w:t>
      </w:r>
      <w:r w:rsidRPr="001E0A35">
        <w:rPr>
          <w:rStyle w:val="apple-converted-space"/>
          <w:rFonts w:ascii="Arial" w:hAnsi="Arial" w:cs="Arial"/>
          <w:color w:val="000000"/>
        </w:rPr>
        <w:t> </w:t>
      </w:r>
      <w:r w:rsidRPr="001E0A35">
        <w:rPr>
          <w:rStyle w:val="issue-underline"/>
          <w:rFonts w:ascii="Arial" w:hAnsi="Arial" w:cs="Arial"/>
          <w:color w:val="000000"/>
        </w:rPr>
        <w:t>legal</w:t>
      </w:r>
      <w:r w:rsidRPr="001E0A35">
        <w:rPr>
          <w:rFonts w:ascii="Arial" w:hAnsi="Arial" w:cs="Arial"/>
          <w:color w:val="000000"/>
        </w:rPr>
        <w:t xml:space="preserve"> </w:t>
      </w:r>
      <w:r w:rsidR="00C561BD" w:rsidRPr="001E0A35">
        <w:rPr>
          <w:rFonts w:ascii="Arial" w:hAnsi="Arial" w:cs="Arial"/>
          <w:color w:val="000000"/>
        </w:rPr>
        <w:t>significance</w:t>
      </w:r>
      <w:r w:rsidRPr="001E0A35">
        <w:rPr>
          <w:rFonts w:ascii="Arial" w:hAnsi="Arial" w:cs="Arial"/>
          <w:color w:val="000000"/>
        </w:rPr>
        <w:t>. Therefore, the clause explicitly prohibiting</w:t>
      </w:r>
      <w:r w:rsidRPr="001E0A35">
        <w:rPr>
          <w:rStyle w:val="apple-converted-space"/>
          <w:rFonts w:ascii="Arial" w:hAnsi="Arial" w:cs="Arial"/>
          <w:color w:val="000000"/>
        </w:rPr>
        <w:t> </w:t>
      </w:r>
      <w:r w:rsidRPr="001E0A35">
        <w:rPr>
          <w:rStyle w:val="issue-underline"/>
          <w:rFonts w:ascii="Arial" w:hAnsi="Arial" w:cs="Arial"/>
          <w:color w:val="000000"/>
        </w:rPr>
        <w:t>legal</w:t>
      </w:r>
      <w:r w:rsidRPr="001E0A35">
        <w:rPr>
          <w:rStyle w:val="apple-converted-space"/>
          <w:rFonts w:ascii="Arial" w:hAnsi="Arial" w:cs="Arial"/>
          <w:color w:val="000000"/>
        </w:rPr>
        <w:t> </w:t>
      </w:r>
      <w:r w:rsidRPr="001E0A35">
        <w:rPr>
          <w:rFonts w:ascii="Arial" w:hAnsi="Arial" w:cs="Arial"/>
          <w:color w:val="000000"/>
        </w:rPr>
        <w:t>enforcement is applicable. Additionally, the Court found that the absence of a legal contract did not preclude legal contracts from arising from orders and acceptances. In an agency agreement, a breach of a contractual legal arrangement does not prevent</w:t>
      </w:r>
      <w:r w:rsidRPr="001E0A35">
        <w:rPr>
          <w:rStyle w:val="apple-converted-space"/>
          <w:rFonts w:ascii="Arial" w:hAnsi="Arial" w:cs="Arial"/>
          <w:color w:val="000000"/>
        </w:rPr>
        <w:t> </w:t>
      </w:r>
      <w:r w:rsidRPr="001E0A35">
        <w:rPr>
          <w:rStyle w:val="issue-underline"/>
          <w:rFonts w:ascii="Arial" w:hAnsi="Arial" w:cs="Arial"/>
          <w:color w:val="000000"/>
        </w:rPr>
        <w:t>legal</w:t>
      </w:r>
      <w:r w:rsidRPr="001E0A35">
        <w:rPr>
          <w:rStyle w:val="apple-converted-space"/>
          <w:rFonts w:ascii="Arial" w:hAnsi="Arial" w:cs="Arial"/>
          <w:color w:val="000000"/>
        </w:rPr>
        <w:t> </w:t>
      </w:r>
      <w:r w:rsidRPr="001E0A35">
        <w:rPr>
          <w:rFonts w:ascii="Arial" w:hAnsi="Arial" w:cs="Arial"/>
          <w:color w:val="000000"/>
        </w:rPr>
        <w:t>action</w:t>
      </w:r>
      <w:r w:rsidRPr="00C561BD">
        <w:rPr>
          <w:rFonts w:ascii="Arial" w:hAnsi="Arial" w:cs="Arial"/>
          <w:color w:val="000000"/>
        </w:rPr>
        <w:t xml:space="preserve">. </w:t>
      </w:r>
      <w:r w:rsidR="00C561BD" w:rsidRPr="00C561BD">
        <w:rPr>
          <w:rFonts w:ascii="Arial" w:hAnsi="Arial" w:cs="Arial"/>
        </w:rPr>
        <w:t>Each order represents a mutual offer and agreement with ordinary lawful significance.</w:t>
      </w:r>
      <w:r w:rsidR="00C561BD" w:rsidRPr="00C561BD">
        <w:rPr>
          <w:rStyle w:val="apple-converted-space"/>
          <w:rFonts w:ascii="Arial" w:hAnsi="Arial" w:cs="Arial"/>
          <w:color w:val="000000"/>
          <w:sz w:val="27"/>
          <w:szCs w:val="27"/>
        </w:rPr>
        <w:t> </w:t>
      </w:r>
      <w:r w:rsidR="00C561BD" w:rsidRPr="00C561BD">
        <w:rPr>
          <w:rFonts w:ascii="Arial" w:hAnsi="Arial" w:cs="Arial"/>
        </w:rPr>
        <w:t>Legal transactions are not prevented by agency agreements if there is no enforceable legal understanding.</w:t>
      </w:r>
      <w:r w:rsidR="00C561BD" w:rsidRPr="00C561BD">
        <w:rPr>
          <w:rStyle w:val="apple-converted-space"/>
          <w:rFonts w:ascii="Arial" w:hAnsi="Arial" w:cs="Arial"/>
          <w:color w:val="000000"/>
          <w:sz w:val="27"/>
          <w:szCs w:val="27"/>
        </w:rPr>
        <w:t> </w:t>
      </w:r>
      <w:r w:rsidR="00C561BD" w:rsidRPr="00C561BD">
        <w:rPr>
          <w:rFonts w:ascii="Arial" w:hAnsi="Arial" w:cs="Arial"/>
        </w:rPr>
        <w:t>Using mutual offers and acceptances as a basis for determining legal transactions, the court held that each of the orders was a legal transaction.</w:t>
      </w:r>
      <w:r w:rsidR="00C561BD">
        <w:rPr>
          <w:rFonts w:ascii="-webkit-standard" w:hAnsi="-webkit-standard"/>
          <w:color w:val="000000"/>
          <w:sz w:val="27"/>
          <w:szCs w:val="27"/>
        </w:rPr>
        <w:t> </w:t>
      </w:r>
    </w:p>
    <w:p w14:paraId="21CDBB7C" w14:textId="77777777" w:rsidR="009827EA" w:rsidRPr="00660A21" w:rsidRDefault="009827EA" w:rsidP="00B45751">
      <w:pPr>
        <w:pStyle w:val="NormalWeb"/>
        <w:rPr>
          <w:rStyle w:val="Emphasis"/>
          <w:rFonts w:ascii="Arial" w:hAnsi="Arial" w:cs="Arial"/>
          <w:i w:val="0"/>
          <w:iCs w:val="0"/>
          <w:color w:val="000000"/>
        </w:rPr>
      </w:pPr>
    </w:p>
    <w:p w14:paraId="44DF97E5" w14:textId="50D3013C" w:rsidR="002B75BF" w:rsidRDefault="002B75BF" w:rsidP="00B45751">
      <w:pPr>
        <w:pStyle w:val="NormalWeb"/>
        <w:rPr>
          <w:rStyle w:val="Emphasis"/>
          <w:rFonts w:ascii="Arial" w:hAnsi="Arial" w:cs="Arial"/>
          <w:i w:val="0"/>
          <w:iCs w:val="0"/>
          <w:color w:val="000000"/>
        </w:rPr>
      </w:pPr>
    </w:p>
    <w:p w14:paraId="49E33ADB" w14:textId="5FE53441" w:rsidR="002B75BF" w:rsidRPr="00FE371A" w:rsidRDefault="004C5E6D" w:rsidP="00B45751">
      <w:pPr>
        <w:pStyle w:val="NormalWeb"/>
        <w:rPr>
          <w:rStyle w:val="Emphasis"/>
          <w:rFonts w:ascii="Arial" w:hAnsi="Arial" w:cs="Arial"/>
          <w:i w:val="0"/>
          <w:iCs w:val="0"/>
          <w:color w:val="000000" w:themeColor="text1"/>
        </w:rPr>
      </w:pPr>
      <w:r>
        <w:rPr>
          <w:rFonts w:ascii="Arial" w:hAnsi="Arial" w:cs="Arial"/>
          <w:color w:val="000000" w:themeColor="text1"/>
        </w:rPr>
        <w:lastRenderedPageBreak/>
        <w:t xml:space="preserve">In addition, it was </w:t>
      </w:r>
      <w:r w:rsidR="002B75BF" w:rsidRPr="001E0A35">
        <w:rPr>
          <w:rFonts w:ascii="Arial" w:hAnsi="Arial" w:cs="Arial"/>
          <w:color w:val="000000" w:themeColor="text1"/>
        </w:rPr>
        <w:t>decided in Kleinwort Benson v Malaysian Mining Corp [1989] that</w:t>
      </w:r>
      <w:r>
        <w:rPr>
          <w:rFonts w:ascii="Arial" w:hAnsi="Arial" w:cs="Arial"/>
          <w:color w:val="000000" w:themeColor="text1"/>
        </w:rPr>
        <w:t xml:space="preserve"> the presumption can be rebutted under specific circumstances.</w:t>
      </w:r>
      <w:r w:rsidR="002B75BF" w:rsidRPr="001E0A35">
        <w:rPr>
          <w:rFonts w:ascii="Arial" w:hAnsi="Arial" w:cs="Arial"/>
          <w:color w:val="000000" w:themeColor="text1"/>
        </w:rPr>
        <w:t xml:space="preserve"> </w:t>
      </w:r>
      <w:r>
        <w:rPr>
          <w:rFonts w:ascii="Arial" w:hAnsi="Arial" w:cs="Arial"/>
          <w:color w:val="000000" w:themeColor="text1"/>
        </w:rPr>
        <w:t>T</w:t>
      </w:r>
      <w:r w:rsidR="002B75BF" w:rsidRPr="001E0A35">
        <w:rPr>
          <w:rFonts w:ascii="Arial" w:hAnsi="Arial" w:cs="Arial"/>
          <w:color w:val="000000" w:themeColor="text1"/>
        </w:rPr>
        <w:t>he Court must determine if, within the context of the statement, the parties intended and understood it as a binding legal promise regarding future conduct in the absence of an expressly stated intention to create legal relations regarding the payment.</w:t>
      </w:r>
      <w:r w:rsidR="002B75BF" w:rsidRPr="001E0A35">
        <w:rPr>
          <w:rStyle w:val="apple-converted-space"/>
          <w:rFonts w:ascii="Arial" w:hAnsi="Arial" w:cs="Arial"/>
          <w:color w:val="000000" w:themeColor="text1"/>
        </w:rPr>
        <w:t> </w:t>
      </w:r>
      <w:r w:rsidR="002B75BF" w:rsidRPr="001E0A35">
        <w:rPr>
          <w:rFonts w:ascii="Arial" w:hAnsi="Arial" w:cs="Arial"/>
          <w:color w:val="000000" w:themeColor="text1"/>
        </w:rPr>
        <w:t>The court ruled that the express words used were not contractual promises, but rather, merely a statement of facts regarding the bank's current "policy;" not a</w:t>
      </w:r>
      <w:r w:rsidR="002B75BF" w:rsidRPr="001E0A35">
        <w:rPr>
          <w:rStyle w:val="apple-converted-space"/>
          <w:rFonts w:ascii="Arial" w:hAnsi="Arial" w:cs="Arial"/>
          <w:color w:val="000000" w:themeColor="text1"/>
        </w:rPr>
        <w:t> </w:t>
      </w:r>
      <w:r w:rsidR="002B75BF" w:rsidRPr="001E0A35">
        <w:rPr>
          <w:rFonts w:ascii="Arial" w:hAnsi="Arial" w:cs="Arial"/>
          <w:color w:val="000000" w:themeColor="text1"/>
        </w:rPr>
        <w:t>promise that it</w:t>
      </w:r>
      <w:r w:rsidR="002B75BF" w:rsidRPr="001E0A35">
        <w:rPr>
          <w:rStyle w:val="apple-converted-space"/>
          <w:rFonts w:ascii="Arial" w:hAnsi="Arial" w:cs="Arial"/>
          <w:color w:val="000000" w:themeColor="text1"/>
        </w:rPr>
        <w:t> </w:t>
      </w:r>
      <w:r w:rsidR="002B75BF" w:rsidRPr="001E0A35">
        <w:rPr>
          <w:rFonts w:ascii="Arial" w:hAnsi="Arial" w:cs="Arial"/>
          <w:color w:val="000000" w:themeColor="text1"/>
        </w:rPr>
        <w:t>will remain so for the foreseeable future.</w:t>
      </w:r>
      <w:r w:rsidR="002B75BF" w:rsidRPr="001E0A35">
        <w:rPr>
          <w:rStyle w:val="apple-converted-space"/>
          <w:rFonts w:ascii="Arial" w:hAnsi="Arial" w:cs="Arial"/>
          <w:color w:val="000000" w:themeColor="text1"/>
        </w:rPr>
        <w:t> </w:t>
      </w:r>
      <w:r w:rsidR="002B75BF" w:rsidRPr="001E0A35">
        <w:rPr>
          <w:rFonts w:ascii="Arial" w:hAnsi="Arial" w:cs="Arial"/>
          <w:color w:val="000000" w:themeColor="text1"/>
        </w:rPr>
        <w:t>There was no legal promise or effect to the words, and they spoke merely of comfort and moral responsibility.</w:t>
      </w:r>
    </w:p>
    <w:p w14:paraId="048B5CA9" w14:textId="5FB3DD63" w:rsidR="002F150A" w:rsidRDefault="002F150A" w:rsidP="002F150A">
      <w:pPr>
        <w:pStyle w:val="NormalWeb"/>
        <w:rPr>
          <w:rStyle w:val="apple-converted-space"/>
          <w:rFonts w:ascii="Arial" w:hAnsi="Arial" w:cs="Arial"/>
          <w:color w:val="000000"/>
        </w:rPr>
      </w:pPr>
    </w:p>
    <w:p w14:paraId="37532E80" w14:textId="0CE144CE" w:rsidR="002F150A" w:rsidRPr="009500CB" w:rsidRDefault="009500CB" w:rsidP="002F150A">
      <w:pPr>
        <w:pStyle w:val="NormalWeb"/>
        <w:rPr>
          <w:rStyle w:val="apple-converted-space"/>
          <w:rFonts w:ascii="Arial" w:hAnsi="Arial" w:cs="Arial"/>
          <w:color w:val="000000" w:themeColor="text1"/>
        </w:rPr>
      </w:pPr>
      <w:r w:rsidRPr="009500CB">
        <w:rPr>
          <w:rFonts w:ascii="Arial" w:hAnsi="Arial" w:cs="Arial"/>
          <w:color w:val="000000" w:themeColor="text1"/>
        </w:rPr>
        <w:t>There seems to be little difference in the approach to intention taken in Rose &amp; Frank v Crompton Bros [1925] and Kleinwort Benson Ltd v Malaysia Mining Corporation [1989].</w:t>
      </w:r>
      <w:r w:rsidRPr="009500CB">
        <w:rPr>
          <w:rStyle w:val="apple-converted-space"/>
          <w:rFonts w:ascii="Arial" w:hAnsi="Arial" w:cs="Arial"/>
          <w:color w:val="000000" w:themeColor="text1"/>
          <w:sz w:val="27"/>
          <w:szCs w:val="27"/>
        </w:rPr>
        <w:t> </w:t>
      </w:r>
      <w:r w:rsidRPr="009500CB">
        <w:rPr>
          <w:rFonts w:ascii="Arial" w:hAnsi="Arial" w:cs="Arial"/>
          <w:color w:val="000000" w:themeColor="text1"/>
        </w:rPr>
        <w:t>Nevertheless, Kleinwort Benson's Court of Appeal found that, even though it seemed to have no practical significance in the case's outcome, the onus was on the claimants to show that the letter of comfort should be considered a contractual promise when it based on just the construction of the words used.</w:t>
      </w:r>
      <w:r w:rsidRPr="009500CB">
        <w:rPr>
          <w:rStyle w:val="apple-converted-space"/>
          <w:rFonts w:ascii="Arial" w:hAnsi="Arial" w:cs="Arial"/>
          <w:color w:val="000000" w:themeColor="text1"/>
          <w:sz w:val="27"/>
          <w:szCs w:val="27"/>
        </w:rPr>
        <w:t> </w:t>
      </w:r>
      <w:r w:rsidRPr="009500CB">
        <w:rPr>
          <w:rFonts w:ascii="Arial" w:hAnsi="Arial" w:cs="Arial"/>
          <w:color w:val="000000" w:themeColor="text1"/>
        </w:rPr>
        <w:t>A party seeking to show that the contract is unenforceable has the burden of rebutting the presumption that the promise is clear for a commercial contract.</w:t>
      </w:r>
      <w:r w:rsidR="00B07AB9">
        <w:rPr>
          <w:rFonts w:ascii="Arial" w:hAnsi="Arial" w:cs="Arial"/>
          <w:color w:val="000000" w:themeColor="text1"/>
        </w:rPr>
        <w:t xml:space="preserve"> McKendrick (2021). </w:t>
      </w:r>
    </w:p>
    <w:p w14:paraId="6226EC23" w14:textId="77777777" w:rsidR="00DD510F" w:rsidRPr="001E0A35" w:rsidRDefault="00DD510F" w:rsidP="000A6F52">
      <w:pPr>
        <w:rPr>
          <w:rFonts w:ascii="Arial" w:hAnsi="Arial" w:cs="Arial"/>
          <w:color w:val="FF0000"/>
          <w:shd w:val="clear" w:color="auto" w:fill="FFFFFF"/>
        </w:rPr>
      </w:pPr>
    </w:p>
    <w:p w14:paraId="389EE45E" w14:textId="42ABB9B9" w:rsidR="00595753" w:rsidRDefault="00595753" w:rsidP="00CC1B12">
      <w:pPr>
        <w:rPr>
          <w:rFonts w:ascii="Arial" w:hAnsi="Arial" w:cs="Arial"/>
          <w:color w:val="000000"/>
        </w:rPr>
      </w:pPr>
    </w:p>
    <w:p w14:paraId="5100C44D" w14:textId="77777777" w:rsidR="00595753" w:rsidRDefault="00595753" w:rsidP="00CC1B12">
      <w:pPr>
        <w:rPr>
          <w:rFonts w:ascii="Arial" w:hAnsi="Arial" w:cs="Arial"/>
          <w:color w:val="000000"/>
        </w:rPr>
      </w:pPr>
    </w:p>
    <w:p w14:paraId="5459F259" w14:textId="77777777" w:rsidR="009500CB" w:rsidRPr="001E0A35" w:rsidRDefault="009500CB" w:rsidP="00CC1B12">
      <w:pPr>
        <w:rPr>
          <w:rFonts w:ascii="Arial" w:hAnsi="Arial" w:cs="Arial"/>
          <w:color w:val="000000"/>
        </w:rPr>
      </w:pPr>
    </w:p>
    <w:p w14:paraId="55896EE2" w14:textId="0B6BCBA8" w:rsidR="00096F14" w:rsidRPr="00595753" w:rsidRDefault="00595753" w:rsidP="00CC1B12">
      <w:pPr>
        <w:rPr>
          <w:rFonts w:ascii="Arial" w:hAnsi="Arial" w:cs="Arial"/>
          <w:color w:val="000000"/>
        </w:rPr>
      </w:pPr>
      <w:r w:rsidRPr="00595753">
        <w:rPr>
          <w:rFonts w:ascii="Arial" w:hAnsi="Arial" w:cs="Arial"/>
        </w:rPr>
        <w:t>As part of the Trade Unions and Labour Relations (Consolidation) Act 1992, trade unions are defined and governed in terms of collective bargaining and industrial action.</w:t>
      </w:r>
      <w:r w:rsidRPr="00595753">
        <w:rPr>
          <w:rStyle w:val="apple-converted-space"/>
          <w:rFonts w:ascii="Arial" w:hAnsi="Arial" w:cs="Arial"/>
          <w:color w:val="000000"/>
        </w:rPr>
        <w:t> </w:t>
      </w:r>
      <w:r w:rsidRPr="00595753">
        <w:rPr>
          <w:rFonts w:ascii="Arial" w:hAnsi="Arial" w:cs="Arial"/>
          <w:color w:val="000000"/>
        </w:rPr>
        <w:t>This is an example of a statutory exception</w:t>
      </w:r>
      <w:r w:rsidRPr="00595753">
        <w:rPr>
          <w:rStyle w:val="apple-converted-space"/>
          <w:rFonts w:ascii="Arial" w:hAnsi="Arial" w:cs="Arial"/>
          <w:color w:val="000000"/>
        </w:rPr>
        <w:t> </w:t>
      </w:r>
      <w:r w:rsidRPr="00595753">
        <w:rPr>
          <w:rFonts w:ascii="Arial" w:hAnsi="Arial" w:cs="Arial"/>
        </w:rPr>
        <w:t>making</w:t>
      </w:r>
      <w:r w:rsidRPr="00595753">
        <w:rPr>
          <w:rStyle w:val="apple-converted-space"/>
          <w:rFonts w:ascii="Arial" w:hAnsi="Arial" w:cs="Arial"/>
          <w:color w:val="000000"/>
        </w:rPr>
        <w:t> </w:t>
      </w:r>
      <w:r w:rsidRPr="00595753">
        <w:rPr>
          <w:rFonts w:ascii="Arial" w:hAnsi="Arial" w:cs="Arial"/>
          <w:color w:val="000000"/>
        </w:rPr>
        <w:t>an agreement not legally binding in certain circumstances. As a result, it can be concluded that the contract could also be legally</w:t>
      </w:r>
      <w:r w:rsidRPr="00595753">
        <w:rPr>
          <w:rStyle w:val="apple-converted-space"/>
          <w:rFonts w:ascii="Arial" w:hAnsi="Arial" w:cs="Arial"/>
          <w:color w:val="000000"/>
        </w:rPr>
        <w:t> </w:t>
      </w:r>
      <w:r w:rsidRPr="00595753">
        <w:rPr>
          <w:rFonts w:ascii="Arial" w:hAnsi="Arial" w:cs="Arial"/>
        </w:rPr>
        <w:t>binding.</w:t>
      </w:r>
      <w:r w:rsidRPr="00595753">
        <w:rPr>
          <w:rFonts w:ascii="Arial" w:hAnsi="Arial" w:cs="Arial"/>
          <w:color w:val="000000"/>
        </w:rPr>
        <w:t> </w:t>
      </w:r>
      <w:r w:rsidR="00C561BD" w:rsidRPr="00C561BD">
        <w:rPr>
          <w:rFonts w:ascii="Arial" w:hAnsi="Arial" w:cs="Arial"/>
        </w:rPr>
        <w:t>A collective agreement shall be conclusively presumed not to be intended to be an enforceable contract without a written agreement and a provision affirming that the parties wish it to be enforced.</w:t>
      </w:r>
      <w:r w:rsidR="00C561BD" w:rsidRPr="00C561BD">
        <w:rPr>
          <w:rFonts w:ascii="Arial" w:hAnsi="Arial" w:cs="Arial"/>
          <w:color w:val="000000"/>
          <w:sz w:val="27"/>
          <w:szCs w:val="27"/>
        </w:rPr>
        <w:t> </w:t>
      </w:r>
      <w:r w:rsidR="00C561BD" w:rsidRPr="00C561BD">
        <w:rPr>
          <w:rFonts w:ascii="Arial" w:hAnsi="Arial" w:cs="Arial"/>
        </w:rPr>
        <w:t>To establish the legal enforceability of a collective agreement, those conditions must be satisfied.</w:t>
      </w:r>
    </w:p>
    <w:p w14:paraId="07DECE94" w14:textId="77777777" w:rsidR="00595753" w:rsidRDefault="00595753" w:rsidP="00257304">
      <w:pPr>
        <w:rPr>
          <w:rFonts w:ascii="Arial" w:hAnsi="Arial" w:cs="Arial"/>
        </w:rPr>
      </w:pPr>
    </w:p>
    <w:p w14:paraId="7FC392FF" w14:textId="25778C80" w:rsidR="00595753" w:rsidRDefault="00595753" w:rsidP="00257304">
      <w:pPr>
        <w:rPr>
          <w:rFonts w:ascii="Arial" w:hAnsi="Arial" w:cs="Arial"/>
        </w:rPr>
      </w:pPr>
    </w:p>
    <w:p w14:paraId="7655CBC2" w14:textId="5476D9B2" w:rsidR="00595753" w:rsidRDefault="00595753" w:rsidP="00257304">
      <w:pPr>
        <w:rPr>
          <w:rFonts w:ascii="Arial" w:hAnsi="Arial" w:cs="Arial"/>
        </w:rPr>
      </w:pPr>
    </w:p>
    <w:p w14:paraId="6E8A6431" w14:textId="77777777" w:rsidR="00595753" w:rsidRDefault="00595753" w:rsidP="00257304">
      <w:pPr>
        <w:rPr>
          <w:rFonts w:ascii="Arial" w:hAnsi="Arial" w:cs="Arial"/>
        </w:rPr>
      </w:pPr>
    </w:p>
    <w:p w14:paraId="62A9857B" w14:textId="09A7A723" w:rsidR="00CC0287" w:rsidRDefault="00CC0287" w:rsidP="00257304">
      <w:pPr>
        <w:rPr>
          <w:rFonts w:ascii="Arial" w:hAnsi="Arial" w:cs="Arial"/>
        </w:rPr>
      </w:pPr>
      <w:r w:rsidRPr="001E0A35">
        <w:rPr>
          <w:rFonts w:ascii="Arial" w:hAnsi="Arial" w:cs="Arial"/>
        </w:rPr>
        <w:t xml:space="preserve">As a result of the clear intent of creating legal relations, the Court determined </w:t>
      </w:r>
      <w:r w:rsidR="00257304" w:rsidRPr="001E0A35">
        <w:rPr>
          <w:rFonts w:ascii="Arial" w:hAnsi="Arial" w:cs="Arial"/>
        </w:rPr>
        <w:t xml:space="preserve">in ERDC Group Ltd v Brunel University [2006], </w:t>
      </w:r>
      <w:r w:rsidRPr="001E0A35">
        <w:rPr>
          <w:rFonts w:ascii="Arial" w:hAnsi="Arial" w:cs="Arial"/>
        </w:rPr>
        <w:t>that the work completed because of the letters of contract prior to the expiration of the last contract on 1 September 2002 should be regarded and valued as if it had been done under the contract contemplated by the last letter.</w:t>
      </w:r>
      <w:r w:rsidRPr="001E0A35">
        <w:rPr>
          <w:rStyle w:val="apple-converted-space"/>
          <w:rFonts w:ascii="Arial" w:hAnsi="Arial" w:cs="Arial"/>
          <w:color w:val="000000"/>
        </w:rPr>
        <w:t> </w:t>
      </w:r>
      <w:r w:rsidRPr="001E0A35">
        <w:rPr>
          <w:rFonts w:ascii="Arial" w:hAnsi="Arial" w:cs="Arial"/>
        </w:rPr>
        <w:t>A quantum merit assessment must take all the factors into consideration, and there are no hard and fast rules.</w:t>
      </w:r>
      <w:r w:rsidRPr="001E0A35">
        <w:rPr>
          <w:rStyle w:val="apple-converted-space"/>
          <w:rFonts w:ascii="Arial" w:hAnsi="Arial" w:cs="Arial"/>
          <w:color w:val="000000"/>
        </w:rPr>
        <w:t> </w:t>
      </w:r>
      <w:r w:rsidRPr="001E0A35">
        <w:rPr>
          <w:rFonts w:ascii="Arial" w:hAnsi="Arial" w:cs="Arial"/>
        </w:rPr>
        <w:t>It was considered incorrect that a switch from an assessment based on the claimant's rates to one solely based on its costs was made in this case, which was unusual because it shifted from a contractual to a noncontractual basis.</w:t>
      </w:r>
    </w:p>
    <w:p w14:paraId="7DBFC25D" w14:textId="7287E40A" w:rsidR="00BF53FD" w:rsidRDefault="00BF53FD" w:rsidP="00257304">
      <w:pPr>
        <w:rPr>
          <w:rFonts w:ascii="Arial" w:hAnsi="Arial" w:cs="Arial"/>
        </w:rPr>
      </w:pPr>
    </w:p>
    <w:p w14:paraId="62443616" w14:textId="77777777" w:rsidR="009500CB" w:rsidRDefault="009500CB" w:rsidP="00257304">
      <w:pPr>
        <w:rPr>
          <w:rFonts w:ascii="Arial" w:hAnsi="Arial" w:cs="Arial"/>
        </w:rPr>
      </w:pPr>
    </w:p>
    <w:p w14:paraId="36F55A97" w14:textId="03857F4C" w:rsidR="00DC1AE5" w:rsidRPr="00172F63" w:rsidRDefault="00062B82" w:rsidP="00257304">
      <w:pPr>
        <w:rPr>
          <w:rFonts w:ascii="Arial" w:hAnsi="Arial" w:cs="Arial"/>
          <w:color w:val="000000"/>
        </w:rPr>
      </w:pPr>
      <w:r w:rsidRPr="00B07AB9">
        <w:rPr>
          <w:rFonts w:ascii="Arial" w:hAnsi="Arial" w:cs="Arial"/>
        </w:rPr>
        <w:t>Additionally, a</w:t>
      </w:r>
      <w:r w:rsidR="00BF53FD" w:rsidRPr="00B07AB9">
        <w:rPr>
          <w:rFonts w:ascii="Arial" w:hAnsi="Arial" w:cs="Arial"/>
        </w:rPr>
        <w:t xml:space="preserve"> court may find that there was no intent to create legal relations when it comes to contracts made with public bodies or those affecting the </w:t>
      </w:r>
      <w:r w:rsidR="00BD39E1" w:rsidRPr="00B07AB9">
        <w:rPr>
          <w:rFonts w:ascii="Arial" w:hAnsi="Arial" w:cs="Arial"/>
        </w:rPr>
        <w:t>public</w:t>
      </w:r>
      <w:r w:rsidR="00BF53FD" w:rsidRPr="00B07AB9">
        <w:rPr>
          <w:rFonts w:ascii="Arial" w:hAnsi="Arial" w:cs="Arial"/>
        </w:rPr>
        <w:t xml:space="preserve"> </w:t>
      </w:r>
      <w:r w:rsidR="00BF53FD" w:rsidRPr="00B07AB9">
        <w:rPr>
          <w:rFonts w:ascii="Arial" w:hAnsi="Arial" w:cs="Arial"/>
        </w:rPr>
        <w:lastRenderedPageBreak/>
        <w:t>interest.</w:t>
      </w:r>
      <w:r w:rsidR="00BF53FD" w:rsidRPr="00B07AB9">
        <w:rPr>
          <w:rStyle w:val="apple-converted-space"/>
          <w:rFonts w:ascii="Arial" w:hAnsi="Arial" w:cs="Arial"/>
          <w:color w:val="000000"/>
        </w:rPr>
        <w:t> </w:t>
      </w:r>
      <w:r w:rsidR="00BF53FD" w:rsidRPr="00B07AB9">
        <w:rPr>
          <w:rFonts w:ascii="Arial" w:hAnsi="Arial" w:cs="Arial"/>
        </w:rPr>
        <w:t>Even though a contract appears to be enforceable, a court (owing to public policy) may refuse to establish a contractual relationship.</w:t>
      </w:r>
      <w:r w:rsidR="00BF53FD" w:rsidRPr="00B07AB9">
        <w:rPr>
          <w:rStyle w:val="apple-converted-space"/>
          <w:rFonts w:ascii="Arial" w:hAnsi="Arial" w:cs="Arial"/>
          <w:color w:val="000000"/>
        </w:rPr>
        <w:t> </w:t>
      </w:r>
      <w:r w:rsidR="00BF53FD" w:rsidRPr="00B07AB9">
        <w:rPr>
          <w:rFonts w:ascii="Arial" w:hAnsi="Arial" w:cs="Arial"/>
        </w:rPr>
        <w:t>There are several ways in which this can occur, such as incurring unwarranted public costs, preventing Parliament from fulfilling its mandate, and harming the operations of the government</w:t>
      </w:r>
      <w:r w:rsidR="00BF53FD" w:rsidRPr="00B07AB9">
        <w:rPr>
          <w:rFonts w:ascii="Arial" w:hAnsi="Arial" w:cs="Arial"/>
          <w:color w:val="000000"/>
        </w:rPr>
        <w:t> </w:t>
      </w:r>
      <w:r w:rsidR="00172F63">
        <w:rPr>
          <w:rFonts w:ascii="Arial" w:hAnsi="Arial" w:cs="Arial"/>
          <w:color w:val="000000"/>
        </w:rPr>
        <w:t>(</w:t>
      </w:r>
      <w:r w:rsidR="00B07AB9" w:rsidRPr="00B07AB9">
        <w:rPr>
          <w:rFonts w:ascii="Arial" w:hAnsi="Arial" w:cs="Arial"/>
          <w:color w:val="000000"/>
        </w:rPr>
        <w:t>Richards</w:t>
      </w:r>
      <w:r w:rsidR="00172F63">
        <w:rPr>
          <w:rFonts w:ascii="Arial" w:hAnsi="Arial" w:cs="Arial"/>
          <w:color w:val="000000"/>
        </w:rPr>
        <w:t xml:space="preserve">, </w:t>
      </w:r>
      <w:r w:rsidR="00B07AB9" w:rsidRPr="00B07AB9">
        <w:rPr>
          <w:rFonts w:ascii="Arial" w:hAnsi="Arial" w:cs="Arial"/>
          <w:color w:val="000000"/>
        </w:rPr>
        <w:t xml:space="preserve">2019). </w:t>
      </w:r>
      <w:proofErr w:type="spellStart"/>
      <w:r w:rsidR="001F7C24" w:rsidRPr="001F7C24">
        <w:rPr>
          <w:rFonts w:ascii="Arial" w:hAnsi="Arial" w:cs="Arial"/>
        </w:rPr>
        <w:t>Triefus</w:t>
      </w:r>
      <w:proofErr w:type="spellEnd"/>
      <w:r w:rsidR="001F7C24" w:rsidRPr="001F7C24">
        <w:rPr>
          <w:rFonts w:ascii="Arial" w:hAnsi="Arial" w:cs="Arial"/>
        </w:rPr>
        <w:t xml:space="preserve"> v Post Office [1957] involved damages after two mail packets were lost by the defendant.</w:t>
      </w:r>
      <w:r w:rsidR="001F7C24" w:rsidRPr="001F7C24">
        <w:rPr>
          <w:rFonts w:ascii="Arial" w:hAnsi="Arial" w:cs="Arial"/>
          <w:color w:val="000000"/>
          <w:sz w:val="27"/>
          <w:szCs w:val="27"/>
        </w:rPr>
        <w:t> </w:t>
      </w:r>
      <w:r w:rsidR="001F7C24" w:rsidRPr="001F7C24">
        <w:rPr>
          <w:rFonts w:ascii="Arial" w:hAnsi="Arial" w:cs="Arial"/>
        </w:rPr>
        <w:t>In this case, the Post Office's acceptance of a postal packet for transmission to the addressee does not confer any contractual rights on the addressee.</w:t>
      </w:r>
      <w:r w:rsidR="001F7C24" w:rsidRPr="001F7C24">
        <w:rPr>
          <w:rStyle w:val="apple-converted-space"/>
          <w:rFonts w:ascii="Arial" w:hAnsi="Arial" w:cs="Arial"/>
          <w:color w:val="000000"/>
          <w:sz w:val="27"/>
          <w:szCs w:val="27"/>
        </w:rPr>
        <w:t> </w:t>
      </w:r>
      <w:r w:rsidR="001F7C24" w:rsidRPr="001F7C24">
        <w:rPr>
          <w:rFonts w:ascii="Arial" w:hAnsi="Arial" w:cs="Arial"/>
        </w:rPr>
        <w:t>An analysis of the history of legislation on mail delivery was conducted by the court.</w:t>
      </w:r>
      <w:r w:rsidR="001F7C24" w:rsidRPr="001F7C24">
        <w:rPr>
          <w:rStyle w:val="apple-converted-space"/>
          <w:rFonts w:ascii="Arial" w:hAnsi="Arial" w:cs="Arial"/>
          <w:color w:val="000000"/>
          <w:sz w:val="27"/>
          <w:szCs w:val="27"/>
        </w:rPr>
        <w:t> </w:t>
      </w:r>
      <w:r w:rsidR="001F7C24" w:rsidRPr="001F7C24">
        <w:rPr>
          <w:rFonts w:ascii="Arial" w:hAnsi="Arial" w:cs="Arial"/>
        </w:rPr>
        <w:t>Liability for the defendant was limited to two hundred twenty-eight pounds per packet.</w:t>
      </w:r>
      <w:r w:rsidR="00172F63">
        <w:rPr>
          <w:rFonts w:ascii="Arial" w:hAnsi="Arial" w:cs="Arial"/>
        </w:rPr>
        <w:t xml:space="preserve"> </w:t>
      </w:r>
      <w:r w:rsidR="00DC1AE5" w:rsidRPr="00DC1AE5">
        <w:rPr>
          <w:rFonts w:ascii="Arial" w:hAnsi="Arial" w:cs="Arial"/>
        </w:rPr>
        <w:t>The rewards offered by customs in Robinson v HM Customs &amp; Excise [2000] were clearly not certain, and there was no intent to establish a contractual or legal relationship.</w:t>
      </w:r>
      <w:r w:rsidR="00DC1AE5" w:rsidRPr="00DC1AE5">
        <w:rPr>
          <w:rStyle w:val="apple-converted-space"/>
          <w:rFonts w:ascii="Arial" w:hAnsi="Arial" w:cs="Arial"/>
          <w:color w:val="000000"/>
          <w:sz w:val="27"/>
          <w:szCs w:val="27"/>
        </w:rPr>
        <w:t> </w:t>
      </w:r>
      <w:r w:rsidR="00DC1AE5" w:rsidRPr="00DC1AE5">
        <w:rPr>
          <w:rFonts w:ascii="Arial" w:hAnsi="Arial" w:cs="Arial"/>
        </w:rPr>
        <w:t>A legally binding offer of payment had not been made to the informant, since the determination of whether to award the reward would be at the discretion of his superior, not the officer.</w:t>
      </w:r>
    </w:p>
    <w:p w14:paraId="215B52C6" w14:textId="478328F5" w:rsidR="00FE371A" w:rsidRDefault="00FE371A" w:rsidP="00257304">
      <w:pPr>
        <w:rPr>
          <w:rFonts w:ascii="Arial" w:hAnsi="Arial" w:cs="Arial"/>
        </w:rPr>
      </w:pPr>
    </w:p>
    <w:p w14:paraId="0DC70D3C" w14:textId="77777777" w:rsidR="00FE371A" w:rsidRDefault="00FE371A" w:rsidP="00257304">
      <w:pPr>
        <w:rPr>
          <w:rFonts w:ascii="Arial" w:hAnsi="Arial" w:cs="Arial"/>
        </w:rPr>
      </w:pPr>
    </w:p>
    <w:p w14:paraId="56C7554A" w14:textId="381FE342" w:rsidR="00FE371A" w:rsidRDefault="00FE371A" w:rsidP="00257304">
      <w:pPr>
        <w:rPr>
          <w:rFonts w:ascii="Arial" w:hAnsi="Arial" w:cs="Arial"/>
        </w:rPr>
      </w:pPr>
    </w:p>
    <w:p w14:paraId="586D7592" w14:textId="27455430" w:rsidR="009827EA" w:rsidRPr="001E3A3F" w:rsidRDefault="001E3A3F" w:rsidP="00257304">
      <w:pPr>
        <w:rPr>
          <w:rFonts w:ascii="Arial" w:hAnsi="Arial" w:cs="Arial"/>
        </w:rPr>
      </w:pPr>
      <w:r>
        <w:rPr>
          <w:rFonts w:ascii="Arial" w:hAnsi="Arial" w:cs="Arial"/>
        </w:rPr>
        <w:t>In conclusion, t</w:t>
      </w:r>
      <w:r w:rsidRPr="001E3A3F">
        <w:rPr>
          <w:rFonts w:ascii="Arial" w:hAnsi="Arial" w:cs="Arial"/>
        </w:rPr>
        <w:t>here are very few contract cases involving problems with the requirement of intent to create a legal relationship in practice.</w:t>
      </w:r>
      <w:r w:rsidRPr="001E3A3F">
        <w:rPr>
          <w:rStyle w:val="apple-converted-space"/>
          <w:rFonts w:ascii="Arial" w:hAnsi="Arial" w:cs="Arial"/>
          <w:color w:val="000000"/>
          <w:sz w:val="27"/>
          <w:szCs w:val="27"/>
        </w:rPr>
        <w:t> </w:t>
      </w:r>
      <w:r w:rsidRPr="001E3A3F">
        <w:rPr>
          <w:rFonts w:ascii="Arial" w:hAnsi="Arial" w:cs="Arial"/>
        </w:rPr>
        <w:t>There is often no consideration given to the issue in many of the situations in which it may arise, particularly domestic and social ones.</w:t>
      </w:r>
      <w:r w:rsidRPr="001E3A3F">
        <w:rPr>
          <w:rStyle w:val="apple-converted-space"/>
          <w:rFonts w:ascii="Arial" w:hAnsi="Arial" w:cs="Arial"/>
          <w:color w:val="000000"/>
          <w:sz w:val="27"/>
          <w:szCs w:val="27"/>
        </w:rPr>
        <w:t> </w:t>
      </w:r>
      <w:r w:rsidRPr="001E3A3F">
        <w:rPr>
          <w:rFonts w:ascii="Arial" w:hAnsi="Arial" w:cs="Arial"/>
        </w:rPr>
        <w:t>Only after the offer, acceptance, and consideration have been established will the courts consider intent to create legal relations</w:t>
      </w:r>
      <w:r w:rsidRPr="00A87676">
        <w:rPr>
          <w:rFonts w:ascii="Arial" w:hAnsi="Arial" w:cs="Arial"/>
        </w:rPr>
        <w:t>.</w:t>
      </w:r>
      <w:r w:rsidRPr="00A87676">
        <w:rPr>
          <w:rStyle w:val="apple-converted-space"/>
          <w:rFonts w:ascii="Arial" w:hAnsi="Arial" w:cs="Arial"/>
          <w:color w:val="000000"/>
        </w:rPr>
        <w:t> </w:t>
      </w:r>
      <w:r w:rsidR="00A87676" w:rsidRPr="00A87676">
        <w:rPr>
          <w:rStyle w:val="apple-converted-space"/>
          <w:rFonts w:ascii="Arial" w:hAnsi="Arial" w:cs="Arial"/>
          <w:color w:val="000000"/>
        </w:rPr>
        <w:t xml:space="preserve">Arvind (2022). </w:t>
      </w:r>
      <w:r w:rsidRPr="00A87676">
        <w:rPr>
          <w:rFonts w:ascii="Arial" w:hAnsi="Arial" w:cs="Arial"/>
        </w:rPr>
        <w:t>Courts have</w:t>
      </w:r>
      <w:r w:rsidRPr="001E3A3F">
        <w:rPr>
          <w:rFonts w:ascii="Arial" w:hAnsi="Arial" w:cs="Arial"/>
        </w:rPr>
        <w:t xml:space="preserve"> ruled that social arrangements will be treated as contracts if they meet the other requirements - acceptance and consideration, for instance - and whether the parties intended to bind themselves legally does not affect the decision.</w:t>
      </w:r>
      <w:r w:rsidRPr="001E3A3F">
        <w:rPr>
          <w:rStyle w:val="apple-converted-space"/>
          <w:rFonts w:ascii="Arial" w:hAnsi="Arial" w:cs="Arial"/>
          <w:color w:val="000000"/>
          <w:sz w:val="27"/>
          <w:szCs w:val="27"/>
        </w:rPr>
        <w:t> </w:t>
      </w:r>
      <w:r w:rsidRPr="001E3A3F">
        <w:rPr>
          <w:rFonts w:ascii="Arial" w:hAnsi="Arial" w:cs="Arial"/>
        </w:rPr>
        <w:t>As an example, Balfour v Balfour is an example where all three conditions are present, but no contract is formed, and the only explanation for the lack of contract seems to be that no legal obligations were intended.</w:t>
      </w:r>
      <w:r>
        <w:rPr>
          <w:rFonts w:ascii="Arial" w:hAnsi="Arial" w:cs="Arial"/>
        </w:rPr>
        <w:t xml:space="preserve"> Duxbury (2011). </w:t>
      </w:r>
    </w:p>
    <w:p w14:paraId="562850B5" w14:textId="63AD0EC3" w:rsidR="001E3A3F" w:rsidRDefault="001E3A3F" w:rsidP="00257304">
      <w:pPr>
        <w:rPr>
          <w:rFonts w:ascii="Arial" w:hAnsi="Arial" w:cs="Arial"/>
        </w:rPr>
      </w:pPr>
    </w:p>
    <w:p w14:paraId="011C34F9" w14:textId="3228D7AD" w:rsidR="001E3A3F" w:rsidRDefault="001E3A3F" w:rsidP="00257304">
      <w:pPr>
        <w:rPr>
          <w:rFonts w:ascii="Arial" w:hAnsi="Arial" w:cs="Arial"/>
        </w:rPr>
      </w:pPr>
    </w:p>
    <w:p w14:paraId="63E6C98F" w14:textId="27CF63C1" w:rsidR="001E3A3F" w:rsidRDefault="001E3A3F" w:rsidP="00257304">
      <w:pPr>
        <w:rPr>
          <w:rFonts w:ascii="Arial" w:hAnsi="Arial" w:cs="Arial"/>
        </w:rPr>
      </w:pPr>
    </w:p>
    <w:p w14:paraId="5A32BB61" w14:textId="77777777" w:rsidR="001E3A3F" w:rsidRPr="009827EA" w:rsidRDefault="001E3A3F" w:rsidP="00257304">
      <w:pPr>
        <w:rPr>
          <w:rFonts w:ascii="Arial" w:hAnsi="Arial" w:cs="Arial"/>
        </w:rPr>
      </w:pPr>
    </w:p>
    <w:p w14:paraId="4B69D2C2" w14:textId="35C7466D" w:rsidR="00446294" w:rsidRDefault="00446294" w:rsidP="00257304">
      <w:pPr>
        <w:rPr>
          <w:rFonts w:ascii="Arial" w:hAnsi="Arial" w:cs="Arial"/>
        </w:rPr>
      </w:pPr>
    </w:p>
    <w:p w14:paraId="38E5974B" w14:textId="5AE9EDF6" w:rsidR="00446294" w:rsidRDefault="00446294" w:rsidP="00257304">
      <w:pPr>
        <w:rPr>
          <w:rFonts w:ascii="Arial" w:hAnsi="Arial" w:cs="Arial"/>
        </w:rPr>
      </w:pPr>
    </w:p>
    <w:p w14:paraId="5B5AEEC7" w14:textId="77777777" w:rsidR="00446294" w:rsidRPr="00DC1AE5" w:rsidRDefault="00446294" w:rsidP="00257304">
      <w:pPr>
        <w:rPr>
          <w:rFonts w:ascii="Arial" w:hAnsi="Arial" w:cs="Arial"/>
        </w:rPr>
      </w:pPr>
    </w:p>
    <w:p w14:paraId="25008DF4" w14:textId="77777777" w:rsidR="001E0A35" w:rsidRPr="001E0A35" w:rsidRDefault="001E0A35" w:rsidP="00257304">
      <w:pPr>
        <w:rPr>
          <w:rFonts w:ascii="Arial" w:hAnsi="Arial" w:cs="Arial"/>
        </w:rPr>
      </w:pPr>
    </w:p>
    <w:p w14:paraId="7E898049" w14:textId="77777777" w:rsidR="00CC0287" w:rsidRPr="00CC0287" w:rsidRDefault="00CC0287" w:rsidP="00096F14">
      <w:pPr>
        <w:pStyle w:val="NormalWeb"/>
        <w:rPr>
          <w:rFonts w:ascii="Arial" w:hAnsi="Arial" w:cs="Arial"/>
          <w:color w:val="000000" w:themeColor="text1"/>
        </w:rPr>
      </w:pPr>
    </w:p>
    <w:p w14:paraId="06F3A7AC" w14:textId="77777777" w:rsidR="00096F14" w:rsidRPr="00CC1B12" w:rsidRDefault="00096F14" w:rsidP="00CC1B12">
      <w:pPr>
        <w:rPr>
          <w:rFonts w:ascii="Arial" w:hAnsi="Arial" w:cs="Arial"/>
        </w:rPr>
      </w:pPr>
    </w:p>
    <w:p w14:paraId="4B5291BB" w14:textId="77777777" w:rsidR="00CC1B12" w:rsidRPr="00397BEB" w:rsidRDefault="00CC1B12" w:rsidP="000A6F52">
      <w:pPr>
        <w:rPr>
          <w:rFonts w:ascii="Arial" w:hAnsi="Arial" w:cs="Arial"/>
          <w:color w:val="FF0000"/>
        </w:rPr>
      </w:pPr>
    </w:p>
    <w:p w14:paraId="6CF31FF8" w14:textId="77777777" w:rsidR="00A15E49" w:rsidRDefault="00A15E49" w:rsidP="00761B13">
      <w:pPr>
        <w:rPr>
          <w:rStyle w:val="apple-converted-space"/>
          <w:rFonts w:ascii="Arial" w:hAnsi="Arial" w:cs="Arial"/>
          <w:b/>
          <w:bCs/>
          <w:color w:val="000000"/>
          <w:u w:val="single"/>
        </w:rPr>
      </w:pPr>
    </w:p>
    <w:p w14:paraId="160688F2" w14:textId="77777777" w:rsidR="00A15E49" w:rsidRDefault="00A15E49" w:rsidP="00761B13">
      <w:pPr>
        <w:rPr>
          <w:rStyle w:val="apple-converted-space"/>
          <w:rFonts w:ascii="Arial" w:hAnsi="Arial" w:cs="Arial"/>
          <w:b/>
          <w:bCs/>
          <w:color w:val="000000"/>
          <w:u w:val="single"/>
        </w:rPr>
      </w:pPr>
    </w:p>
    <w:p w14:paraId="583D584C" w14:textId="77777777" w:rsidR="00A15E49" w:rsidRDefault="00A15E49" w:rsidP="00761B13">
      <w:pPr>
        <w:rPr>
          <w:rStyle w:val="apple-converted-space"/>
          <w:rFonts w:ascii="Arial" w:hAnsi="Arial" w:cs="Arial"/>
          <w:b/>
          <w:bCs/>
          <w:color w:val="000000"/>
          <w:u w:val="single"/>
        </w:rPr>
      </w:pPr>
    </w:p>
    <w:p w14:paraId="138A849C" w14:textId="77777777" w:rsidR="008C0CD9" w:rsidRDefault="008C0CD9" w:rsidP="00761B13">
      <w:pPr>
        <w:rPr>
          <w:rStyle w:val="apple-converted-space"/>
          <w:rFonts w:ascii="Arial" w:hAnsi="Arial" w:cs="Arial"/>
          <w:b/>
          <w:bCs/>
          <w:color w:val="000000"/>
          <w:u w:val="single"/>
        </w:rPr>
      </w:pPr>
    </w:p>
    <w:p w14:paraId="6869F656" w14:textId="77777777" w:rsidR="008C0CD9" w:rsidRDefault="008C0CD9" w:rsidP="00761B13">
      <w:pPr>
        <w:rPr>
          <w:rStyle w:val="apple-converted-space"/>
          <w:rFonts w:ascii="Arial" w:hAnsi="Arial" w:cs="Arial"/>
          <w:b/>
          <w:bCs/>
          <w:color w:val="000000"/>
          <w:u w:val="single"/>
        </w:rPr>
      </w:pPr>
    </w:p>
    <w:p w14:paraId="0B18C350" w14:textId="77777777" w:rsidR="008C0CD9" w:rsidRDefault="008C0CD9" w:rsidP="00761B13">
      <w:pPr>
        <w:rPr>
          <w:rStyle w:val="apple-converted-space"/>
          <w:rFonts w:ascii="Arial" w:hAnsi="Arial" w:cs="Arial"/>
          <w:b/>
          <w:bCs/>
          <w:color w:val="000000"/>
          <w:u w:val="single"/>
        </w:rPr>
      </w:pPr>
    </w:p>
    <w:p w14:paraId="171F53FB" w14:textId="77777777" w:rsidR="006A11C2" w:rsidRDefault="006A11C2" w:rsidP="00761B13">
      <w:pPr>
        <w:rPr>
          <w:rStyle w:val="apple-converted-space"/>
          <w:rFonts w:ascii="Arial" w:hAnsi="Arial" w:cs="Arial"/>
          <w:b/>
          <w:bCs/>
          <w:color w:val="000000"/>
          <w:u w:val="single"/>
        </w:rPr>
      </w:pPr>
    </w:p>
    <w:p w14:paraId="2A0F75DA" w14:textId="77777777" w:rsidR="006A11C2" w:rsidRDefault="006A11C2" w:rsidP="00761B13">
      <w:pPr>
        <w:rPr>
          <w:rStyle w:val="apple-converted-space"/>
          <w:rFonts w:ascii="Arial" w:hAnsi="Arial" w:cs="Arial"/>
          <w:b/>
          <w:bCs/>
          <w:color w:val="000000"/>
          <w:u w:val="single"/>
        </w:rPr>
      </w:pPr>
    </w:p>
    <w:p w14:paraId="5E5D0220" w14:textId="27E57D95" w:rsidR="003278BE" w:rsidRDefault="003278BE" w:rsidP="00761B13">
      <w:pPr>
        <w:rPr>
          <w:rStyle w:val="apple-converted-space"/>
          <w:rFonts w:ascii="Arial" w:hAnsi="Arial" w:cs="Arial"/>
          <w:b/>
          <w:bCs/>
          <w:color w:val="000000"/>
          <w:u w:val="single"/>
        </w:rPr>
      </w:pPr>
      <w:r w:rsidRPr="003278BE">
        <w:rPr>
          <w:rStyle w:val="apple-converted-space"/>
          <w:rFonts w:ascii="Arial" w:hAnsi="Arial" w:cs="Arial"/>
          <w:b/>
          <w:bCs/>
          <w:color w:val="000000"/>
          <w:u w:val="single"/>
        </w:rPr>
        <w:lastRenderedPageBreak/>
        <w:t xml:space="preserve">Reference list: </w:t>
      </w:r>
    </w:p>
    <w:p w14:paraId="1910FE83" w14:textId="1BDD7E1B" w:rsidR="00D10985" w:rsidRDefault="00D10985" w:rsidP="00761B13">
      <w:pPr>
        <w:rPr>
          <w:rStyle w:val="apple-converted-space"/>
          <w:rFonts w:ascii="Arial" w:hAnsi="Arial" w:cs="Arial"/>
          <w:b/>
          <w:bCs/>
          <w:color w:val="000000"/>
          <w:u w:val="single"/>
        </w:rPr>
      </w:pPr>
    </w:p>
    <w:p w14:paraId="1B3BA49B" w14:textId="77777777" w:rsidR="00D10985" w:rsidRDefault="00D10985" w:rsidP="00761B13">
      <w:pPr>
        <w:rPr>
          <w:rStyle w:val="apple-converted-space"/>
          <w:rFonts w:ascii="Arial" w:hAnsi="Arial" w:cs="Arial"/>
          <w:b/>
          <w:bCs/>
          <w:color w:val="000000"/>
          <w:u w:val="single"/>
        </w:rPr>
      </w:pPr>
    </w:p>
    <w:p w14:paraId="7E244E86" w14:textId="3C807EC7" w:rsidR="00D10985" w:rsidRDefault="00D10985" w:rsidP="00761B13">
      <w:pPr>
        <w:rPr>
          <w:rStyle w:val="apple-converted-space"/>
          <w:rFonts w:ascii="Arial" w:hAnsi="Arial" w:cs="Arial"/>
          <w:b/>
          <w:bCs/>
          <w:color w:val="000000"/>
          <w:u w:val="single"/>
        </w:rPr>
      </w:pPr>
      <w:r>
        <w:rPr>
          <w:rStyle w:val="apple-converted-space"/>
          <w:rFonts w:ascii="Arial" w:hAnsi="Arial" w:cs="Arial"/>
          <w:b/>
          <w:bCs/>
          <w:color w:val="000000"/>
          <w:u w:val="single"/>
        </w:rPr>
        <w:t>Legislation:</w:t>
      </w:r>
    </w:p>
    <w:p w14:paraId="288C75A8" w14:textId="1F1EBFCC" w:rsidR="00D10985" w:rsidRDefault="00D10985" w:rsidP="00761B13">
      <w:pPr>
        <w:rPr>
          <w:rStyle w:val="apple-converted-space"/>
          <w:rFonts w:ascii="Arial" w:hAnsi="Arial" w:cs="Arial"/>
          <w:b/>
          <w:bCs/>
          <w:color w:val="000000"/>
          <w:u w:val="single"/>
        </w:rPr>
      </w:pPr>
    </w:p>
    <w:p w14:paraId="0B17BEF5" w14:textId="77777777" w:rsidR="00D10985" w:rsidRPr="007614F0" w:rsidRDefault="00D10985" w:rsidP="00D10985">
      <w:pPr>
        <w:pStyle w:val="NormalWeb"/>
        <w:shd w:val="clear" w:color="auto" w:fill="FFFFFF"/>
        <w:spacing w:before="0" w:beforeAutospacing="0" w:after="240" w:afterAutospacing="0" w:line="360" w:lineRule="atLeast"/>
        <w:rPr>
          <w:rFonts w:ascii="Arial" w:hAnsi="Arial" w:cs="Arial"/>
          <w:color w:val="000000"/>
        </w:rPr>
      </w:pPr>
      <w:r w:rsidRPr="007614F0">
        <w:rPr>
          <w:rFonts w:ascii="Arial" w:hAnsi="Arial" w:cs="Arial"/>
          <w:color w:val="000000"/>
        </w:rPr>
        <w:t xml:space="preserve">Trade Union and Labour Relations (Consolidation) Act 1992, (2019), </w:t>
      </w:r>
      <w:r w:rsidRPr="007614F0">
        <w:rPr>
          <w:rFonts w:ascii="Arial" w:hAnsi="Arial" w:cs="Arial"/>
          <w:i/>
          <w:iCs/>
          <w:color w:val="000000"/>
        </w:rPr>
        <w:t>Trade Union and Labour Relations (Consolidation) Act 1992</w:t>
      </w:r>
      <w:r w:rsidRPr="007614F0">
        <w:rPr>
          <w:rFonts w:ascii="Arial" w:hAnsi="Arial" w:cs="Arial"/>
          <w:color w:val="000000"/>
        </w:rPr>
        <w:t xml:space="preserve">, [online] Legislation.gov.uk. Available at: </w:t>
      </w:r>
      <w:hyperlink r:id="rId5" w:history="1">
        <w:r w:rsidRPr="007614F0">
          <w:rPr>
            <w:rStyle w:val="Hyperlink"/>
            <w:rFonts w:ascii="Arial" w:hAnsi="Arial" w:cs="Arial"/>
          </w:rPr>
          <w:t>https://www.legislation.gov.uk/ukpga/1992/52/contents</w:t>
        </w:r>
      </w:hyperlink>
      <w:r w:rsidRPr="007614F0">
        <w:rPr>
          <w:rFonts w:ascii="Arial" w:hAnsi="Arial" w:cs="Arial"/>
          <w:color w:val="000000"/>
        </w:rPr>
        <w:t>, (Accessed: 1</w:t>
      </w:r>
      <w:r w:rsidRPr="007614F0">
        <w:rPr>
          <w:rFonts w:ascii="Arial" w:hAnsi="Arial" w:cs="Arial"/>
          <w:color w:val="000000"/>
          <w:vertAlign w:val="superscript"/>
        </w:rPr>
        <w:t>st</w:t>
      </w:r>
      <w:r w:rsidRPr="007614F0">
        <w:rPr>
          <w:rFonts w:ascii="Arial" w:hAnsi="Arial" w:cs="Arial"/>
          <w:color w:val="000000"/>
        </w:rPr>
        <w:t xml:space="preserve"> March 2023).</w:t>
      </w:r>
    </w:p>
    <w:p w14:paraId="79B0B4DF" w14:textId="77777777" w:rsidR="00D10985" w:rsidRDefault="00D10985" w:rsidP="00761B13">
      <w:pPr>
        <w:rPr>
          <w:rStyle w:val="apple-converted-space"/>
          <w:rFonts w:ascii="Arial" w:hAnsi="Arial" w:cs="Arial"/>
          <w:b/>
          <w:bCs/>
          <w:color w:val="000000"/>
          <w:u w:val="single"/>
        </w:rPr>
      </w:pPr>
    </w:p>
    <w:p w14:paraId="119854B5" w14:textId="1BF6562F" w:rsidR="00D10985" w:rsidRDefault="00D10985" w:rsidP="00761B13">
      <w:pPr>
        <w:rPr>
          <w:rStyle w:val="apple-converted-space"/>
          <w:rFonts w:ascii="Arial" w:hAnsi="Arial" w:cs="Arial"/>
          <w:b/>
          <w:bCs/>
          <w:color w:val="000000"/>
          <w:u w:val="single"/>
        </w:rPr>
      </w:pPr>
    </w:p>
    <w:p w14:paraId="545505EA" w14:textId="7FFF8526" w:rsidR="00D10985" w:rsidRPr="003278BE" w:rsidRDefault="00D10985" w:rsidP="00761B13">
      <w:pPr>
        <w:rPr>
          <w:rStyle w:val="apple-converted-space"/>
          <w:rFonts w:ascii="Arial" w:hAnsi="Arial" w:cs="Arial"/>
          <w:b/>
          <w:bCs/>
          <w:color w:val="000000"/>
          <w:u w:val="single"/>
        </w:rPr>
      </w:pPr>
      <w:r>
        <w:rPr>
          <w:rStyle w:val="apple-converted-space"/>
          <w:rFonts w:ascii="Arial" w:hAnsi="Arial" w:cs="Arial"/>
          <w:b/>
          <w:bCs/>
          <w:color w:val="000000"/>
          <w:u w:val="single"/>
        </w:rPr>
        <w:t>Case Law:</w:t>
      </w:r>
    </w:p>
    <w:p w14:paraId="686E7392" w14:textId="705494C2" w:rsidR="003278BE" w:rsidRDefault="003278BE" w:rsidP="00761B13">
      <w:pPr>
        <w:rPr>
          <w:rStyle w:val="apple-converted-space"/>
          <w:rFonts w:ascii="Arial" w:hAnsi="Arial" w:cs="Arial"/>
          <w:color w:val="000000"/>
        </w:rPr>
      </w:pPr>
    </w:p>
    <w:p w14:paraId="12296796" w14:textId="77777777" w:rsidR="008C0CD9" w:rsidRPr="00FF0439" w:rsidRDefault="008C0CD9" w:rsidP="00FF0439">
      <w:pPr>
        <w:pStyle w:val="NormalWeb"/>
        <w:shd w:val="clear" w:color="auto" w:fill="FFFFFF"/>
        <w:spacing w:before="0" w:beforeAutospacing="0" w:after="240" w:afterAutospacing="0" w:line="360" w:lineRule="atLeast"/>
        <w:rPr>
          <w:rFonts w:ascii="Arial" w:hAnsi="Arial" w:cs="Arial"/>
          <w:color w:val="000000"/>
        </w:rPr>
      </w:pPr>
      <w:r w:rsidRPr="00FF0439">
        <w:rPr>
          <w:rFonts w:ascii="Arial" w:hAnsi="Arial" w:cs="Arial"/>
          <w:color w:val="000000"/>
        </w:rPr>
        <w:t xml:space="preserve">Balfour V Balfour </w:t>
      </w:r>
      <w:r>
        <w:rPr>
          <w:rFonts w:ascii="Arial" w:hAnsi="Arial" w:cs="Arial"/>
          <w:color w:val="000000"/>
        </w:rPr>
        <w:t>[1919].</w:t>
      </w:r>
    </w:p>
    <w:p w14:paraId="5977AAA6" w14:textId="77777777" w:rsidR="008C0CD9" w:rsidRDefault="008C0CD9" w:rsidP="00415F9F">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r w:rsidRPr="00415F9F">
        <w:rPr>
          <w:rFonts w:ascii="Arial" w:hAnsi="Arial" w:cs="Arial"/>
          <w:color w:val="000000"/>
        </w:rPr>
        <w:t>Edwards v Skyways [1964]</w:t>
      </w:r>
      <w:r w:rsidRPr="00415F9F">
        <w:rPr>
          <w:rFonts w:ascii="Arial" w:hAnsi="Arial" w:cs="Arial"/>
          <w:i/>
          <w:iCs/>
          <w:color w:val="000000"/>
        </w:rPr>
        <w:t xml:space="preserve"> QBD</w:t>
      </w:r>
      <w:r>
        <w:rPr>
          <w:rFonts w:ascii="Arial" w:hAnsi="Arial" w:cs="Arial"/>
          <w:i/>
          <w:iCs/>
          <w:color w:val="000000"/>
        </w:rPr>
        <w:t>.</w:t>
      </w:r>
      <w:r w:rsidRPr="00415F9F">
        <w:rPr>
          <w:rFonts w:ascii="Arial" w:hAnsi="Arial" w:cs="Arial"/>
          <w:i/>
          <w:iCs/>
          <w:color w:val="000000"/>
        </w:rPr>
        <w:t xml:space="preserve"> </w:t>
      </w:r>
    </w:p>
    <w:p w14:paraId="5EDA953E" w14:textId="77777777" w:rsidR="008C0CD9" w:rsidRPr="008A44B6" w:rsidRDefault="008C0CD9" w:rsidP="00257304">
      <w:pPr>
        <w:pStyle w:val="NormalWeb"/>
        <w:shd w:val="clear" w:color="auto" w:fill="FFFFFF"/>
        <w:spacing w:before="0" w:beforeAutospacing="0" w:after="240" w:afterAutospacing="0" w:line="360" w:lineRule="atLeast"/>
        <w:rPr>
          <w:rFonts w:ascii="Arial" w:hAnsi="Arial" w:cs="Arial"/>
          <w:color w:val="000000"/>
        </w:rPr>
      </w:pPr>
      <w:r w:rsidRPr="00257304">
        <w:rPr>
          <w:rFonts w:ascii="Arial" w:hAnsi="Arial" w:cs="Arial"/>
        </w:rPr>
        <w:t>ERDC Group Ltd v Brunel University [2006</w:t>
      </w:r>
      <w:r>
        <w:rPr>
          <w:rFonts w:ascii="Arial" w:hAnsi="Arial" w:cs="Arial"/>
        </w:rPr>
        <w:t>].</w:t>
      </w:r>
    </w:p>
    <w:p w14:paraId="029C5DCB" w14:textId="77777777" w:rsidR="008C0CD9" w:rsidRPr="00397BEB" w:rsidRDefault="008C0CD9" w:rsidP="00397BEB">
      <w:pPr>
        <w:pStyle w:val="NormalWeb"/>
        <w:shd w:val="clear" w:color="auto" w:fill="FFFFFF"/>
        <w:spacing w:before="0" w:beforeAutospacing="0" w:after="240" w:afterAutospacing="0" w:line="360" w:lineRule="atLeast"/>
        <w:rPr>
          <w:rFonts w:ascii="Arial" w:hAnsi="Arial" w:cs="Arial"/>
          <w:color w:val="000000"/>
        </w:rPr>
      </w:pPr>
      <w:r w:rsidRPr="00397BEB">
        <w:rPr>
          <w:rFonts w:ascii="Arial" w:hAnsi="Arial" w:cs="Arial"/>
          <w:color w:val="000000"/>
        </w:rPr>
        <w:t>Esso v Commissioners of Customs and Excise [1975]</w:t>
      </w:r>
      <w:r w:rsidRPr="00397BEB">
        <w:rPr>
          <w:rFonts w:ascii="Arial" w:hAnsi="Arial" w:cs="Arial"/>
          <w:i/>
          <w:iCs/>
          <w:color w:val="000000"/>
        </w:rPr>
        <w:t xml:space="preserve"> UKHL 4</w:t>
      </w:r>
      <w:r>
        <w:rPr>
          <w:rFonts w:ascii="Arial" w:hAnsi="Arial" w:cs="Arial"/>
          <w:i/>
          <w:iCs/>
          <w:color w:val="000000"/>
        </w:rPr>
        <w:t>.</w:t>
      </w:r>
    </w:p>
    <w:p w14:paraId="43C6E84C" w14:textId="77777777" w:rsidR="008C0CD9" w:rsidRDefault="008C0CD9" w:rsidP="003278BE">
      <w:pPr>
        <w:pStyle w:val="NormalWeb"/>
        <w:shd w:val="clear" w:color="auto" w:fill="FFFFFF"/>
        <w:spacing w:before="0" w:beforeAutospacing="0" w:after="240" w:afterAutospacing="0" w:line="360" w:lineRule="atLeast"/>
        <w:rPr>
          <w:rFonts w:ascii="Arial" w:hAnsi="Arial" w:cs="Arial"/>
          <w:color w:val="000000"/>
        </w:rPr>
      </w:pPr>
      <w:r w:rsidRPr="003278BE">
        <w:rPr>
          <w:rFonts w:ascii="Arial" w:hAnsi="Arial" w:cs="Arial"/>
          <w:color w:val="000000"/>
        </w:rPr>
        <w:t xml:space="preserve">Jones v </w:t>
      </w:r>
      <w:proofErr w:type="spellStart"/>
      <w:r w:rsidRPr="003278BE">
        <w:rPr>
          <w:rFonts w:ascii="Arial" w:hAnsi="Arial" w:cs="Arial"/>
          <w:color w:val="000000"/>
        </w:rPr>
        <w:t>Padavatton</w:t>
      </w:r>
      <w:proofErr w:type="spellEnd"/>
      <w:r w:rsidRPr="003278BE">
        <w:rPr>
          <w:rFonts w:ascii="Arial" w:hAnsi="Arial" w:cs="Arial"/>
          <w:color w:val="000000"/>
        </w:rPr>
        <w:t xml:space="preserve"> [1969]</w:t>
      </w:r>
      <w:r w:rsidRPr="003278BE">
        <w:rPr>
          <w:rFonts w:ascii="Arial" w:hAnsi="Arial" w:cs="Arial"/>
          <w:i/>
          <w:iCs/>
          <w:color w:val="000000"/>
        </w:rPr>
        <w:t xml:space="preserve"> EWCA </w:t>
      </w:r>
      <w:proofErr w:type="spellStart"/>
      <w:proofErr w:type="gramStart"/>
      <w:r w:rsidRPr="003278BE">
        <w:rPr>
          <w:rFonts w:ascii="Arial" w:hAnsi="Arial" w:cs="Arial"/>
          <w:i/>
          <w:iCs/>
          <w:color w:val="000000"/>
        </w:rPr>
        <w:t>Civ</w:t>
      </w:r>
      <w:proofErr w:type="spellEnd"/>
      <w:r w:rsidRPr="003278BE">
        <w:rPr>
          <w:rFonts w:ascii="Arial" w:hAnsi="Arial" w:cs="Arial"/>
          <w:i/>
          <w:iCs/>
          <w:color w:val="000000"/>
        </w:rPr>
        <w:t xml:space="preserve"> </w:t>
      </w:r>
      <w:r>
        <w:rPr>
          <w:rFonts w:ascii="Arial" w:hAnsi="Arial" w:cs="Arial"/>
          <w:i/>
          <w:iCs/>
          <w:color w:val="000000"/>
        </w:rPr>
        <w:t>.</w:t>
      </w:r>
      <w:proofErr w:type="gramEnd"/>
      <w:r w:rsidRPr="003278BE">
        <w:rPr>
          <w:rFonts w:ascii="Arial" w:hAnsi="Arial" w:cs="Arial"/>
          <w:i/>
          <w:iCs/>
          <w:color w:val="000000"/>
        </w:rPr>
        <w:t xml:space="preserve"> </w:t>
      </w:r>
    </w:p>
    <w:p w14:paraId="40CA8441" w14:textId="77777777" w:rsidR="008C0CD9" w:rsidRDefault="008C0CD9" w:rsidP="00D45223">
      <w:pPr>
        <w:pStyle w:val="NormalWeb"/>
        <w:shd w:val="clear" w:color="auto" w:fill="FFFFFF"/>
        <w:spacing w:before="0" w:beforeAutospacing="0" w:after="240" w:afterAutospacing="0" w:line="360" w:lineRule="atLeast"/>
        <w:rPr>
          <w:rFonts w:ascii="Arial" w:hAnsi="Arial" w:cs="Arial"/>
          <w:color w:val="000000"/>
        </w:rPr>
      </w:pPr>
      <w:r w:rsidRPr="00D45223">
        <w:rPr>
          <w:rFonts w:ascii="Arial" w:hAnsi="Arial" w:cs="Arial"/>
          <w:color w:val="000000"/>
        </w:rPr>
        <w:t>Kleinwort Benson v Malaysian Mining Corp [1989]</w:t>
      </w:r>
      <w:r>
        <w:rPr>
          <w:rFonts w:ascii="Arial" w:hAnsi="Arial" w:cs="Arial"/>
          <w:color w:val="000000"/>
        </w:rPr>
        <w:t>.</w:t>
      </w:r>
    </w:p>
    <w:p w14:paraId="34407786" w14:textId="77777777" w:rsidR="008C0CD9" w:rsidRPr="003278BE" w:rsidRDefault="008C0CD9" w:rsidP="003278BE">
      <w:pPr>
        <w:pStyle w:val="NormalWeb"/>
        <w:shd w:val="clear" w:color="auto" w:fill="FFFFFF"/>
        <w:spacing w:before="0" w:beforeAutospacing="0" w:after="240" w:afterAutospacing="0" w:line="360" w:lineRule="atLeast"/>
        <w:rPr>
          <w:rFonts w:ascii="Arial" w:hAnsi="Arial" w:cs="Arial"/>
          <w:color w:val="000000"/>
        </w:rPr>
      </w:pPr>
      <w:proofErr w:type="spellStart"/>
      <w:r w:rsidRPr="003278BE">
        <w:rPr>
          <w:rFonts w:ascii="Arial" w:hAnsi="Arial" w:cs="Arial"/>
          <w:color w:val="000000"/>
        </w:rPr>
        <w:t>Merrit</w:t>
      </w:r>
      <w:proofErr w:type="spellEnd"/>
      <w:r w:rsidRPr="003278BE">
        <w:rPr>
          <w:rFonts w:ascii="Arial" w:hAnsi="Arial" w:cs="Arial"/>
          <w:color w:val="000000"/>
        </w:rPr>
        <w:t xml:space="preserve"> v </w:t>
      </w:r>
      <w:proofErr w:type="spellStart"/>
      <w:r w:rsidRPr="003278BE">
        <w:rPr>
          <w:rFonts w:ascii="Arial" w:hAnsi="Arial" w:cs="Arial"/>
          <w:color w:val="000000"/>
        </w:rPr>
        <w:t>Merrit</w:t>
      </w:r>
      <w:proofErr w:type="spellEnd"/>
      <w:r w:rsidRPr="003278BE">
        <w:rPr>
          <w:rFonts w:ascii="Arial" w:hAnsi="Arial" w:cs="Arial"/>
          <w:color w:val="000000"/>
        </w:rPr>
        <w:t xml:space="preserve"> [1970]</w:t>
      </w:r>
      <w:r>
        <w:rPr>
          <w:rFonts w:ascii="Arial" w:hAnsi="Arial" w:cs="Arial"/>
          <w:color w:val="000000"/>
        </w:rPr>
        <w:t xml:space="preserve"> </w:t>
      </w:r>
      <w:r w:rsidRPr="003278BE">
        <w:rPr>
          <w:rFonts w:ascii="Arial" w:hAnsi="Arial" w:cs="Arial"/>
          <w:i/>
          <w:iCs/>
          <w:color w:val="000000"/>
        </w:rPr>
        <w:t xml:space="preserve">EWCA </w:t>
      </w:r>
      <w:proofErr w:type="spellStart"/>
      <w:r w:rsidRPr="003278BE">
        <w:rPr>
          <w:rFonts w:ascii="Arial" w:hAnsi="Arial" w:cs="Arial"/>
          <w:i/>
          <w:iCs/>
          <w:color w:val="000000"/>
        </w:rPr>
        <w:t>Civ</w:t>
      </w:r>
      <w:proofErr w:type="spellEnd"/>
      <w:r w:rsidRPr="003278BE">
        <w:rPr>
          <w:rFonts w:ascii="Arial" w:hAnsi="Arial" w:cs="Arial"/>
          <w:i/>
          <w:iCs/>
          <w:color w:val="000000"/>
        </w:rPr>
        <w:t xml:space="preserve"> 6</w:t>
      </w:r>
      <w:r>
        <w:rPr>
          <w:rFonts w:ascii="Arial" w:hAnsi="Arial" w:cs="Arial"/>
          <w:color w:val="000000"/>
        </w:rPr>
        <w:t>.</w:t>
      </w:r>
    </w:p>
    <w:p w14:paraId="28361537" w14:textId="77777777" w:rsidR="008C0CD9" w:rsidRDefault="008C0CD9" w:rsidP="008A44B6">
      <w:pPr>
        <w:pStyle w:val="NormalWeb"/>
        <w:shd w:val="clear" w:color="auto" w:fill="FFFFFF"/>
        <w:spacing w:before="0" w:beforeAutospacing="0" w:after="240" w:afterAutospacing="0" w:line="360" w:lineRule="atLeast"/>
        <w:rPr>
          <w:rFonts w:ascii="Arial" w:hAnsi="Arial" w:cs="Arial"/>
          <w:color w:val="000000"/>
        </w:rPr>
      </w:pPr>
      <w:r w:rsidRPr="008A44B6">
        <w:rPr>
          <w:rFonts w:ascii="Arial" w:hAnsi="Arial" w:cs="Arial"/>
          <w:color w:val="000000"/>
        </w:rPr>
        <w:t>Robinson v HM Customs &amp; Excise [2000]</w:t>
      </w:r>
      <w:r>
        <w:rPr>
          <w:rFonts w:ascii="Arial" w:hAnsi="Arial" w:cs="Arial"/>
          <w:color w:val="000000"/>
        </w:rPr>
        <w:t>.</w:t>
      </w:r>
    </w:p>
    <w:p w14:paraId="3DD8A809" w14:textId="77777777" w:rsidR="008C0CD9" w:rsidRDefault="008C0CD9" w:rsidP="000E597B">
      <w:pPr>
        <w:pStyle w:val="NormalWeb"/>
        <w:shd w:val="clear" w:color="auto" w:fill="FFFFFF"/>
        <w:spacing w:before="0" w:beforeAutospacing="0" w:after="240" w:afterAutospacing="0" w:line="360" w:lineRule="atLeast"/>
        <w:rPr>
          <w:color w:val="000000"/>
        </w:rPr>
      </w:pPr>
      <w:r>
        <w:rPr>
          <w:color w:val="000000"/>
          <w:shd w:val="clear" w:color="auto" w:fill="FFFFFF"/>
        </w:rPr>
        <w:t>‌</w:t>
      </w:r>
      <w:r w:rsidRPr="000E597B">
        <w:rPr>
          <w:rFonts w:ascii="Arial" w:hAnsi="Arial" w:cs="Arial"/>
          <w:color w:val="000000"/>
        </w:rPr>
        <w:t>Simpkins v Pays [1955]</w:t>
      </w:r>
      <w:r>
        <w:rPr>
          <w:rFonts w:ascii="Arial" w:hAnsi="Arial" w:cs="Arial"/>
          <w:color w:val="000000"/>
        </w:rPr>
        <w:t>.</w:t>
      </w:r>
    </w:p>
    <w:p w14:paraId="3BB33EEE" w14:textId="77777777" w:rsidR="008C0CD9" w:rsidRPr="008A44B6" w:rsidRDefault="008C0CD9" w:rsidP="008A44B6">
      <w:pPr>
        <w:pStyle w:val="NormalWeb"/>
        <w:shd w:val="clear" w:color="auto" w:fill="FFFFFF"/>
        <w:spacing w:before="0" w:beforeAutospacing="0" w:after="240" w:afterAutospacing="0" w:line="360" w:lineRule="atLeast"/>
        <w:rPr>
          <w:rFonts w:ascii="Arial" w:hAnsi="Arial" w:cs="Arial"/>
          <w:color w:val="000000"/>
        </w:rPr>
      </w:pPr>
      <w:proofErr w:type="spellStart"/>
      <w:r w:rsidRPr="008A44B6">
        <w:rPr>
          <w:rFonts w:ascii="Arial" w:hAnsi="Arial" w:cs="Arial"/>
          <w:color w:val="000000"/>
        </w:rPr>
        <w:t>Triefus</w:t>
      </w:r>
      <w:proofErr w:type="spellEnd"/>
      <w:r w:rsidRPr="008A44B6">
        <w:rPr>
          <w:rFonts w:ascii="Arial" w:hAnsi="Arial" w:cs="Arial"/>
          <w:color w:val="000000"/>
        </w:rPr>
        <w:t xml:space="preserve"> v Post Office [1957]</w:t>
      </w:r>
      <w:r>
        <w:rPr>
          <w:rFonts w:ascii="Arial" w:hAnsi="Arial" w:cs="Arial"/>
          <w:color w:val="000000"/>
        </w:rPr>
        <w:t>.</w:t>
      </w:r>
      <w:r w:rsidRPr="008A44B6">
        <w:rPr>
          <w:rFonts w:ascii="Arial" w:hAnsi="Arial" w:cs="Arial"/>
          <w:color w:val="000000"/>
        </w:rPr>
        <w:t xml:space="preserve"> </w:t>
      </w:r>
    </w:p>
    <w:p w14:paraId="52E0D786" w14:textId="16B91775" w:rsidR="00D10985" w:rsidRDefault="00D10985" w:rsidP="00D45223">
      <w:pPr>
        <w:pStyle w:val="NormalWeb"/>
        <w:shd w:val="clear" w:color="auto" w:fill="FFFFFF"/>
        <w:spacing w:before="0" w:beforeAutospacing="0" w:after="240" w:afterAutospacing="0" w:line="360" w:lineRule="atLeast"/>
        <w:rPr>
          <w:rFonts w:ascii="Arial" w:hAnsi="Arial" w:cs="Arial"/>
          <w:color w:val="000000"/>
        </w:rPr>
      </w:pPr>
    </w:p>
    <w:p w14:paraId="55C5ACEF" w14:textId="3A00D926" w:rsidR="00D10985" w:rsidRPr="00D10985" w:rsidRDefault="00D10985" w:rsidP="00D45223">
      <w:pPr>
        <w:pStyle w:val="NormalWeb"/>
        <w:shd w:val="clear" w:color="auto" w:fill="FFFFFF"/>
        <w:spacing w:before="0" w:beforeAutospacing="0" w:after="240" w:afterAutospacing="0" w:line="360" w:lineRule="atLeast"/>
        <w:rPr>
          <w:rFonts w:ascii="Arial" w:hAnsi="Arial" w:cs="Arial"/>
          <w:b/>
          <w:bCs/>
          <w:color w:val="000000"/>
          <w:u w:val="single"/>
        </w:rPr>
      </w:pPr>
      <w:r>
        <w:rPr>
          <w:rFonts w:ascii="Arial" w:hAnsi="Arial" w:cs="Arial"/>
          <w:b/>
          <w:bCs/>
          <w:color w:val="000000"/>
          <w:u w:val="single"/>
        </w:rPr>
        <w:t xml:space="preserve">Academic Literature: </w:t>
      </w:r>
    </w:p>
    <w:p w14:paraId="7795D891" w14:textId="77777777" w:rsidR="008C0CD9" w:rsidRDefault="008C0CD9" w:rsidP="00FF0439">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AA22FF5" w14:textId="77777777" w:rsidR="008C0CD9" w:rsidRPr="00A87676" w:rsidRDefault="008C0CD9" w:rsidP="00D45223">
      <w:pPr>
        <w:pStyle w:val="NormalWeb"/>
        <w:shd w:val="clear" w:color="auto" w:fill="FFFFFF"/>
        <w:spacing w:before="0" w:beforeAutospacing="0" w:after="240" w:afterAutospacing="0" w:line="360" w:lineRule="atLeast"/>
        <w:rPr>
          <w:rFonts w:ascii="Arial" w:hAnsi="Arial" w:cs="Arial"/>
          <w:color w:val="000000" w:themeColor="text1"/>
        </w:rPr>
      </w:pPr>
      <w:r>
        <w:rPr>
          <w:rFonts w:ascii="Arial" w:hAnsi="Arial" w:cs="Arial"/>
          <w:color w:val="000000" w:themeColor="text1"/>
        </w:rPr>
        <w:t xml:space="preserve">Arvind. TT (2022), </w:t>
      </w:r>
      <w:r>
        <w:rPr>
          <w:rFonts w:ascii="Arial" w:hAnsi="Arial" w:cs="Arial"/>
          <w:i/>
          <w:iCs/>
          <w:color w:val="000000" w:themeColor="text1"/>
        </w:rPr>
        <w:t xml:space="preserve">Contract Law, </w:t>
      </w:r>
      <w:r>
        <w:rPr>
          <w:rFonts w:ascii="Arial" w:hAnsi="Arial" w:cs="Arial"/>
          <w:color w:val="000000" w:themeColor="text1"/>
        </w:rPr>
        <w:t xml:space="preserve">Third Edition, Oxford University Press. </w:t>
      </w:r>
    </w:p>
    <w:p w14:paraId="4B169874" w14:textId="77777777" w:rsidR="008C0CD9" w:rsidRPr="00C703C2" w:rsidRDefault="008C0CD9" w:rsidP="00D45223">
      <w:pPr>
        <w:pStyle w:val="NormalWeb"/>
        <w:shd w:val="clear" w:color="auto" w:fill="FFFFFF"/>
        <w:spacing w:before="0" w:beforeAutospacing="0" w:after="240" w:afterAutospacing="0" w:line="360" w:lineRule="atLeast"/>
        <w:rPr>
          <w:rStyle w:val="Emphasis"/>
          <w:rFonts w:ascii="Arial" w:hAnsi="Arial" w:cs="Arial"/>
          <w:i w:val="0"/>
          <w:iCs w:val="0"/>
          <w:color w:val="000000"/>
        </w:rPr>
      </w:pPr>
      <w:r w:rsidRPr="00C703C2">
        <w:rPr>
          <w:rStyle w:val="Emphasis"/>
          <w:rFonts w:ascii="Arial" w:hAnsi="Arial" w:cs="Arial"/>
          <w:i w:val="0"/>
          <w:iCs w:val="0"/>
          <w:color w:val="000000"/>
        </w:rPr>
        <w:t xml:space="preserve">Blackstone’s (2022), </w:t>
      </w:r>
      <w:r w:rsidRPr="00C703C2">
        <w:rPr>
          <w:rStyle w:val="Emphasis"/>
          <w:rFonts w:ascii="Arial" w:hAnsi="Arial" w:cs="Arial"/>
          <w:color w:val="000000"/>
        </w:rPr>
        <w:t xml:space="preserve">Blackstone’s statutes on contract, tort &amp; restitution, </w:t>
      </w:r>
      <w:r w:rsidRPr="00C703C2">
        <w:rPr>
          <w:rStyle w:val="Emphasis"/>
          <w:rFonts w:ascii="Arial" w:hAnsi="Arial" w:cs="Arial"/>
          <w:i w:val="0"/>
          <w:iCs w:val="0"/>
          <w:color w:val="000000"/>
        </w:rPr>
        <w:t xml:space="preserve">Thirty-Third Edition, Oxford University Press. </w:t>
      </w:r>
    </w:p>
    <w:p w14:paraId="3CE37ACC" w14:textId="77777777" w:rsidR="008C0CD9" w:rsidRDefault="008C0CD9" w:rsidP="00D45223">
      <w:pPr>
        <w:pStyle w:val="NormalWeb"/>
        <w:shd w:val="clear" w:color="auto" w:fill="FFFFFF"/>
        <w:spacing w:before="0" w:beforeAutospacing="0" w:after="240" w:afterAutospacing="0" w:line="360" w:lineRule="atLeast"/>
        <w:rPr>
          <w:rFonts w:ascii="Arial" w:hAnsi="Arial" w:cs="Arial"/>
          <w:color w:val="000000" w:themeColor="text1"/>
        </w:rPr>
      </w:pPr>
      <w:proofErr w:type="spellStart"/>
      <w:r>
        <w:rPr>
          <w:rFonts w:ascii="Arial" w:hAnsi="Arial" w:cs="Arial"/>
          <w:color w:val="000000" w:themeColor="text1"/>
        </w:rPr>
        <w:lastRenderedPageBreak/>
        <w:t>Brownsword</w:t>
      </w:r>
      <w:proofErr w:type="spellEnd"/>
      <w:r>
        <w:rPr>
          <w:rFonts w:ascii="Arial" w:hAnsi="Arial" w:cs="Arial"/>
          <w:color w:val="000000" w:themeColor="text1"/>
        </w:rPr>
        <w:t xml:space="preserve">. R (2006), </w:t>
      </w:r>
      <w:r>
        <w:rPr>
          <w:rFonts w:ascii="Arial" w:hAnsi="Arial" w:cs="Arial"/>
          <w:i/>
          <w:iCs/>
          <w:color w:val="000000" w:themeColor="text1"/>
        </w:rPr>
        <w:t xml:space="preserve">Contract Law: themes for the twenty-first century, </w:t>
      </w:r>
      <w:r>
        <w:rPr>
          <w:rFonts w:ascii="Arial" w:hAnsi="Arial" w:cs="Arial"/>
          <w:color w:val="000000" w:themeColor="text1"/>
        </w:rPr>
        <w:t xml:space="preserve">Second Edition, Oxford University Press. </w:t>
      </w:r>
    </w:p>
    <w:p w14:paraId="7DEACA15" w14:textId="77777777" w:rsidR="008C0CD9" w:rsidRPr="00C55527" w:rsidRDefault="008C0CD9" w:rsidP="00FF0439">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r>
        <w:rPr>
          <w:rFonts w:ascii="Arial" w:hAnsi="Arial" w:cs="Arial"/>
          <w:color w:val="000000"/>
        </w:rPr>
        <w:t xml:space="preserve">Chen-Wishart. M (2022), </w:t>
      </w:r>
      <w:r>
        <w:rPr>
          <w:rFonts w:ascii="Arial" w:hAnsi="Arial" w:cs="Arial"/>
          <w:i/>
          <w:iCs/>
          <w:color w:val="000000"/>
        </w:rPr>
        <w:t xml:space="preserve">Contract Law, </w:t>
      </w:r>
      <w:r>
        <w:rPr>
          <w:rFonts w:ascii="Arial" w:hAnsi="Arial" w:cs="Arial"/>
          <w:color w:val="000000"/>
        </w:rPr>
        <w:t xml:space="preserve">Seventh Edition, Oxford University Press. </w:t>
      </w:r>
    </w:p>
    <w:p w14:paraId="33579000" w14:textId="77777777" w:rsidR="008C0CD9" w:rsidRPr="001E3A3F" w:rsidRDefault="008C0CD9" w:rsidP="00D45223">
      <w:pPr>
        <w:pStyle w:val="NormalWeb"/>
        <w:shd w:val="clear" w:color="auto" w:fill="FFFFFF"/>
        <w:spacing w:before="0" w:beforeAutospacing="0" w:after="240" w:afterAutospacing="0" w:line="360" w:lineRule="atLeast"/>
        <w:rPr>
          <w:rFonts w:ascii="Arial" w:hAnsi="Arial" w:cs="Arial"/>
          <w:color w:val="000000" w:themeColor="text1"/>
        </w:rPr>
      </w:pPr>
      <w:r>
        <w:rPr>
          <w:rFonts w:ascii="Arial" w:hAnsi="Arial" w:cs="Arial"/>
          <w:color w:val="000000" w:themeColor="text1"/>
        </w:rPr>
        <w:t xml:space="preserve">Duxbury. R (2011), </w:t>
      </w:r>
      <w:r>
        <w:rPr>
          <w:rFonts w:ascii="Arial" w:hAnsi="Arial" w:cs="Arial"/>
          <w:i/>
          <w:iCs/>
          <w:color w:val="000000" w:themeColor="text1"/>
        </w:rPr>
        <w:t xml:space="preserve">Contract Law, </w:t>
      </w:r>
      <w:r>
        <w:rPr>
          <w:rFonts w:ascii="Arial" w:hAnsi="Arial" w:cs="Arial"/>
          <w:color w:val="000000" w:themeColor="text1"/>
        </w:rPr>
        <w:t xml:space="preserve">Second Edition, Sweet &amp; Maxwell </w:t>
      </w:r>
    </w:p>
    <w:p w14:paraId="413C19F4" w14:textId="77777777" w:rsidR="008C0CD9" w:rsidRDefault="008C0CD9" w:rsidP="00D45223">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Elliott. C and Quinn. F (2019), </w:t>
      </w:r>
      <w:r w:rsidRPr="00717DF2">
        <w:rPr>
          <w:rFonts w:ascii="Arial" w:hAnsi="Arial" w:cs="Arial"/>
          <w:i/>
          <w:iCs/>
          <w:color w:val="000000"/>
        </w:rPr>
        <w:t>Elliott &amp; Quinn’s contract law</w:t>
      </w:r>
      <w:r>
        <w:rPr>
          <w:rFonts w:ascii="Arial" w:hAnsi="Arial" w:cs="Arial"/>
          <w:color w:val="000000"/>
        </w:rPr>
        <w:t xml:space="preserve">, Twelfth Edition, Pearson. </w:t>
      </w:r>
    </w:p>
    <w:p w14:paraId="39BC8A32" w14:textId="77777777" w:rsidR="008C0CD9" w:rsidRPr="0032784C" w:rsidRDefault="008C0CD9" w:rsidP="00595753">
      <w:pPr>
        <w:pStyle w:val="NormalWeb"/>
        <w:shd w:val="clear" w:color="auto" w:fill="FFFFFF"/>
        <w:spacing w:before="0" w:beforeAutospacing="0" w:after="240" w:afterAutospacing="0" w:line="360" w:lineRule="atLeast"/>
        <w:rPr>
          <w:rFonts w:ascii="Arial" w:hAnsi="Arial" w:cs="Arial"/>
          <w:color w:val="000000" w:themeColor="text1"/>
        </w:rPr>
      </w:pPr>
      <w:r>
        <w:rPr>
          <w:rFonts w:ascii="Arial" w:hAnsi="Arial" w:cs="Arial"/>
          <w:color w:val="000000" w:themeColor="text1"/>
        </w:rPr>
        <w:t xml:space="preserve">Finch. E and Fafinski. S (2018), </w:t>
      </w:r>
      <w:r>
        <w:rPr>
          <w:rFonts w:ascii="Arial" w:hAnsi="Arial" w:cs="Arial"/>
          <w:i/>
          <w:iCs/>
          <w:color w:val="000000" w:themeColor="text1"/>
        </w:rPr>
        <w:t xml:space="preserve">Contract Law, </w:t>
      </w:r>
      <w:r>
        <w:rPr>
          <w:rFonts w:ascii="Arial" w:hAnsi="Arial" w:cs="Arial"/>
          <w:color w:val="000000" w:themeColor="text1"/>
        </w:rPr>
        <w:t xml:space="preserve">Sixth Edition, Pearson. </w:t>
      </w:r>
    </w:p>
    <w:p w14:paraId="110E70DD" w14:textId="77777777" w:rsidR="008C0CD9" w:rsidRDefault="008C0CD9" w:rsidP="00D45223">
      <w:pPr>
        <w:pStyle w:val="NormalWeb"/>
        <w:shd w:val="clear" w:color="auto" w:fill="FFFFFF"/>
        <w:spacing w:before="0" w:beforeAutospacing="0" w:after="240" w:afterAutospacing="0" w:line="360" w:lineRule="atLeast"/>
        <w:rPr>
          <w:rFonts w:ascii="Arial" w:hAnsi="Arial" w:cs="Arial"/>
          <w:color w:val="000000" w:themeColor="text1"/>
        </w:rPr>
      </w:pPr>
      <w:r w:rsidRPr="00C703C2">
        <w:rPr>
          <w:rFonts w:ascii="Arial" w:hAnsi="Arial" w:cs="Arial"/>
          <w:color w:val="000000" w:themeColor="text1"/>
        </w:rPr>
        <w:t xml:space="preserve">McKendrick. E (2021), </w:t>
      </w:r>
      <w:r w:rsidRPr="00C703C2">
        <w:rPr>
          <w:rFonts w:ascii="Arial" w:hAnsi="Arial" w:cs="Arial"/>
          <w:i/>
          <w:iCs/>
          <w:color w:val="000000" w:themeColor="text1"/>
        </w:rPr>
        <w:t xml:space="preserve">Contract Law, </w:t>
      </w:r>
      <w:r w:rsidRPr="00C703C2">
        <w:rPr>
          <w:rFonts w:ascii="Arial" w:hAnsi="Arial" w:cs="Arial"/>
          <w:color w:val="000000" w:themeColor="text1"/>
        </w:rPr>
        <w:t>Fourteenth Edition, Macmillan International Higher Education.</w:t>
      </w:r>
      <w:r>
        <w:rPr>
          <w:rFonts w:ascii="Arial" w:hAnsi="Arial" w:cs="Arial"/>
          <w:color w:val="000000" w:themeColor="text1"/>
        </w:rPr>
        <w:t xml:space="preserve"> </w:t>
      </w:r>
    </w:p>
    <w:p w14:paraId="720C99CF" w14:textId="77777777" w:rsidR="008C0CD9" w:rsidRPr="00C703C2" w:rsidRDefault="008C0CD9" w:rsidP="00D45223">
      <w:pPr>
        <w:pStyle w:val="NormalWeb"/>
        <w:shd w:val="clear" w:color="auto" w:fill="FFFFFF"/>
        <w:spacing w:before="0" w:beforeAutospacing="0" w:after="240" w:afterAutospacing="0" w:line="360" w:lineRule="atLeast"/>
        <w:rPr>
          <w:rStyle w:val="apple-converted-space"/>
          <w:rFonts w:ascii="Arial" w:hAnsi="Arial" w:cs="Arial"/>
          <w:color w:val="000000"/>
        </w:rPr>
      </w:pPr>
      <w:proofErr w:type="spellStart"/>
      <w:r w:rsidRPr="00C703C2">
        <w:rPr>
          <w:rStyle w:val="apple-converted-space"/>
          <w:rFonts w:ascii="Arial" w:hAnsi="Arial" w:cs="Arial"/>
          <w:color w:val="000000"/>
        </w:rPr>
        <w:t>Merkin</w:t>
      </w:r>
      <w:proofErr w:type="spellEnd"/>
      <w:r w:rsidRPr="00C703C2">
        <w:rPr>
          <w:rStyle w:val="apple-converted-space"/>
          <w:rFonts w:ascii="Arial" w:hAnsi="Arial" w:cs="Arial"/>
          <w:color w:val="000000"/>
        </w:rPr>
        <w:t xml:space="preserve">. R and Saintier. S (2021), </w:t>
      </w:r>
      <w:r w:rsidRPr="00C703C2">
        <w:rPr>
          <w:rStyle w:val="apple-converted-space"/>
          <w:rFonts w:ascii="Arial" w:hAnsi="Arial" w:cs="Arial"/>
          <w:i/>
          <w:iCs/>
          <w:color w:val="000000"/>
        </w:rPr>
        <w:t xml:space="preserve">People’s Textbook on Contract Law, </w:t>
      </w:r>
      <w:r w:rsidRPr="00C703C2">
        <w:rPr>
          <w:rStyle w:val="apple-converted-space"/>
          <w:rFonts w:ascii="Arial" w:hAnsi="Arial" w:cs="Arial"/>
          <w:color w:val="000000"/>
        </w:rPr>
        <w:t xml:space="preserve">Fifteenth Edition, Oxford University Press. </w:t>
      </w:r>
    </w:p>
    <w:p w14:paraId="68759DFF" w14:textId="77777777" w:rsidR="008C0CD9" w:rsidRPr="00877277" w:rsidRDefault="008C0CD9" w:rsidP="00D45223">
      <w:pPr>
        <w:pStyle w:val="NormalWeb"/>
        <w:shd w:val="clear" w:color="auto" w:fill="FFFFFF"/>
        <w:spacing w:before="0" w:beforeAutospacing="0" w:after="240" w:afterAutospacing="0" w:line="360" w:lineRule="atLeast"/>
        <w:rPr>
          <w:rStyle w:val="Emphasis"/>
          <w:rFonts w:ascii="Arial" w:hAnsi="Arial" w:cs="Arial"/>
          <w:i w:val="0"/>
          <w:iCs w:val="0"/>
          <w:color w:val="000000"/>
        </w:rPr>
      </w:pPr>
      <w:r>
        <w:rPr>
          <w:rStyle w:val="Emphasis"/>
          <w:rFonts w:ascii="Arial" w:hAnsi="Arial" w:cs="Arial"/>
          <w:i w:val="0"/>
          <w:iCs w:val="0"/>
          <w:color w:val="000000"/>
        </w:rPr>
        <w:t xml:space="preserve">O’Sullivan. J (2022), </w:t>
      </w:r>
      <w:r>
        <w:rPr>
          <w:rStyle w:val="Emphasis"/>
          <w:rFonts w:ascii="Arial" w:hAnsi="Arial" w:cs="Arial"/>
          <w:color w:val="000000"/>
        </w:rPr>
        <w:t xml:space="preserve">The Law of Contract, </w:t>
      </w:r>
      <w:r>
        <w:rPr>
          <w:rStyle w:val="Emphasis"/>
          <w:rFonts w:ascii="Arial" w:hAnsi="Arial" w:cs="Arial"/>
          <w:i w:val="0"/>
          <w:iCs w:val="0"/>
          <w:color w:val="000000"/>
        </w:rPr>
        <w:t xml:space="preserve">Tenth Edition, Oxford University Press. </w:t>
      </w:r>
    </w:p>
    <w:p w14:paraId="033B2CF6" w14:textId="77777777" w:rsidR="008C0CD9" w:rsidRDefault="008C0CD9" w:rsidP="00D45223">
      <w:pPr>
        <w:pStyle w:val="NormalWeb"/>
        <w:shd w:val="clear" w:color="auto" w:fill="FFFFFF"/>
        <w:spacing w:before="0" w:beforeAutospacing="0" w:after="240" w:afterAutospacing="0" w:line="360" w:lineRule="atLeast"/>
        <w:rPr>
          <w:rFonts w:ascii="Arial" w:hAnsi="Arial" w:cs="Arial"/>
          <w:color w:val="000000" w:themeColor="text1"/>
        </w:rPr>
      </w:pPr>
      <w:r>
        <w:rPr>
          <w:rFonts w:ascii="Arial" w:hAnsi="Arial" w:cs="Arial"/>
          <w:color w:val="000000" w:themeColor="text1"/>
        </w:rPr>
        <w:t xml:space="preserve">Peel. E (2020), </w:t>
      </w:r>
      <w:r w:rsidRPr="0032784C">
        <w:rPr>
          <w:rFonts w:ascii="Arial" w:hAnsi="Arial" w:cs="Arial"/>
          <w:i/>
          <w:iCs/>
          <w:color w:val="000000" w:themeColor="text1"/>
        </w:rPr>
        <w:t>Trietel on the Law of Contract,</w:t>
      </w:r>
      <w:r>
        <w:rPr>
          <w:rFonts w:ascii="Arial" w:hAnsi="Arial" w:cs="Arial"/>
          <w:color w:val="000000" w:themeColor="text1"/>
        </w:rPr>
        <w:t xml:space="preserve"> Fifteenth Edition, Sweet &amp; Maxwell. </w:t>
      </w:r>
    </w:p>
    <w:p w14:paraId="10388D5F" w14:textId="77777777" w:rsidR="008C0CD9" w:rsidRPr="00C703C2" w:rsidRDefault="008C0CD9" w:rsidP="00D45223">
      <w:pPr>
        <w:pStyle w:val="NormalWeb"/>
        <w:shd w:val="clear" w:color="auto" w:fill="FFFFFF"/>
        <w:spacing w:before="0" w:beforeAutospacing="0" w:after="240" w:afterAutospacing="0" w:line="360" w:lineRule="atLeast"/>
        <w:rPr>
          <w:rFonts w:ascii="Arial" w:hAnsi="Arial" w:cs="Arial"/>
          <w:color w:val="000000"/>
        </w:rPr>
      </w:pPr>
      <w:r w:rsidRPr="00C73CE6">
        <w:rPr>
          <w:rFonts w:ascii="Arial" w:hAnsi="Arial" w:cs="Arial"/>
          <w:color w:val="000000"/>
        </w:rPr>
        <w:t xml:space="preserve">Poole. J (2016), </w:t>
      </w:r>
      <w:r w:rsidRPr="00C73CE6">
        <w:rPr>
          <w:rFonts w:ascii="Arial" w:hAnsi="Arial" w:cs="Arial"/>
          <w:i/>
          <w:iCs/>
          <w:color w:val="000000"/>
        </w:rPr>
        <w:t>Textbook on contract law,</w:t>
      </w:r>
      <w:r w:rsidRPr="00C73CE6">
        <w:rPr>
          <w:rFonts w:ascii="Arial" w:hAnsi="Arial" w:cs="Arial"/>
          <w:color w:val="000000"/>
        </w:rPr>
        <w:t xml:space="preserve"> Thirteenth Edition, Oxford University </w:t>
      </w:r>
      <w:r w:rsidRPr="00C703C2">
        <w:rPr>
          <w:rFonts w:ascii="Arial" w:hAnsi="Arial" w:cs="Arial"/>
          <w:color w:val="000000"/>
        </w:rPr>
        <w:t xml:space="preserve">Press. </w:t>
      </w:r>
    </w:p>
    <w:p w14:paraId="64942B3C" w14:textId="77777777" w:rsidR="008C0CD9" w:rsidRPr="00C703C2" w:rsidRDefault="008C0CD9" w:rsidP="00D45223">
      <w:pPr>
        <w:pStyle w:val="NormalWeb"/>
        <w:shd w:val="clear" w:color="auto" w:fill="FFFFFF"/>
        <w:spacing w:before="0" w:beforeAutospacing="0" w:after="240" w:afterAutospacing="0" w:line="360" w:lineRule="atLeast"/>
        <w:rPr>
          <w:rStyle w:val="Emphasis"/>
          <w:rFonts w:ascii="Arial" w:hAnsi="Arial" w:cs="Arial"/>
          <w:i w:val="0"/>
          <w:iCs w:val="0"/>
          <w:color w:val="000000"/>
        </w:rPr>
      </w:pPr>
      <w:r w:rsidRPr="00C703C2">
        <w:rPr>
          <w:rStyle w:val="Emphasis"/>
          <w:rFonts w:ascii="Arial" w:hAnsi="Arial" w:cs="Arial"/>
          <w:i w:val="0"/>
          <w:iCs w:val="0"/>
          <w:color w:val="000000"/>
        </w:rPr>
        <w:t xml:space="preserve">Richards. P (2019), </w:t>
      </w:r>
      <w:r w:rsidRPr="00C703C2">
        <w:rPr>
          <w:rStyle w:val="Emphasis"/>
          <w:rFonts w:ascii="Arial" w:hAnsi="Arial" w:cs="Arial"/>
          <w:color w:val="000000"/>
        </w:rPr>
        <w:t xml:space="preserve">Law of Contract, </w:t>
      </w:r>
      <w:r w:rsidRPr="00C703C2">
        <w:rPr>
          <w:rStyle w:val="Emphasis"/>
          <w:rFonts w:ascii="Arial" w:hAnsi="Arial" w:cs="Arial"/>
          <w:i w:val="0"/>
          <w:iCs w:val="0"/>
          <w:color w:val="000000"/>
        </w:rPr>
        <w:t xml:space="preserve">Fourteenth Edition, Pearson. </w:t>
      </w:r>
    </w:p>
    <w:p w14:paraId="495D2840" w14:textId="37D38D83" w:rsidR="00397BEB" w:rsidRDefault="00415F9F" w:rsidP="00415F9F">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66FB93AC" w14:textId="77777777" w:rsidR="007E4E0E" w:rsidRPr="007E4E0E" w:rsidRDefault="007E4E0E">
      <w:pPr>
        <w:rPr>
          <w:rFonts w:ascii="Arial" w:hAnsi="Arial" w:cs="Arial"/>
          <w:color w:val="000000" w:themeColor="text1"/>
        </w:rPr>
      </w:pPr>
    </w:p>
    <w:sectPr w:rsidR="007E4E0E" w:rsidRPr="007E4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D3B07"/>
    <w:multiLevelType w:val="hybridMultilevel"/>
    <w:tmpl w:val="97AC345C"/>
    <w:lvl w:ilvl="0" w:tplc="0DB0894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53E62FC"/>
    <w:multiLevelType w:val="hybridMultilevel"/>
    <w:tmpl w:val="79287B7A"/>
    <w:lvl w:ilvl="0" w:tplc="D03ACA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657441">
    <w:abstractNumId w:val="0"/>
  </w:num>
  <w:num w:numId="2" w16cid:durableId="1722094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89A"/>
    <w:rsid w:val="00012E70"/>
    <w:rsid w:val="00062B82"/>
    <w:rsid w:val="00096F14"/>
    <w:rsid w:val="000A19A8"/>
    <w:rsid w:val="000A6F52"/>
    <w:rsid w:val="000B2A8E"/>
    <w:rsid w:val="000D05F1"/>
    <w:rsid w:val="000E597B"/>
    <w:rsid w:val="00132B3E"/>
    <w:rsid w:val="00172F63"/>
    <w:rsid w:val="001D09B0"/>
    <w:rsid w:val="001E0A35"/>
    <w:rsid w:val="001E3A3F"/>
    <w:rsid w:val="001F7C24"/>
    <w:rsid w:val="00257304"/>
    <w:rsid w:val="00287972"/>
    <w:rsid w:val="0029139D"/>
    <w:rsid w:val="00291418"/>
    <w:rsid w:val="002A042C"/>
    <w:rsid w:val="002B75BF"/>
    <w:rsid w:val="002C637F"/>
    <w:rsid w:val="002F150A"/>
    <w:rsid w:val="0032784C"/>
    <w:rsid w:val="003278BE"/>
    <w:rsid w:val="0036748D"/>
    <w:rsid w:val="003679FC"/>
    <w:rsid w:val="00386233"/>
    <w:rsid w:val="00397BEB"/>
    <w:rsid w:val="003E3E42"/>
    <w:rsid w:val="00415F9F"/>
    <w:rsid w:val="00420970"/>
    <w:rsid w:val="00446294"/>
    <w:rsid w:val="00464D70"/>
    <w:rsid w:val="004C5E6D"/>
    <w:rsid w:val="004D4F30"/>
    <w:rsid w:val="004E30B1"/>
    <w:rsid w:val="00524346"/>
    <w:rsid w:val="00534AD1"/>
    <w:rsid w:val="00550A4E"/>
    <w:rsid w:val="00557179"/>
    <w:rsid w:val="00562DA2"/>
    <w:rsid w:val="00586339"/>
    <w:rsid w:val="00595753"/>
    <w:rsid w:val="005B3A0A"/>
    <w:rsid w:val="005D5AB1"/>
    <w:rsid w:val="006274B8"/>
    <w:rsid w:val="00627BB6"/>
    <w:rsid w:val="00654E85"/>
    <w:rsid w:val="00660A21"/>
    <w:rsid w:val="00686AD7"/>
    <w:rsid w:val="006A11C2"/>
    <w:rsid w:val="006F0640"/>
    <w:rsid w:val="00717DF2"/>
    <w:rsid w:val="0072089A"/>
    <w:rsid w:val="00736E90"/>
    <w:rsid w:val="007445B4"/>
    <w:rsid w:val="007614F0"/>
    <w:rsid w:val="00761B13"/>
    <w:rsid w:val="00773D63"/>
    <w:rsid w:val="0079230D"/>
    <w:rsid w:val="007A4CFD"/>
    <w:rsid w:val="007B56A9"/>
    <w:rsid w:val="007E4E0E"/>
    <w:rsid w:val="00877277"/>
    <w:rsid w:val="008A44B6"/>
    <w:rsid w:val="008C0CD9"/>
    <w:rsid w:val="008C31D9"/>
    <w:rsid w:val="009500CB"/>
    <w:rsid w:val="009827EA"/>
    <w:rsid w:val="00A133C2"/>
    <w:rsid w:val="00A15E49"/>
    <w:rsid w:val="00A20CE5"/>
    <w:rsid w:val="00A47DCD"/>
    <w:rsid w:val="00A71AD9"/>
    <w:rsid w:val="00A87676"/>
    <w:rsid w:val="00A95D40"/>
    <w:rsid w:val="00AA2173"/>
    <w:rsid w:val="00AB0EA3"/>
    <w:rsid w:val="00AD3858"/>
    <w:rsid w:val="00AF635B"/>
    <w:rsid w:val="00B010D3"/>
    <w:rsid w:val="00B07AB9"/>
    <w:rsid w:val="00B320C3"/>
    <w:rsid w:val="00B41417"/>
    <w:rsid w:val="00B45751"/>
    <w:rsid w:val="00BD39E1"/>
    <w:rsid w:val="00BF53FD"/>
    <w:rsid w:val="00C24976"/>
    <w:rsid w:val="00C341E0"/>
    <w:rsid w:val="00C55527"/>
    <w:rsid w:val="00C561BD"/>
    <w:rsid w:val="00C703C2"/>
    <w:rsid w:val="00C73CE6"/>
    <w:rsid w:val="00CA2101"/>
    <w:rsid w:val="00CC0287"/>
    <w:rsid w:val="00CC1B12"/>
    <w:rsid w:val="00D10985"/>
    <w:rsid w:val="00D45223"/>
    <w:rsid w:val="00DA5AA4"/>
    <w:rsid w:val="00DC1AE5"/>
    <w:rsid w:val="00DD510F"/>
    <w:rsid w:val="00DD5B4F"/>
    <w:rsid w:val="00E2710D"/>
    <w:rsid w:val="00E7404D"/>
    <w:rsid w:val="00EA3195"/>
    <w:rsid w:val="00EB4859"/>
    <w:rsid w:val="00F04BDF"/>
    <w:rsid w:val="00FB6C7E"/>
    <w:rsid w:val="00FE371A"/>
    <w:rsid w:val="00FF0439"/>
    <w:rsid w:val="00FF4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57BFD2"/>
  <w15:chartTrackingRefBased/>
  <w15:docId w15:val="{630FEFFB-4989-4447-BC1D-67A68DA0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9B0"/>
    <w:rPr>
      <w:rFonts w:ascii="Times New Roman" w:eastAsia="Times New Roman" w:hAnsi="Times New Roman" w:cs="Times New Roman"/>
      <w:lang w:eastAsia="en-GB"/>
    </w:rPr>
  </w:style>
  <w:style w:type="paragraph" w:styleId="Heading3">
    <w:name w:val="heading 3"/>
    <w:basedOn w:val="Normal"/>
    <w:link w:val="Heading3Char"/>
    <w:uiPriority w:val="9"/>
    <w:qFormat/>
    <w:rsid w:val="006F064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89A"/>
    <w:pPr>
      <w:ind w:left="720"/>
      <w:contextualSpacing/>
    </w:pPr>
    <w:rPr>
      <w:sz w:val="20"/>
      <w:szCs w:val="20"/>
    </w:rPr>
  </w:style>
  <w:style w:type="paragraph" w:styleId="NormalWeb">
    <w:name w:val="Normal (Web)"/>
    <w:basedOn w:val="Normal"/>
    <w:uiPriority w:val="99"/>
    <w:semiHidden/>
    <w:unhideWhenUsed/>
    <w:rsid w:val="005B3A0A"/>
    <w:pPr>
      <w:spacing w:before="100" w:beforeAutospacing="1" w:after="100" w:afterAutospacing="1"/>
    </w:pPr>
  </w:style>
  <w:style w:type="character" w:styleId="Hyperlink">
    <w:name w:val="Hyperlink"/>
    <w:basedOn w:val="DefaultParagraphFont"/>
    <w:uiPriority w:val="99"/>
    <w:unhideWhenUsed/>
    <w:rsid w:val="00A20CE5"/>
    <w:rPr>
      <w:color w:val="0563C1" w:themeColor="hyperlink"/>
      <w:u w:val="single"/>
    </w:rPr>
  </w:style>
  <w:style w:type="character" w:styleId="UnresolvedMention">
    <w:name w:val="Unresolved Mention"/>
    <w:basedOn w:val="DefaultParagraphFont"/>
    <w:uiPriority w:val="99"/>
    <w:semiHidden/>
    <w:unhideWhenUsed/>
    <w:rsid w:val="00A20CE5"/>
    <w:rPr>
      <w:color w:val="605E5C"/>
      <w:shd w:val="clear" w:color="auto" w:fill="E1DFDD"/>
    </w:rPr>
  </w:style>
  <w:style w:type="character" w:customStyle="1" w:styleId="Heading3Char">
    <w:name w:val="Heading 3 Char"/>
    <w:basedOn w:val="DefaultParagraphFont"/>
    <w:link w:val="Heading3"/>
    <w:uiPriority w:val="9"/>
    <w:rsid w:val="006F0640"/>
    <w:rPr>
      <w:rFonts w:ascii="Times New Roman" w:eastAsia="Times New Roman" w:hAnsi="Times New Roman" w:cs="Times New Roman"/>
      <w:b/>
      <w:bCs/>
      <w:sz w:val="27"/>
      <w:szCs w:val="27"/>
      <w:lang w:eastAsia="en-GB"/>
    </w:rPr>
  </w:style>
  <w:style w:type="paragraph" w:customStyle="1" w:styleId="legclearfix">
    <w:name w:val="legclearfix"/>
    <w:basedOn w:val="Normal"/>
    <w:rsid w:val="00420970"/>
    <w:pPr>
      <w:spacing w:before="100" w:beforeAutospacing="1" w:after="100" w:afterAutospacing="1"/>
    </w:pPr>
  </w:style>
  <w:style w:type="character" w:customStyle="1" w:styleId="legds">
    <w:name w:val="legds"/>
    <w:basedOn w:val="DefaultParagraphFont"/>
    <w:rsid w:val="00420970"/>
  </w:style>
  <w:style w:type="character" w:customStyle="1" w:styleId="apple-converted-space">
    <w:name w:val="apple-converted-space"/>
    <w:basedOn w:val="DefaultParagraphFont"/>
    <w:rsid w:val="007E4E0E"/>
  </w:style>
  <w:style w:type="character" w:styleId="FollowedHyperlink">
    <w:name w:val="FollowedHyperlink"/>
    <w:basedOn w:val="DefaultParagraphFont"/>
    <w:uiPriority w:val="99"/>
    <w:semiHidden/>
    <w:unhideWhenUsed/>
    <w:rsid w:val="00287972"/>
    <w:rPr>
      <w:color w:val="954F72" w:themeColor="followedHyperlink"/>
      <w:u w:val="single"/>
    </w:rPr>
  </w:style>
  <w:style w:type="character" w:styleId="Emphasis">
    <w:name w:val="Emphasis"/>
    <w:basedOn w:val="DefaultParagraphFont"/>
    <w:uiPriority w:val="20"/>
    <w:qFormat/>
    <w:rsid w:val="00287972"/>
    <w:rPr>
      <w:i/>
      <w:iCs/>
    </w:rPr>
  </w:style>
  <w:style w:type="character" w:customStyle="1" w:styleId="issue-underline">
    <w:name w:val="issue-underline"/>
    <w:basedOn w:val="DefaultParagraphFont"/>
    <w:rsid w:val="00AF635B"/>
  </w:style>
  <w:style w:type="character" w:styleId="Strong">
    <w:name w:val="Strong"/>
    <w:basedOn w:val="DefaultParagraphFont"/>
    <w:uiPriority w:val="22"/>
    <w:qFormat/>
    <w:rsid w:val="00B45751"/>
    <w:rPr>
      <w:b/>
      <w:bCs/>
    </w:rPr>
  </w:style>
  <w:style w:type="character" w:customStyle="1" w:styleId="hgkelc">
    <w:name w:val="hgkelc"/>
    <w:basedOn w:val="DefaultParagraphFont"/>
    <w:rsid w:val="001D0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7087">
      <w:bodyDiv w:val="1"/>
      <w:marLeft w:val="0"/>
      <w:marRight w:val="0"/>
      <w:marTop w:val="0"/>
      <w:marBottom w:val="0"/>
      <w:divBdr>
        <w:top w:val="none" w:sz="0" w:space="0" w:color="auto"/>
        <w:left w:val="none" w:sz="0" w:space="0" w:color="auto"/>
        <w:bottom w:val="none" w:sz="0" w:space="0" w:color="auto"/>
        <w:right w:val="none" w:sz="0" w:space="0" w:color="auto"/>
      </w:divBdr>
      <w:divsChild>
        <w:div w:id="806582247">
          <w:marLeft w:val="0"/>
          <w:marRight w:val="0"/>
          <w:marTop w:val="0"/>
          <w:marBottom w:val="0"/>
          <w:divBdr>
            <w:top w:val="none" w:sz="0" w:space="0" w:color="auto"/>
            <w:left w:val="none" w:sz="0" w:space="0" w:color="auto"/>
            <w:bottom w:val="none" w:sz="0" w:space="0" w:color="auto"/>
            <w:right w:val="none" w:sz="0" w:space="0" w:color="auto"/>
          </w:divBdr>
          <w:divsChild>
            <w:div w:id="303631038">
              <w:marLeft w:val="0"/>
              <w:marRight w:val="0"/>
              <w:marTop w:val="0"/>
              <w:marBottom w:val="0"/>
              <w:divBdr>
                <w:top w:val="none" w:sz="0" w:space="0" w:color="auto"/>
                <w:left w:val="none" w:sz="0" w:space="0" w:color="auto"/>
                <w:bottom w:val="none" w:sz="0" w:space="0" w:color="auto"/>
                <w:right w:val="none" w:sz="0" w:space="0" w:color="auto"/>
              </w:divBdr>
              <w:divsChild>
                <w:div w:id="105762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4245">
      <w:bodyDiv w:val="1"/>
      <w:marLeft w:val="0"/>
      <w:marRight w:val="0"/>
      <w:marTop w:val="0"/>
      <w:marBottom w:val="0"/>
      <w:divBdr>
        <w:top w:val="none" w:sz="0" w:space="0" w:color="auto"/>
        <w:left w:val="none" w:sz="0" w:space="0" w:color="auto"/>
        <w:bottom w:val="none" w:sz="0" w:space="0" w:color="auto"/>
        <w:right w:val="none" w:sz="0" w:space="0" w:color="auto"/>
      </w:divBdr>
    </w:div>
    <w:div w:id="220675956">
      <w:bodyDiv w:val="1"/>
      <w:marLeft w:val="0"/>
      <w:marRight w:val="0"/>
      <w:marTop w:val="0"/>
      <w:marBottom w:val="0"/>
      <w:divBdr>
        <w:top w:val="none" w:sz="0" w:space="0" w:color="auto"/>
        <w:left w:val="none" w:sz="0" w:space="0" w:color="auto"/>
        <w:bottom w:val="none" w:sz="0" w:space="0" w:color="auto"/>
        <w:right w:val="none" w:sz="0" w:space="0" w:color="auto"/>
      </w:divBdr>
    </w:div>
    <w:div w:id="373426781">
      <w:bodyDiv w:val="1"/>
      <w:marLeft w:val="0"/>
      <w:marRight w:val="0"/>
      <w:marTop w:val="0"/>
      <w:marBottom w:val="0"/>
      <w:divBdr>
        <w:top w:val="none" w:sz="0" w:space="0" w:color="auto"/>
        <w:left w:val="none" w:sz="0" w:space="0" w:color="auto"/>
        <w:bottom w:val="none" w:sz="0" w:space="0" w:color="auto"/>
        <w:right w:val="none" w:sz="0" w:space="0" w:color="auto"/>
      </w:divBdr>
    </w:div>
    <w:div w:id="427970958">
      <w:bodyDiv w:val="1"/>
      <w:marLeft w:val="0"/>
      <w:marRight w:val="0"/>
      <w:marTop w:val="0"/>
      <w:marBottom w:val="0"/>
      <w:divBdr>
        <w:top w:val="none" w:sz="0" w:space="0" w:color="auto"/>
        <w:left w:val="none" w:sz="0" w:space="0" w:color="auto"/>
        <w:bottom w:val="none" w:sz="0" w:space="0" w:color="auto"/>
        <w:right w:val="none" w:sz="0" w:space="0" w:color="auto"/>
      </w:divBdr>
    </w:div>
    <w:div w:id="522018779">
      <w:bodyDiv w:val="1"/>
      <w:marLeft w:val="0"/>
      <w:marRight w:val="0"/>
      <w:marTop w:val="0"/>
      <w:marBottom w:val="0"/>
      <w:divBdr>
        <w:top w:val="none" w:sz="0" w:space="0" w:color="auto"/>
        <w:left w:val="none" w:sz="0" w:space="0" w:color="auto"/>
        <w:bottom w:val="none" w:sz="0" w:space="0" w:color="auto"/>
        <w:right w:val="none" w:sz="0" w:space="0" w:color="auto"/>
      </w:divBdr>
    </w:div>
    <w:div w:id="544827764">
      <w:bodyDiv w:val="1"/>
      <w:marLeft w:val="0"/>
      <w:marRight w:val="0"/>
      <w:marTop w:val="0"/>
      <w:marBottom w:val="0"/>
      <w:divBdr>
        <w:top w:val="none" w:sz="0" w:space="0" w:color="auto"/>
        <w:left w:val="none" w:sz="0" w:space="0" w:color="auto"/>
        <w:bottom w:val="none" w:sz="0" w:space="0" w:color="auto"/>
        <w:right w:val="none" w:sz="0" w:space="0" w:color="auto"/>
      </w:divBdr>
    </w:div>
    <w:div w:id="557013601">
      <w:bodyDiv w:val="1"/>
      <w:marLeft w:val="0"/>
      <w:marRight w:val="0"/>
      <w:marTop w:val="0"/>
      <w:marBottom w:val="0"/>
      <w:divBdr>
        <w:top w:val="none" w:sz="0" w:space="0" w:color="auto"/>
        <w:left w:val="none" w:sz="0" w:space="0" w:color="auto"/>
        <w:bottom w:val="none" w:sz="0" w:space="0" w:color="auto"/>
        <w:right w:val="none" w:sz="0" w:space="0" w:color="auto"/>
      </w:divBdr>
    </w:div>
    <w:div w:id="594939119">
      <w:bodyDiv w:val="1"/>
      <w:marLeft w:val="0"/>
      <w:marRight w:val="0"/>
      <w:marTop w:val="0"/>
      <w:marBottom w:val="0"/>
      <w:divBdr>
        <w:top w:val="none" w:sz="0" w:space="0" w:color="auto"/>
        <w:left w:val="none" w:sz="0" w:space="0" w:color="auto"/>
        <w:bottom w:val="none" w:sz="0" w:space="0" w:color="auto"/>
        <w:right w:val="none" w:sz="0" w:space="0" w:color="auto"/>
      </w:divBdr>
    </w:div>
    <w:div w:id="638727191">
      <w:bodyDiv w:val="1"/>
      <w:marLeft w:val="0"/>
      <w:marRight w:val="0"/>
      <w:marTop w:val="0"/>
      <w:marBottom w:val="0"/>
      <w:divBdr>
        <w:top w:val="none" w:sz="0" w:space="0" w:color="auto"/>
        <w:left w:val="none" w:sz="0" w:space="0" w:color="auto"/>
        <w:bottom w:val="none" w:sz="0" w:space="0" w:color="auto"/>
        <w:right w:val="none" w:sz="0" w:space="0" w:color="auto"/>
      </w:divBdr>
    </w:div>
    <w:div w:id="698118837">
      <w:bodyDiv w:val="1"/>
      <w:marLeft w:val="0"/>
      <w:marRight w:val="0"/>
      <w:marTop w:val="0"/>
      <w:marBottom w:val="0"/>
      <w:divBdr>
        <w:top w:val="none" w:sz="0" w:space="0" w:color="auto"/>
        <w:left w:val="none" w:sz="0" w:space="0" w:color="auto"/>
        <w:bottom w:val="none" w:sz="0" w:space="0" w:color="auto"/>
        <w:right w:val="none" w:sz="0" w:space="0" w:color="auto"/>
      </w:divBdr>
    </w:div>
    <w:div w:id="718406183">
      <w:bodyDiv w:val="1"/>
      <w:marLeft w:val="0"/>
      <w:marRight w:val="0"/>
      <w:marTop w:val="0"/>
      <w:marBottom w:val="0"/>
      <w:divBdr>
        <w:top w:val="none" w:sz="0" w:space="0" w:color="auto"/>
        <w:left w:val="none" w:sz="0" w:space="0" w:color="auto"/>
        <w:bottom w:val="none" w:sz="0" w:space="0" w:color="auto"/>
        <w:right w:val="none" w:sz="0" w:space="0" w:color="auto"/>
      </w:divBdr>
    </w:div>
    <w:div w:id="763652969">
      <w:bodyDiv w:val="1"/>
      <w:marLeft w:val="0"/>
      <w:marRight w:val="0"/>
      <w:marTop w:val="0"/>
      <w:marBottom w:val="0"/>
      <w:divBdr>
        <w:top w:val="none" w:sz="0" w:space="0" w:color="auto"/>
        <w:left w:val="none" w:sz="0" w:space="0" w:color="auto"/>
        <w:bottom w:val="none" w:sz="0" w:space="0" w:color="auto"/>
        <w:right w:val="none" w:sz="0" w:space="0" w:color="auto"/>
      </w:divBdr>
      <w:divsChild>
        <w:div w:id="14969905">
          <w:marLeft w:val="0"/>
          <w:marRight w:val="0"/>
          <w:marTop w:val="0"/>
          <w:marBottom w:val="0"/>
          <w:divBdr>
            <w:top w:val="none" w:sz="0" w:space="0" w:color="auto"/>
            <w:left w:val="none" w:sz="0" w:space="0" w:color="auto"/>
            <w:bottom w:val="none" w:sz="0" w:space="0" w:color="auto"/>
            <w:right w:val="none" w:sz="0" w:space="0" w:color="auto"/>
          </w:divBdr>
          <w:divsChild>
            <w:div w:id="2129733368">
              <w:marLeft w:val="0"/>
              <w:marRight w:val="0"/>
              <w:marTop w:val="0"/>
              <w:marBottom w:val="0"/>
              <w:divBdr>
                <w:top w:val="none" w:sz="0" w:space="0" w:color="auto"/>
                <w:left w:val="none" w:sz="0" w:space="0" w:color="auto"/>
                <w:bottom w:val="none" w:sz="0" w:space="0" w:color="auto"/>
                <w:right w:val="none" w:sz="0" w:space="0" w:color="auto"/>
              </w:divBdr>
              <w:divsChild>
                <w:div w:id="8057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18233">
      <w:bodyDiv w:val="1"/>
      <w:marLeft w:val="0"/>
      <w:marRight w:val="0"/>
      <w:marTop w:val="0"/>
      <w:marBottom w:val="0"/>
      <w:divBdr>
        <w:top w:val="none" w:sz="0" w:space="0" w:color="auto"/>
        <w:left w:val="none" w:sz="0" w:space="0" w:color="auto"/>
        <w:bottom w:val="none" w:sz="0" w:space="0" w:color="auto"/>
        <w:right w:val="none" w:sz="0" w:space="0" w:color="auto"/>
      </w:divBdr>
    </w:div>
    <w:div w:id="845633976">
      <w:bodyDiv w:val="1"/>
      <w:marLeft w:val="0"/>
      <w:marRight w:val="0"/>
      <w:marTop w:val="0"/>
      <w:marBottom w:val="0"/>
      <w:divBdr>
        <w:top w:val="none" w:sz="0" w:space="0" w:color="auto"/>
        <w:left w:val="none" w:sz="0" w:space="0" w:color="auto"/>
        <w:bottom w:val="none" w:sz="0" w:space="0" w:color="auto"/>
        <w:right w:val="none" w:sz="0" w:space="0" w:color="auto"/>
      </w:divBdr>
    </w:div>
    <w:div w:id="863635344">
      <w:bodyDiv w:val="1"/>
      <w:marLeft w:val="0"/>
      <w:marRight w:val="0"/>
      <w:marTop w:val="0"/>
      <w:marBottom w:val="0"/>
      <w:divBdr>
        <w:top w:val="none" w:sz="0" w:space="0" w:color="auto"/>
        <w:left w:val="none" w:sz="0" w:space="0" w:color="auto"/>
        <w:bottom w:val="none" w:sz="0" w:space="0" w:color="auto"/>
        <w:right w:val="none" w:sz="0" w:space="0" w:color="auto"/>
      </w:divBdr>
    </w:div>
    <w:div w:id="906576310">
      <w:bodyDiv w:val="1"/>
      <w:marLeft w:val="0"/>
      <w:marRight w:val="0"/>
      <w:marTop w:val="0"/>
      <w:marBottom w:val="0"/>
      <w:divBdr>
        <w:top w:val="none" w:sz="0" w:space="0" w:color="auto"/>
        <w:left w:val="none" w:sz="0" w:space="0" w:color="auto"/>
        <w:bottom w:val="none" w:sz="0" w:space="0" w:color="auto"/>
        <w:right w:val="none" w:sz="0" w:space="0" w:color="auto"/>
      </w:divBdr>
    </w:div>
    <w:div w:id="984509466">
      <w:bodyDiv w:val="1"/>
      <w:marLeft w:val="0"/>
      <w:marRight w:val="0"/>
      <w:marTop w:val="0"/>
      <w:marBottom w:val="0"/>
      <w:divBdr>
        <w:top w:val="none" w:sz="0" w:space="0" w:color="auto"/>
        <w:left w:val="none" w:sz="0" w:space="0" w:color="auto"/>
        <w:bottom w:val="none" w:sz="0" w:space="0" w:color="auto"/>
        <w:right w:val="none" w:sz="0" w:space="0" w:color="auto"/>
      </w:divBdr>
    </w:div>
    <w:div w:id="1031495397">
      <w:bodyDiv w:val="1"/>
      <w:marLeft w:val="0"/>
      <w:marRight w:val="0"/>
      <w:marTop w:val="0"/>
      <w:marBottom w:val="0"/>
      <w:divBdr>
        <w:top w:val="none" w:sz="0" w:space="0" w:color="auto"/>
        <w:left w:val="none" w:sz="0" w:space="0" w:color="auto"/>
        <w:bottom w:val="none" w:sz="0" w:space="0" w:color="auto"/>
        <w:right w:val="none" w:sz="0" w:space="0" w:color="auto"/>
      </w:divBdr>
    </w:div>
    <w:div w:id="1073164562">
      <w:bodyDiv w:val="1"/>
      <w:marLeft w:val="0"/>
      <w:marRight w:val="0"/>
      <w:marTop w:val="0"/>
      <w:marBottom w:val="0"/>
      <w:divBdr>
        <w:top w:val="none" w:sz="0" w:space="0" w:color="auto"/>
        <w:left w:val="none" w:sz="0" w:space="0" w:color="auto"/>
        <w:bottom w:val="none" w:sz="0" w:space="0" w:color="auto"/>
        <w:right w:val="none" w:sz="0" w:space="0" w:color="auto"/>
      </w:divBdr>
    </w:div>
    <w:div w:id="1111977938">
      <w:bodyDiv w:val="1"/>
      <w:marLeft w:val="0"/>
      <w:marRight w:val="0"/>
      <w:marTop w:val="0"/>
      <w:marBottom w:val="0"/>
      <w:divBdr>
        <w:top w:val="none" w:sz="0" w:space="0" w:color="auto"/>
        <w:left w:val="none" w:sz="0" w:space="0" w:color="auto"/>
        <w:bottom w:val="none" w:sz="0" w:space="0" w:color="auto"/>
        <w:right w:val="none" w:sz="0" w:space="0" w:color="auto"/>
      </w:divBdr>
    </w:div>
    <w:div w:id="1115634639">
      <w:bodyDiv w:val="1"/>
      <w:marLeft w:val="0"/>
      <w:marRight w:val="0"/>
      <w:marTop w:val="0"/>
      <w:marBottom w:val="0"/>
      <w:divBdr>
        <w:top w:val="none" w:sz="0" w:space="0" w:color="auto"/>
        <w:left w:val="none" w:sz="0" w:space="0" w:color="auto"/>
        <w:bottom w:val="none" w:sz="0" w:space="0" w:color="auto"/>
        <w:right w:val="none" w:sz="0" w:space="0" w:color="auto"/>
      </w:divBdr>
    </w:div>
    <w:div w:id="1128086259">
      <w:bodyDiv w:val="1"/>
      <w:marLeft w:val="0"/>
      <w:marRight w:val="0"/>
      <w:marTop w:val="0"/>
      <w:marBottom w:val="0"/>
      <w:divBdr>
        <w:top w:val="none" w:sz="0" w:space="0" w:color="auto"/>
        <w:left w:val="none" w:sz="0" w:space="0" w:color="auto"/>
        <w:bottom w:val="none" w:sz="0" w:space="0" w:color="auto"/>
        <w:right w:val="none" w:sz="0" w:space="0" w:color="auto"/>
      </w:divBdr>
    </w:div>
    <w:div w:id="1216743438">
      <w:bodyDiv w:val="1"/>
      <w:marLeft w:val="0"/>
      <w:marRight w:val="0"/>
      <w:marTop w:val="0"/>
      <w:marBottom w:val="0"/>
      <w:divBdr>
        <w:top w:val="none" w:sz="0" w:space="0" w:color="auto"/>
        <w:left w:val="none" w:sz="0" w:space="0" w:color="auto"/>
        <w:bottom w:val="none" w:sz="0" w:space="0" w:color="auto"/>
        <w:right w:val="none" w:sz="0" w:space="0" w:color="auto"/>
      </w:divBdr>
    </w:div>
    <w:div w:id="1281378390">
      <w:bodyDiv w:val="1"/>
      <w:marLeft w:val="0"/>
      <w:marRight w:val="0"/>
      <w:marTop w:val="0"/>
      <w:marBottom w:val="0"/>
      <w:divBdr>
        <w:top w:val="none" w:sz="0" w:space="0" w:color="auto"/>
        <w:left w:val="none" w:sz="0" w:space="0" w:color="auto"/>
        <w:bottom w:val="none" w:sz="0" w:space="0" w:color="auto"/>
        <w:right w:val="none" w:sz="0" w:space="0" w:color="auto"/>
      </w:divBdr>
    </w:div>
    <w:div w:id="1288201048">
      <w:bodyDiv w:val="1"/>
      <w:marLeft w:val="0"/>
      <w:marRight w:val="0"/>
      <w:marTop w:val="0"/>
      <w:marBottom w:val="0"/>
      <w:divBdr>
        <w:top w:val="none" w:sz="0" w:space="0" w:color="auto"/>
        <w:left w:val="none" w:sz="0" w:space="0" w:color="auto"/>
        <w:bottom w:val="none" w:sz="0" w:space="0" w:color="auto"/>
        <w:right w:val="none" w:sz="0" w:space="0" w:color="auto"/>
      </w:divBdr>
      <w:divsChild>
        <w:div w:id="482508357">
          <w:marLeft w:val="0"/>
          <w:marRight w:val="0"/>
          <w:marTop w:val="0"/>
          <w:marBottom w:val="0"/>
          <w:divBdr>
            <w:top w:val="none" w:sz="0" w:space="0" w:color="auto"/>
            <w:left w:val="none" w:sz="0" w:space="0" w:color="auto"/>
            <w:bottom w:val="none" w:sz="0" w:space="0" w:color="auto"/>
            <w:right w:val="none" w:sz="0" w:space="0" w:color="auto"/>
          </w:divBdr>
          <w:divsChild>
            <w:div w:id="526716856">
              <w:marLeft w:val="0"/>
              <w:marRight w:val="0"/>
              <w:marTop w:val="0"/>
              <w:marBottom w:val="0"/>
              <w:divBdr>
                <w:top w:val="none" w:sz="0" w:space="0" w:color="auto"/>
                <w:left w:val="none" w:sz="0" w:space="0" w:color="auto"/>
                <w:bottom w:val="none" w:sz="0" w:space="0" w:color="auto"/>
                <w:right w:val="none" w:sz="0" w:space="0" w:color="auto"/>
              </w:divBdr>
              <w:divsChild>
                <w:div w:id="19293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327366">
      <w:bodyDiv w:val="1"/>
      <w:marLeft w:val="0"/>
      <w:marRight w:val="0"/>
      <w:marTop w:val="0"/>
      <w:marBottom w:val="0"/>
      <w:divBdr>
        <w:top w:val="none" w:sz="0" w:space="0" w:color="auto"/>
        <w:left w:val="none" w:sz="0" w:space="0" w:color="auto"/>
        <w:bottom w:val="none" w:sz="0" w:space="0" w:color="auto"/>
        <w:right w:val="none" w:sz="0" w:space="0" w:color="auto"/>
      </w:divBdr>
      <w:divsChild>
        <w:div w:id="2009476718">
          <w:marLeft w:val="0"/>
          <w:marRight w:val="0"/>
          <w:marTop w:val="0"/>
          <w:marBottom w:val="0"/>
          <w:divBdr>
            <w:top w:val="none" w:sz="0" w:space="0" w:color="auto"/>
            <w:left w:val="none" w:sz="0" w:space="0" w:color="auto"/>
            <w:bottom w:val="none" w:sz="0" w:space="0" w:color="auto"/>
            <w:right w:val="none" w:sz="0" w:space="0" w:color="auto"/>
          </w:divBdr>
          <w:divsChild>
            <w:div w:id="434981933">
              <w:marLeft w:val="0"/>
              <w:marRight w:val="0"/>
              <w:marTop w:val="0"/>
              <w:marBottom w:val="0"/>
              <w:divBdr>
                <w:top w:val="none" w:sz="0" w:space="0" w:color="auto"/>
                <w:left w:val="none" w:sz="0" w:space="0" w:color="auto"/>
                <w:bottom w:val="none" w:sz="0" w:space="0" w:color="auto"/>
                <w:right w:val="none" w:sz="0" w:space="0" w:color="auto"/>
              </w:divBdr>
              <w:divsChild>
                <w:div w:id="157215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8084">
      <w:bodyDiv w:val="1"/>
      <w:marLeft w:val="0"/>
      <w:marRight w:val="0"/>
      <w:marTop w:val="0"/>
      <w:marBottom w:val="0"/>
      <w:divBdr>
        <w:top w:val="none" w:sz="0" w:space="0" w:color="auto"/>
        <w:left w:val="none" w:sz="0" w:space="0" w:color="auto"/>
        <w:bottom w:val="none" w:sz="0" w:space="0" w:color="auto"/>
        <w:right w:val="none" w:sz="0" w:space="0" w:color="auto"/>
      </w:divBdr>
    </w:div>
    <w:div w:id="1469515555">
      <w:bodyDiv w:val="1"/>
      <w:marLeft w:val="0"/>
      <w:marRight w:val="0"/>
      <w:marTop w:val="0"/>
      <w:marBottom w:val="0"/>
      <w:divBdr>
        <w:top w:val="none" w:sz="0" w:space="0" w:color="auto"/>
        <w:left w:val="none" w:sz="0" w:space="0" w:color="auto"/>
        <w:bottom w:val="none" w:sz="0" w:space="0" w:color="auto"/>
        <w:right w:val="none" w:sz="0" w:space="0" w:color="auto"/>
      </w:divBdr>
    </w:div>
    <w:div w:id="1471895433">
      <w:bodyDiv w:val="1"/>
      <w:marLeft w:val="0"/>
      <w:marRight w:val="0"/>
      <w:marTop w:val="0"/>
      <w:marBottom w:val="0"/>
      <w:divBdr>
        <w:top w:val="none" w:sz="0" w:space="0" w:color="auto"/>
        <w:left w:val="none" w:sz="0" w:space="0" w:color="auto"/>
        <w:bottom w:val="none" w:sz="0" w:space="0" w:color="auto"/>
        <w:right w:val="none" w:sz="0" w:space="0" w:color="auto"/>
      </w:divBdr>
    </w:div>
    <w:div w:id="1522861651">
      <w:bodyDiv w:val="1"/>
      <w:marLeft w:val="0"/>
      <w:marRight w:val="0"/>
      <w:marTop w:val="0"/>
      <w:marBottom w:val="0"/>
      <w:divBdr>
        <w:top w:val="none" w:sz="0" w:space="0" w:color="auto"/>
        <w:left w:val="none" w:sz="0" w:space="0" w:color="auto"/>
        <w:bottom w:val="none" w:sz="0" w:space="0" w:color="auto"/>
        <w:right w:val="none" w:sz="0" w:space="0" w:color="auto"/>
      </w:divBdr>
    </w:div>
    <w:div w:id="1557352324">
      <w:bodyDiv w:val="1"/>
      <w:marLeft w:val="0"/>
      <w:marRight w:val="0"/>
      <w:marTop w:val="0"/>
      <w:marBottom w:val="0"/>
      <w:divBdr>
        <w:top w:val="none" w:sz="0" w:space="0" w:color="auto"/>
        <w:left w:val="none" w:sz="0" w:space="0" w:color="auto"/>
        <w:bottom w:val="none" w:sz="0" w:space="0" w:color="auto"/>
        <w:right w:val="none" w:sz="0" w:space="0" w:color="auto"/>
      </w:divBdr>
      <w:divsChild>
        <w:div w:id="549459340">
          <w:marLeft w:val="0"/>
          <w:marRight w:val="0"/>
          <w:marTop w:val="0"/>
          <w:marBottom w:val="0"/>
          <w:divBdr>
            <w:top w:val="none" w:sz="0" w:space="0" w:color="auto"/>
            <w:left w:val="none" w:sz="0" w:space="0" w:color="auto"/>
            <w:bottom w:val="none" w:sz="0" w:space="0" w:color="auto"/>
            <w:right w:val="none" w:sz="0" w:space="0" w:color="auto"/>
          </w:divBdr>
        </w:div>
        <w:div w:id="1659075505">
          <w:marLeft w:val="0"/>
          <w:marRight w:val="0"/>
          <w:marTop w:val="0"/>
          <w:marBottom w:val="0"/>
          <w:divBdr>
            <w:top w:val="none" w:sz="0" w:space="0" w:color="auto"/>
            <w:left w:val="none" w:sz="0" w:space="0" w:color="auto"/>
            <w:bottom w:val="none" w:sz="0" w:space="0" w:color="auto"/>
            <w:right w:val="none" w:sz="0" w:space="0" w:color="auto"/>
          </w:divBdr>
          <w:divsChild>
            <w:div w:id="2071615747">
              <w:marLeft w:val="0"/>
              <w:marRight w:val="0"/>
              <w:marTop w:val="0"/>
              <w:marBottom w:val="0"/>
              <w:divBdr>
                <w:top w:val="none" w:sz="0" w:space="0" w:color="auto"/>
                <w:left w:val="none" w:sz="0" w:space="0" w:color="auto"/>
                <w:bottom w:val="none" w:sz="0" w:space="0" w:color="auto"/>
                <w:right w:val="none" w:sz="0" w:space="0" w:color="auto"/>
              </w:divBdr>
              <w:divsChild>
                <w:div w:id="987975865">
                  <w:marLeft w:val="0"/>
                  <w:marRight w:val="0"/>
                  <w:marTop w:val="0"/>
                  <w:marBottom w:val="0"/>
                  <w:divBdr>
                    <w:top w:val="none" w:sz="0" w:space="0" w:color="auto"/>
                    <w:left w:val="none" w:sz="0" w:space="0" w:color="auto"/>
                    <w:bottom w:val="none" w:sz="0" w:space="0" w:color="auto"/>
                    <w:right w:val="none" w:sz="0" w:space="0" w:color="auto"/>
                  </w:divBdr>
                  <w:divsChild>
                    <w:div w:id="1092240410">
                      <w:marLeft w:val="0"/>
                      <w:marRight w:val="0"/>
                      <w:marTop w:val="0"/>
                      <w:marBottom w:val="0"/>
                      <w:divBdr>
                        <w:top w:val="none" w:sz="0" w:space="0" w:color="auto"/>
                        <w:left w:val="none" w:sz="0" w:space="0" w:color="auto"/>
                        <w:bottom w:val="none" w:sz="0" w:space="0" w:color="auto"/>
                        <w:right w:val="none" w:sz="0" w:space="0" w:color="auto"/>
                      </w:divBdr>
                      <w:divsChild>
                        <w:div w:id="1447194450">
                          <w:marLeft w:val="0"/>
                          <w:marRight w:val="0"/>
                          <w:marTop w:val="0"/>
                          <w:marBottom w:val="0"/>
                          <w:divBdr>
                            <w:top w:val="none" w:sz="0" w:space="0" w:color="auto"/>
                            <w:left w:val="none" w:sz="0" w:space="0" w:color="auto"/>
                            <w:bottom w:val="none" w:sz="0" w:space="0" w:color="auto"/>
                            <w:right w:val="none" w:sz="0" w:space="0" w:color="auto"/>
                          </w:divBdr>
                          <w:divsChild>
                            <w:div w:id="53885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831471">
      <w:bodyDiv w:val="1"/>
      <w:marLeft w:val="0"/>
      <w:marRight w:val="0"/>
      <w:marTop w:val="0"/>
      <w:marBottom w:val="0"/>
      <w:divBdr>
        <w:top w:val="none" w:sz="0" w:space="0" w:color="auto"/>
        <w:left w:val="none" w:sz="0" w:space="0" w:color="auto"/>
        <w:bottom w:val="none" w:sz="0" w:space="0" w:color="auto"/>
        <w:right w:val="none" w:sz="0" w:space="0" w:color="auto"/>
      </w:divBdr>
    </w:div>
    <w:div w:id="1651398452">
      <w:bodyDiv w:val="1"/>
      <w:marLeft w:val="0"/>
      <w:marRight w:val="0"/>
      <w:marTop w:val="0"/>
      <w:marBottom w:val="0"/>
      <w:divBdr>
        <w:top w:val="none" w:sz="0" w:space="0" w:color="auto"/>
        <w:left w:val="none" w:sz="0" w:space="0" w:color="auto"/>
        <w:bottom w:val="none" w:sz="0" w:space="0" w:color="auto"/>
        <w:right w:val="none" w:sz="0" w:space="0" w:color="auto"/>
      </w:divBdr>
      <w:divsChild>
        <w:div w:id="368142005">
          <w:marLeft w:val="0"/>
          <w:marRight w:val="0"/>
          <w:marTop w:val="0"/>
          <w:marBottom w:val="0"/>
          <w:divBdr>
            <w:top w:val="none" w:sz="0" w:space="0" w:color="auto"/>
            <w:left w:val="none" w:sz="0" w:space="0" w:color="auto"/>
            <w:bottom w:val="none" w:sz="0" w:space="0" w:color="auto"/>
            <w:right w:val="none" w:sz="0" w:space="0" w:color="auto"/>
          </w:divBdr>
          <w:divsChild>
            <w:div w:id="1479499163">
              <w:marLeft w:val="0"/>
              <w:marRight w:val="0"/>
              <w:marTop w:val="0"/>
              <w:marBottom w:val="0"/>
              <w:divBdr>
                <w:top w:val="none" w:sz="0" w:space="0" w:color="auto"/>
                <w:left w:val="none" w:sz="0" w:space="0" w:color="auto"/>
                <w:bottom w:val="none" w:sz="0" w:space="0" w:color="auto"/>
                <w:right w:val="none" w:sz="0" w:space="0" w:color="auto"/>
              </w:divBdr>
              <w:divsChild>
                <w:div w:id="9860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020606">
      <w:bodyDiv w:val="1"/>
      <w:marLeft w:val="0"/>
      <w:marRight w:val="0"/>
      <w:marTop w:val="0"/>
      <w:marBottom w:val="0"/>
      <w:divBdr>
        <w:top w:val="none" w:sz="0" w:space="0" w:color="auto"/>
        <w:left w:val="none" w:sz="0" w:space="0" w:color="auto"/>
        <w:bottom w:val="none" w:sz="0" w:space="0" w:color="auto"/>
        <w:right w:val="none" w:sz="0" w:space="0" w:color="auto"/>
      </w:divBdr>
    </w:div>
    <w:div w:id="1705980479">
      <w:bodyDiv w:val="1"/>
      <w:marLeft w:val="0"/>
      <w:marRight w:val="0"/>
      <w:marTop w:val="0"/>
      <w:marBottom w:val="0"/>
      <w:divBdr>
        <w:top w:val="none" w:sz="0" w:space="0" w:color="auto"/>
        <w:left w:val="none" w:sz="0" w:space="0" w:color="auto"/>
        <w:bottom w:val="none" w:sz="0" w:space="0" w:color="auto"/>
        <w:right w:val="none" w:sz="0" w:space="0" w:color="auto"/>
      </w:divBdr>
    </w:div>
    <w:div w:id="1750809239">
      <w:bodyDiv w:val="1"/>
      <w:marLeft w:val="0"/>
      <w:marRight w:val="0"/>
      <w:marTop w:val="0"/>
      <w:marBottom w:val="0"/>
      <w:divBdr>
        <w:top w:val="none" w:sz="0" w:space="0" w:color="auto"/>
        <w:left w:val="none" w:sz="0" w:space="0" w:color="auto"/>
        <w:bottom w:val="none" w:sz="0" w:space="0" w:color="auto"/>
        <w:right w:val="none" w:sz="0" w:space="0" w:color="auto"/>
      </w:divBdr>
    </w:div>
    <w:div w:id="1769039754">
      <w:bodyDiv w:val="1"/>
      <w:marLeft w:val="0"/>
      <w:marRight w:val="0"/>
      <w:marTop w:val="0"/>
      <w:marBottom w:val="0"/>
      <w:divBdr>
        <w:top w:val="none" w:sz="0" w:space="0" w:color="auto"/>
        <w:left w:val="none" w:sz="0" w:space="0" w:color="auto"/>
        <w:bottom w:val="none" w:sz="0" w:space="0" w:color="auto"/>
        <w:right w:val="none" w:sz="0" w:space="0" w:color="auto"/>
      </w:divBdr>
    </w:div>
    <w:div w:id="1953702898">
      <w:bodyDiv w:val="1"/>
      <w:marLeft w:val="0"/>
      <w:marRight w:val="0"/>
      <w:marTop w:val="0"/>
      <w:marBottom w:val="0"/>
      <w:divBdr>
        <w:top w:val="none" w:sz="0" w:space="0" w:color="auto"/>
        <w:left w:val="none" w:sz="0" w:space="0" w:color="auto"/>
        <w:bottom w:val="none" w:sz="0" w:space="0" w:color="auto"/>
        <w:right w:val="none" w:sz="0" w:space="0" w:color="auto"/>
      </w:divBdr>
    </w:div>
    <w:div w:id="1964775340">
      <w:bodyDiv w:val="1"/>
      <w:marLeft w:val="0"/>
      <w:marRight w:val="0"/>
      <w:marTop w:val="0"/>
      <w:marBottom w:val="0"/>
      <w:divBdr>
        <w:top w:val="none" w:sz="0" w:space="0" w:color="auto"/>
        <w:left w:val="none" w:sz="0" w:space="0" w:color="auto"/>
        <w:bottom w:val="none" w:sz="0" w:space="0" w:color="auto"/>
        <w:right w:val="none" w:sz="0" w:space="0" w:color="auto"/>
      </w:divBdr>
    </w:div>
    <w:div w:id="2013216636">
      <w:bodyDiv w:val="1"/>
      <w:marLeft w:val="0"/>
      <w:marRight w:val="0"/>
      <w:marTop w:val="0"/>
      <w:marBottom w:val="0"/>
      <w:divBdr>
        <w:top w:val="none" w:sz="0" w:space="0" w:color="auto"/>
        <w:left w:val="none" w:sz="0" w:space="0" w:color="auto"/>
        <w:bottom w:val="none" w:sz="0" w:space="0" w:color="auto"/>
        <w:right w:val="none" w:sz="0" w:space="0" w:color="auto"/>
      </w:divBdr>
    </w:div>
    <w:div w:id="2098596977">
      <w:bodyDiv w:val="1"/>
      <w:marLeft w:val="0"/>
      <w:marRight w:val="0"/>
      <w:marTop w:val="0"/>
      <w:marBottom w:val="0"/>
      <w:divBdr>
        <w:top w:val="none" w:sz="0" w:space="0" w:color="auto"/>
        <w:left w:val="none" w:sz="0" w:space="0" w:color="auto"/>
        <w:bottom w:val="none" w:sz="0" w:space="0" w:color="auto"/>
        <w:right w:val="none" w:sz="0" w:space="0" w:color="auto"/>
      </w:divBdr>
    </w:div>
    <w:div w:id="211740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gislation.gov.uk/ukpga/1992/52/cont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2389</Words>
  <Characters>13622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2</cp:revision>
  <dcterms:created xsi:type="dcterms:W3CDTF">2023-03-10T20:38:00Z</dcterms:created>
  <dcterms:modified xsi:type="dcterms:W3CDTF">2023-03-10T20:38:00Z</dcterms:modified>
</cp:coreProperties>
</file>