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CCE436" w14:textId="77777777" w:rsidR="00FB2E89" w:rsidRDefault="00FB2E89" w:rsidP="00762DC3">
      <w:pPr>
        <w:tabs>
          <w:tab w:val="left" w:pos="2970"/>
        </w:tabs>
        <w:spacing w:line="360" w:lineRule="auto"/>
        <w:ind w:left="1440" w:firstLine="720"/>
        <w:jc w:val="both"/>
        <w:rPr>
          <w:rFonts w:ascii="Arial" w:hAnsi="Arial" w:cs="Arial"/>
          <w:b/>
          <w:bCs/>
          <w:sz w:val="22"/>
          <w:szCs w:val="22"/>
        </w:rPr>
      </w:pPr>
    </w:p>
    <w:p w14:paraId="37E8DAD4" w14:textId="77777777" w:rsidR="00FB2E89" w:rsidRDefault="00FB2E89" w:rsidP="00762DC3">
      <w:pPr>
        <w:tabs>
          <w:tab w:val="left" w:pos="2970"/>
        </w:tabs>
        <w:spacing w:line="360" w:lineRule="auto"/>
        <w:ind w:left="1440" w:firstLine="720"/>
        <w:jc w:val="both"/>
        <w:rPr>
          <w:rFonts w:ascii="Arial" w:hAnsi="Arial" w:cs="Arial"/>
          <w:b/>
          <w:bCs/>
          <w:sz w:val="22"/>
          <w:szCs w:val="22"/>
        </w:rPr>
      </w:pPr>
    </w:p>
    <w:p w14:paraId="0F00CEB5" w14:textId="77777777" w:rsidR="00FB2E89" w:rsidRDefault="00FB2E89" w:rsidP="00762DC3">
      <w:pPr>
        <w:tabs>
          <w:tab w:val="left" w:pos="2970"/>
        </w:tabs>
        <w:spacing w:line="360" w:lineRule="auto"/>
        <w:ind w:left="1440" w:firstLine="720"/>
        <w:jc w:val="both"/>
        <w:rPr>
          <w:rFonts w:ascii="Arial" w:hAnsi="Arial" w:cs="Arial"/>
          <w:b/>
          <w:bCs/>
          <w:sz w:val="22"/>
          <w:szCs w:val="22"/>
        </w:rPr>
      </w:pPr>
    </w:p>
    <w:p w14:paraId="502D93CC" w14:textId="77777777" w:rsidR="00A732ED" w:rsidRDefault="00A732ED" w:rsidP="00762DC3">
      <w:pPr>
        <w:tabs>
          <w:tab w:val="left" w:pos="2970"/>
        </w:tabs>
        <w:spacing w:line="360" w:lineRule="auto"/>
        <w:ind w:left="1440" w:firstLine="720"/>
        <w:jc w:val="both"/>
        <w:rPr>
          <w:rFonts w:ascii="Arial" w:hAnsi="Arial" w:cs="Arial"/>
          <w:b/>
          <w:bCs/>
          <w:sz w:val="22"/>
          <w:szCs w:val="22"/>
        </w:rPr>
      </w:pPr>
    </w:p>
    <w:p w14:paraId="30511B29" w14:textId="77777777" w:rsidR="00A732ED" w:rsidRDefault="00A732ED" w:rsidP="00762DC3">
      <w:pPr>
        <w:tabs>
          <w:tab w:val="left" w:pos="2970"/>
        </w:tabs>
        <w:spacing w:line="360" w:lineRule="auto"/>
        <w:ind w:left="1440" w:firstLine="720"/>
        <w:jc w:val="both"/>
        <w:rPr>
          <w:rFonts w:ascii="Arial" w:hAnsi="Arial" w:cs="Arial"/>
          <w:b/>
          <w:bCs/>
          <w:sz w:val="22"/>
          <w:szCs w:val="22"/>
        </w:rPr>
      </w:pPr>
    </w:p>
    <w:p w14:paraId="362190D6" w14:textId="77777777" w:rsidR="00A732ED" w:rsidRDefault="00A732ED" w:rsidP="00762DC3">
      <w:pPr>
        <w:tabs>
          <w:tab w:val="left" w:pos="2970"/>
        </w:tabs>
        <w:spacing w:line="360" w:lineRule="auto"/>
        <w:ind w:left="1440" w:firstLine="720"/>
        <w:jc w:val="both"/>
        <w:rPr>
          <w:rFonts w:ascii="Arial" w:hAnsi="Arial" w:cs="Arial"/>
          <w:b/>
          <w:bCs/>
          <w:sz w:val="22"/>
          <w:szCs w:val="22"/>
        </w:rPr>
      </w:pPr>
    </w:p>
    <w:p w14:paraId="59F877B8" w14:textId="77777777" w:rsidR="00A732ED" w:rsidRDefault="00A732ED" w:rsidP="00762DC3">
      <w:pPr>
        <w:tabs>
          <w:tab w:val="left" w:pos="2970"/>
        </w:tabs>
        <w:spacing w:line="360" w:lineRule="auto"/>
        <w:ind w:left="1440" w:firstLine="720"/>
        <w:jc w:val="both"/>
        <w:rPr>
          <w:rFonts w:ascii="Arial" w:hAnsi="Arial" w:cs="Arial"/>
          <w:b/>
          <w:bCs/>
          <w:sz w:val="22"/>
          <w:szCs w:val="22"/>
        </w:rPr>
      </w:pPr>
    </w:p>
    <w:p w14:paraId="59D37FDA" w14:textId="7B1FD379" w:rsidR="003F2FF6" w:rsidRPr="00762DC3" w:rsidRDefault="00FB2E89" w:rsidP="00762DC3">
      <w:pPr>
        <w:tabs>
          <w:tab w:val="left" w:pos="2970"/>
        </w:tabs>
        <w:spacing w:line="360" w:lineRule="auto"/>
        <w:ind w:left="1440" w:firstLine="720"/>
        <w:jc w:val="both"/>
        <w:rPr>
          <w:rFonts w:ascii="Arial" w:hAnsi="Arial" w:cs="Arial"/>
          <w:b/>
          <w:bCs/>
          <w:sz w:val="22"/>
          <w:szCs w:val="22"/>
        </w:rPr>
      </w:pPr>
      <w:r w:rsidRPr="00762DC3">
        <w:rPr>
          <w:rFonts w:ascii="Arial" w:hAnsi="Arial" w:cs="Arial"/>
          <w:b/>
          <w:bCs/>
          <w:sz w:val="22"/>
          <w:szCs w:val="22"/>
        </w:rPr>
        <w:t>MODULE:  INTRODUCTION TO PUBLIC HEALTH</w:t>
      </w:r>
    </w:p>
    <w:p w14:paraId="3E25FA02" w14:textId="3BFC2237" w:rsidR="003F2FF6" w:rsidRPr="00762DC3" w:rsidRDefault="00FB2E89" w:rsidP="00762DC3">
      <w:pPr>
        <w:tabs>
          <w:tab w:val="left" w:pos="2970"/>
        </w:tabs>
        <w:spacing w:line="360" w:lineRule="auto"/>
        <w:ind w:left="2160" w:firstLine="720"/>
        <w:jc w:val="both"/>
        <w:rPr>
          <w:rFonts w:ascii="Arial" w:hAnsi="Arial" w:cs="Arial"/>
          <w:b/>
          <w:bCs/>
          <w:sz w:val="22"/>
          <w:szCs w:val="22"/>
        </w:rPr>
      </w:pPr>
      <w:r w:rsidRPr="00762DC3">
        <w:rPr>
          <w:rFonts w:ascii="Arial" w:hAnsi="Arial" w:cs="Arial"/>
          <w:b/>
          <w:bCs/>
          <w:sz w:val="22"/>
          <w:szCs w:val="22"/>
        </w:rPr>
        <w:tab/>
        <w:t xml:space="preserve">    MODULE CODE </w:t>
      </w:r>
      <w:r>
        <w:rPr>
          <w:rFonts w:ascii="Arial" w:hAnsi="Arial" w:cs="Arial"/>
          <w:b/>
          <w:bCs/>
          <w:sz w:val="22"/>
          <w:szCs w:val="22"/>
        </w:rPr>
        <w:t>(</w:t>
      </w:r>
      <w:r w:rsidRPr="00762DC3">
        <w:rPr>
          <w:rFonts w:ascii="Arial" w:hAnsi="Arial" w:cs="Arial"/>
          <w:b/>
          <w:bCs/>
          <w:sz w:val="22"/>
          <w:szCs w:val="22"/>
        </w:rPr>
        <w:t>LCHS4004</w:t>
      </w:r>
      <w:r>
        <w:rPr>
          <w:rFonts w:ascii="Arial" w:hAnsi="Arial" w:cs="Arial"/>
          <w:b/>
          <w:bCs/>
          <w:sz w:val="22"/>
          <w:szCs w:val="22"/>
        </w:rPr>
        <w:t>)</w:t>
      </w:r>
    </w:p>
    <w:p w14:paraId="2B3DD9BD" w14:textId="77777777" w:rsidR="003F2FF6" w:rsidRPr="00762DC3" w:rsidRDefault="003F2FF6" w:rsidP="00762DC3">
      <w:pPr>
        <w:tabs>
          <w:tab w:val="left" w:pos="2970"/>
        </w:tabs>
        <w:spacing w:line="360" w:lineRule="auto"/>
        <w:ind w:left="2160" w:firstLine="720"/>
        <w:jc w:val="both"/>
        <w:rPr>
          <w:rFonts w:ascii="Arial" w:hAnsi="Arial" w:cs="Arial"/>
          <w:b/>
          <w:bCs/>
          <w:sz w:val="22"/>
          <w:szCs w:val="22"/>
        </w:rPr>
      </w:pPr>
    </w:p>
    <w:p w14:paraId="60EB61D5" w14:textId="77777777" w:rsidR="003F2FF6" w:rsidRPr="00762DC3" w:rsidRDefault="003F2FF6" w:rsidP="00762DC3">
      <w:pPr>
        <w:tabs>
          <w:tab w:val="left" w:pos="2970"/>
        </w:tabs>
        <w:spacing w:line="360" w:lineRule="auto"/>
        <w:ind w:left="2160" w:firstLine="720"/>
        <w:jc w:val="both"/>
        <w:rPr>
          <w:rFonts w:ascii="Arial" w:hAnsi="Arial" w:cs="Arial"/>
          <w:b/>
          <w:bCs/>
          <w:sz w:val="22"/>
          <w:szCs w:val="22"/>
        </w:rPr>
      </w:pPr>
    </w:p>
    <w:p w14:paraId="647EEF66" w14:textId="77777777" w:rsidR="00F35B26" w:rsidRPr="00762DC3" w:rsidRDefault="00000000" w:rsidP="00762DC3">
      <w:pPr>
        <w:jc w:val="both"/>
        <w:rPr>
          <w:rFonts w:ascii="Arial" w:hAnsi="Arial" w:cs="Arial"/>
          <w:sz w:val="22"/>
          <w:szCs w:val="22"/>
        </w:rPr>
      </w:pPr>
    </w:p>
    <w:p w14:paraId="63BC1B43" w14:textId="77777777" w:rsidR="003F2FF6" w:rsidRPr="00762DC3" w:rsidRDefault="003F2FF6" w:rsidP="00762DC3">
      <w:pPr>
        <w:jc w:val="both"/>
        <w:rPr>
          <w:rFonts w:ascii="Arial" w:hAnsi="Arial" w:cs="Arial"/>
          <w:sz w:val="22"/>
          <w:szCs w:val="22"/>
        </w:rPr>
      </w:pPr>
    </w:p>
    <w:p w14:paraId="08BADD2F" w14:textId="23B70660" w:rsidR="00712CFC" w:rsidRPr="00ED664C" w:rsidRDefault="00FB2E89" w:rsidP="00712CFC">
      <w:pPr>
        <w:tabs>
          <w:tab w:val="left" w:pos="2970"/>
        </w:tabs>
        <w:spacing w:line="360" w:lineRule="auto"/>
        <w:jc w:val="both"/>
        <w:rPr>
          <w:rFonts w:ascii="Arial" w:hAnsi="Arial" w:cs="Arial"/>
          <w:b/>
          <w:bCs/>
          <w:sz w:val="22"/>
          <w:szCs w:val="22"/>
        </w:rPr>
      </w:pPr>
      <w:r>
        <w:rPr>
          <w:rFonts w:ascii="Arial" w:hAnsi="Arial" w:cs="Arial"/>
          <w:b/>
          <w:bCs/>
          <w:sz w:val="22"/>
          <w:szCs w:val="22"/>
        </w:rPr>
        <w:tab/>
      </w:r>
      <w:r w:rsidRPr="00ED664C">
        <w:rPr>
          <w:rFonts w:ascii="Arial" w:hAnsi="Arial" w:cs="Arial"/>
          <w:b/>
          <w:bCs/>
          <w:sz w:val="22"/>
          <w:szCs w:val="22"/>
        </w:rPr>
        <w:t xml:space="preserve">STUDENT NAME: </w:t>
      </w:r>
      <w:r w:rsidRPr="00CF2CEA">
        <w:rPr>
          <w:rFonts w:ascii="Arial" w:hAnsi="Arial" w:cs="Arial"/>
          <w:b/>
          <w:bCs/>
          <w:sz w:val="22"/>
          <w:szCs w:val="22"/>
        </w:rPr>
        <w:t>BEATRICE LABEJA</w:t>
      </w:r>
    </w:p>
    <w:p w14:paraId="03C418F0" w14:textId="7739F3B7" w:rsidR="00712CFC" w:rsidRPr="00ED664C" w:rsidRDefault="00FB2E89" w:rsidP="00712CFC">
      <w:pPr>
        <w:tabs>
          <w:tab w:val="left" w:pos="2970"/>
        </w:tabs>
        <w:spacing w:line="360" w:lineRule="auto"/>
        <w:jc w:val="both"/>
        <w:rPr>
          <w:rFonts w:ascii="Arial" w:hAnsi="Arial" w:cs="Arial"/>
          <w:b/>
          <w:bCs/>
          <w:sz w:val="22"/>
          <w:szCs w:val="22"/>
        </w:rPr>
      </w:pPr>
      <w:r w:rsidRPr="00ED664C">
        <w:rPr>
          <w:rFonts w:ascii="Arial" w:hAnsi="Arial" w:cs="Arial"/>
          <w:b/>
          <w:bCs/>
          <w:sz w:val="22"/>
          <w:szCs w:val="22"/>
        </w:rPr>
        <w:tab/>
      </w:r>
      <w:r>
        <w:rPr>
          <w:rFonts w:ascii="Arial" w:hAnsi="Arial" w:cs="Arial"/>
          <w:b/>
          <w:bCs/>
          <w:sz w:val="22"/>
          <w:szCs w:val="22"/>
        </w:rPr>
        <w:tab/>
      </w:r>
      <w:r w:rsidRPr="00ED664C">
        <w:rPr>
          <w:rFonts w:ascii="Arial" w:hAnsi="Arial" w:cs="Arial"/>
          <w:b/>
          <w:bCs/>
          <w:sz w:val="22"/>
          <w:szCs w:val="22"/>
        </w:rPr>
        <w:t xml:space="preserve">STUDENT ID: </w:t>
      </w:r>
      <w:r w:rsidRPr="00CF2CEA">
        <w:rPr>
          <w:rFonts w:ascii="Arial" w:hAnsi="Arial" w:cs="Arial"/>
          <w:b/>
          <w:bCs/>
          <w:sz w:val="22"/>
          <w:szCs w:val="22"/>
        </w:rPr>
        <w:t>2211594</w:t>
      </w:r>
    </w:p>
    <w:p w14:paraId="612D8B8B" w14:textId="14FD5FE5" w:rsidR="003F2FF6" w:rsidRPr="00762DC3" w:rsidRDefault="003F2FF6" w:rsidP="00712CFC">
      <w:pPr>
        <w:tabs>
          <w:tab w:val="left" w:pos="2970"/>
        </w:tabs>
        <w:spacing w:line="360" w:lineRule="auto"/>
        <w:jc w:val="both"/>
        <w:rPr>
          <w:rFonts w:ascii="Arial" w:hAnsi="Arial" w:cs="Arial"/>
          <w:b/>
          <w:bCs/>
          <w:sz w:val="22"/>
          <w:szCs w:val="22"/>
        </w:rPr>
      </w:pPr>
    </w:p>
    <w:p w14:paraId="1B8A5FE0" w14:textId="77777777" w:rsidR="003F2FF6" w:rsidRPr="00762DC3" w:rsidRDefault="003F2FF6" w:rsidP="00762DC3">
      <w:pPr>
        <w:tabs>
          <w:tab w:val="left" w:pos="2970"/>
        </w:tabs>
        <w:spacing w:line="360" w:lineRule="auto"/>
        <w:jc w:val="both"/>
        <w:rPr>
          <w:rFonts w:ascii="Arial" w:hAnsi="Arial" w:cs="Arial"/>
          <w:b/>
          <w:bCs/>
          <w:sz w:val="22"/>
          <w:szCs w:val="22"/>
        </w:rPr>
      </w:pPr>
    </w:p>
    <w:p w14:paraId="2F71B421" w14:textId="77777777" w:rsidR="003F2FF6" w:rsidRPr="00762DC3" w:rsidRDefault="003F2FF6" w:rsidP="00762DC3">
      <w:pPr>
        <w:tabs>
          <w:tab w:val="left" w:pos="2970"/>
        </w:tabs>
        <w:spacing w:line="360" w:lineRule="auto"/>
        <w:jc w:val="both"/>
        <w:rPr>
          <w:rFonts w:ascii="Arial" w:hAnsi="Arial" w:cs="Arial"/>
          <w:b/>
          <w:bCs/>
          <w:sz w:val="22"/>
          <w:szCs w:val="22"/>
        </w:rPr>
      </w:pPr>
    </w:p>
    <w:p w14:paraId="7E249AC9" w14:textId="4D894D9C" w:rsidR="003F2FF6" w:rsidRPr="00762DC3" w:rsidRDefault="003F2FF6" w:rsidP="00762DC3">
      <w:pPr>
        <w:jc w:val="both"/>
        <w:rPr>
          <w:rFonts w:ascii="Arial" w:hAnsi="Arial" w:cs="Arial"/>
          <w:sz w:val="22"/>
          <w:szCs w:val="22"/>
        </w:rPr>
      </w:pPr>
    </w:p>
    <w:p w14:paraId="43D8313D" w14:textId="4A12B069" w:rsidR="003F2FF6" w:rsidRPr="00762DC3" w:rsidRDefault="00FB2E89" w:rsidP="00762DC3">
      <w:pPr>
        <w:tabs>
          <w:tab w:val="left" w:pos="2970"/>
          <w:tab w:val="left" w:pos="3719"/>
        </w:tabs>
        <w:spacing w:line="360" w:lineRule="auto"/>
        <w:jc w:val="both"/>
        <w:rPr>
          <w:rFonts w:ascii="Arial" w:hAnsi="Arial" w:cs="Arial"/>
          <w:b/>
          <w:bCs/>
          <w:sz w:val="22"/>
          <w:szCs w:val="22"/>
        </w:rPr>
      </w:pPr>
      <w:r>
        <w:rPr>
          <w:rFonts w:ascii="Arial" w:hAnsi="Arial" w:cs="Arial"/>
          <w:b/>
          <w:bCs/>
          <w:sz w:val="22"/>
          <w:szCs w:val="22"/>
        </w:rPr>
        <w:tab/>
        <w:t xml:space="preserve">        </w:t>
      </w:r>
      <w:r w:rsidRPr="00762DC3">
        <w:rPr>
          <w:rFonts w:ascii="Arial" w:hAnsi="Arial" w:cs="Arial"/>
          <w:b/>
          <w:bCs/>
          <w:sz w:val="22"/>
          <w:szCs w:val="22"/>
        </w:rPr>
        <w:t>LECTURER:  LAILA SURANI</w:t>
      </w:r>
    </w:p>
    <w:p w14:paraId="0C7D1862" w14:textId="57E5D749" w:rsidR="003F2FF6" w:rsidRPr="00762DC3" w:rsidRDefault="003F2FF6" w:rsidP="00762DC3">
      <w:pPr>
        <w:jc w:val="both"/>
        <w:rPr>
          <w:rFonts w:ascii="Arial" w:hAnsi="Arial" w:cs="Arial"/>
          <w:b/>
          <w:bCs/>
          <w:sz w:val="22"/>
          <w:szCs w:val="22"/>
        </w:rPr>
      </w:pPr>
    </w:p>
    <w:p w14:paraId="11549C2F" w14:textId="77777777" w:rsidR="003F2FF6" w:rsidRPr="00762DC3" w:rsidRDefault="003F2FF6" w:rsidP="00762DC3">
      <w:pPr>
        <w:jc w:val="both"/>
        <w:rPr>
          <w:rFonts w:ascii="Arial" w:hAnsi="Arial" w:cs="Arial"/>
          <w:b/>
          <w:bCs/>
          <w:sz w:val="22"/>
          <w:szCs w:val="22"/>
        </w:rPr>
      </w:pPr>
    </w:p>
    <w:p w14:paraId="581EFDBE" w14:textId="77777777" w:rsidR="003F2FF6" w:rsidRPr="00762DC3" w:rsidRDefault="003F2FF6" w:rsidP="00762DC3">
      <w:pPr>
        <w:jc w:val="both"/>
        <w:rPr>
          <w:rFonts w:ascii="Arial" w:hAnsi="Arial" w:cs="Arial"/>
          <w:b/>
          <w:bCs/>
          <w:sz w:val="22"/>
          <w:szCs w:val="22"/>
        </w:rPr>
      </w:pPr>
    </w:p>
    <w:p w14:paraId="73DB6C84" w14:textId="77777777" w:rsidR="003F2FF6" w:rsidRPr="00762DC3" w:rsidRDefault="003F2FF6" w:rsidP="00762DC3">
      <w:pPr>
        <w:jc w:val="both"/>
        <w:rPr>
          <w:rFonts w:ascii="Arial" w:hAnsi="Arial" w:cs="Arial"/>
          <w:b/>
          <w:bCs/>
          <w:sz w:val="22"/>
          <w:szCs w:val="22"/>
        </w:rPr>
      </w:pPr>
    </w:p>
    <w:p w14:paraId="5E393E12" w14:textId="77777777" w:rsidR="003F2FF6" w:rsidRPr="00762DC3" w:rsidRDefault="003F2FF6" w:rsidP="00762DC3">
      <w:pPr>
        <w:jc w:val="both"/>
        <w:rPr>
          <w:rFonts w:ascii="Arial" w:hAnsi="Arial" w:cs="Arial"/>
          <w:b/>
          <w:bCs/>
          <w:sz w:val="22"/>
          <w:szCs w:val="22"/>
        </w:rPr>
      </w:pPr>
    </w:p>
    <w:p w14:paraId="3E550401" w14:textId="77777777" w:rsidR="003F2FF6" w:rsidRPr="00762DC3" w:rsidRDefault="003F2FF6" w:rsidP="00762DC3">
      <w:pPr>
        <w:jc w:val="both"/>
        <w:rPr>
          <w:rFonts w:ascii="Arial" w:hAnsi="Arial" w:cs="Arial"/>
          <w:b/>
          <w:bCs/>
          <w:sz w:val="22"/>
          <w:szCs w:val="22"/>
        </w:rPr>
      </w:pPr>
    </w:p>
    <w:p w14:paraId="0EDD90EB" w14:textId="77777777" w:rsidR="003F2FF6" w:rsidRPr="00762DC3" w:rsidRDefault="003F2FF6" w:rsidP="00762DC3">
      <w:pPr>
        <w:jc w:val="both"/>
        <w:rPr>
          <w:rFonts w:ascii="Arial" w:hAnsi="Arial" w:cs="Arial"/>
          <w:b/>
          <w:bCs/>
          <w:sz w:val="22"/>
          <w:szCs w:val="22"/>
        </w:rPr>
      </w:pPr>
    </w:p>
    <w:p w14:paraId="47890926" w14:textId="77777777" w:rsidR="003F2FF6" w:rsidRPr="00762DC3" w:rsidRDefault="003F2FF6" w:rsidP="00762DC3">
      <w:pPr>
        <w:jc w:val="both"/>
        <w:rPr>
          <w:rFonts w:ascii="Arial" w:hAnsi="Arial" w:cs="Arial"/>
          <w:b/>
          <w:bCs/>
          <w:sz w:val="22"/>
          <w:szCs w:val="22"/>
        </w:rPr>
      </w:pPr>
    </w:p>
    <w:p w14:paraId="41C658D3" w14:textId="77777777" w:rsidR="003F2FF6" w:rsidRPr="00762DC3" w:rsidRDefault="003F2FF6" w:rsidP="00762DC3">
      <w:pPr>
        <w:jc w:val="both"/>
        <w:rPr>
          <w:rFonts w:ascii="Arial" w:hAnsi="Arial" w:cs="Arial"/>
          <w:b/>
          <w:bCs/>
          <w:sz w:val="22"/>
          <w:szCs w:val="22"/>
        </w:rPr>
      </w:pPr>
    </w:p>
    <w:p w14:paraId="50545D3D" w14:textId="77777777" w:rsidR="003F2FF6" w:rsidRPr="00762DC3" w:rsidRDefault="003F2FF6" w:rsidP="00762DC3">
      <w:pPr>
        <w:jc w:val="both"/>
        <w:rPr>
          <w:rFonts w:ascii="Arial" w:hAnsi="Arial" w:cs="Arial"/>
          <w:b/>
          <w:bCs/>
          <w:sz w:val="22"/>
          <w:szCs w:val="22"/>
        </w:rPr>
      </w:pPr>
    </w:p>
    <w:p w14:paraId="72B2A788" w14:textId="77777777" w:rsidR="003F2FF6" w:rsidRPr="00762DC3" w:rsidRDefault="003F2FF6" w:rsidP="00762DC3">
      <w:pPr>
        <w:jc w:val="both"/>
        <w:rPr>
          <w:rFonts w:ascii="Arial" w:hAnsi="Arial" w:cs="Arial"/>
          <w:b/>
          <w:bCs/>
          <w:sz w:val="22"/>
          <w:szCs w:val="22"/>
        </w:rPr>
      </w:pPr>
    </w:p>
    <w:p w14:paraId="774BCDA4" w14:textId="77777777" w:rsidR="003F2FF6" w:rsidRPr="00762DC3" w:rsidRDefault="003F2FF6" w:rsidP="00762DC3">
      <w:pPr>
        <w:jc w:val="both"/>
        <w:rPr>
          <w:rFonts w:ascii="Arial" w:hAnsi="Arial" w:cs="Arial"/>
          <w:b/>
          <w:bCs/>
          <w:sz w:val="22"/>
          <w:szCs w:val="22"/>
        </w:rPr>
      </w:pPr>
    </w:p>
    <w:p w14:paraId="1CC5A5C2" w14:textId="77777777" w:rsidR="003F2FF6" w:rsidRPr="00762DC3" w:rsidRDefault="003F2FF6" w:rsidP="00762DC3">
      <w:pPr>
        <w:jc w:val="both"/>
        <w:rPr>
          <w:rFonts w:ascii="Arial" w:hAnsi="Arial" w:cs="Arial"/>
          <w:b/>
          <w:bCs/>
          <w:sz w:val="22"/>
          <w:szCs w:val="22"/>
        </w:rPr>
      </w:pPr>
    </w:p>
    <w:p w14:paraId="4A229A3C" w14:textId="77777777" w:rsidR="003F2FF6" w:rsidRPr="00762DC3" w:rsidRDefault="003F2FF6" w:rsidP="00762DC3">
      <w:pPr>
        <w:jc w:val="both"/>
        <w:rPr>
          <w:rFonts w:ascii="Arial" w:hAnsi="Arial" w:cs="Arial"/>
          <w:b/>
          <w:bCs/>
          <w:sz w:val="22"/>
          <w:szCs w:val="22"/>
        </w:rPr>
      </w:pPr>
    </w:p>
    <w:p w14:paraId="568227E5" w14:textId="77777777" w:rsidR="003F2FF6" w:rsidRPr="00762DC3" w:rsidRDefault="003F2FF6" w:rsidP="00762DC3">
      <w:pPr>
        <w:jc w:val="both"/>
        <w:rPr>
          <w:rFonts w:ascii="Arial" w:hAnsi="Arial" w:cs="Arial"/>
          <w:b/>
          <w:bCs/>
          <w:sz w:val="22"/>
          <w:szCs w:val="22"/>
        </w:rPr>
      </w:pPr>
    </w:p>
    <w:p w14:paraId="1962CD80" w14:textId="77777777" w:rsidR="003F2FF6" w:rsidRPr="00762DC3" w:rsidRDefault="003F2FF6" w:rsidP="00762DC3">
      <w:pPr>
        <w:jc w:val="both"/>
        <w:rPr>
          <w:rFonts w:ascii="Arial" w:hAnsi="Arial" w:cs="Arial"/>
          <w:b/>
          <w:bCs/>
          <w:sz w:val="22"/>
          <w:szCs w:val="22"/>
        </w:rPr>
      </w:pPr>
    </w:p>
    <w:p w14:paraId="06D93AD0" w14:textId="77777777" w:rsidR="003F2FF6" w:rsidRPr="00762DC3" w:rsidRDefault="003F2FF6" w:rsidP="00762DC3">
      <w:pPr>
        <w:jc w:val="both"/>
        <w:rPr>
          <w:rFonts w:ascii="Arial" w:hAnsi="Arial" w:cs="Arial"/>
          <w:b/>
          <w:bCs/>
          <w:sz w:val="22"/>
          <w:szCs w:val="22"/>
        </w:rPr>
      </w:pPr>
    </w:p>
    <w:p w14:paraId="0195F409" w14:textId="77777777" w:rsidR="003F2FF6" w:rsidRPr="00762DC3" w:rsidRDefault="003F2FF6" w:rsidP="00762DC3">
      <w:pPr>
        <w:jc w:val="both"/>
        <w:rPr>
          <w:rFonts w:ascii="Arial" w:hAnsi="Arial" w:cs="Arial"/>
          <w:b/>
          <w:bCs/>
          <w:sz w:val="22"/>
          <w:szCs w:val="22"/>
        </w:rPr>
      </w:pPr>
    </w:p>
    <w:p w14:paraId="05201EBC" w14:textId="77777777" w:rsidR="003F2FF6" w:rsidRPr="00762DC3" w:rsidRDefault="003F2FF6" w:rsidP="00762DC3">
      <w:pPr>
        <w:jc w:val="both"/>
        <w:rPr>
          <w:rFonts w:ascii="Arial" w:hAnsi="Arial" w:cs="Arial"/>
          <w:b/>
          <w:bCs/>
          <w:sz w:val="22"/>
          <w:szCs w:val="22"/>
        </w:rPr>
      </w:pPr>
    </w:p>
    <w:p w14:paraId="2A863711" w14:textId="77777777" w:rsidR="003F2FF6" w:rsidRPr="00762DC3" w:rsidRDefault="003F2FF6" w:rsidP="00762DC3">
      <w:pPr>
        <w:jc w:val="both"/>
        <w:rPr>
          <w:rFonts w:ascii="Arial" w:hAnsi="Arial" w:cs="Arial"/>
          <w:b/>
          <w:bCs/>
          <w:sz w:val="22"/>
          <w:szCs w:val="22"/>
        </w:rPr>
      </w:pPr>
    </w:p>
    <w:p w14:paraId="3889CD5F" w14:textId="77777777" w:rsidR="003F2FF6" w:rsidRPr="00762DC3" w:rsidRDefault="003F2FF6" w:rsidP="00762DC3">
      <w:pPr>
        <w:jc w:val="both"/>
        <w:rPr>
          <w:rFonts w:ascii="Arial" w:hAnsi="Arial" w:cs="Arial"/>
          <w:b/>
          <w:bCs/>
          <w:sz w:val="22"/>
          <w:szCs w:val="22"/>
        </w:rPr>
      </w:pPr>
    </w:p>
    <w:p w14:paraId="0C58C607" w14:textId="77777777" w:rsidR="003F2FF6" w:rsidRPr="00762DC3" w:rsidRDefault="003F2FF6" w:rsidP="00762DC3">
      <w:pPr>
        <w:jc w:val="both"/>
        <w:rPr>
          <w:rFonts w:ascii="Arial" w:hAnsi="Arial" w:cs="Arial"/>
          <w:b/>
          <w:bCs/>
          <w:sz w:val="22"/>
          <w:szCs w:val="22"/>
        </w:rPr>
      </w:pPr>
    </w:p>
    <w:p w14:paraId="438B305E" w14:textId="5332C078" w:rsidR="003F2FF6" w:rsidRPr="00762DC3" w:rsidRDefault="003F2FF6" w:rsidP="00A445E8">
      <w:pPr>
        <w:spacing w:line="360" w:lineRule="auto"/>
        <w:jc w:val="center"/>
        <w:rPr>
          <w:rFonts w:ascii="Arial" w:hAnsi="Arial" w:cs="Arial"/>
          <w:b/>
          <w:bCs/>
          <w:sz w:val="22"/>
          <w:szCs w:val="22"/>
        </w:rPr>
      </w:pPr>
      <w:r w:rsidRPr="00762DC3">
        <w:rPr>
          <w:rFonts w:ascii="Arial" w:hAnsi="Arial" w:cs="Arial"/>
          <w:b/>
          <w:bCs/>
          <w:sz w:val="22"/>
          <w:szCs w:val="22"/>
        </w:rPr>
        <w:lastRenderedPageBreak/>
        <w:t>TABLE OF CONTENT</w:t>
      </w:r>
    </w:p>
    <w:p w14:paraId="4DCB6036" w14:textId="4C7F8589" w:rsidR="003F2FF6" w:rsidRPr="00762DC3" w:rsidRDefault="003F2FF6" w:rsidP="004F68B9">
      <w:pPr>
        <w:spacing w:line="360" w:lineRule="auto"/>
        <w:ind w:left="4320"/>
        <w:jc w:val="both"/>
        <w:rPr>
          <w:rFonts w:ascii="Arial" w:hAnsi="Arial" w:cs="Arial"/>
          <w:b/>
          <w:bCs/>
          <w:sz w:val="22"/>
          <w:szCs w:val="22"/>
        </w:rPr>
      </w:pP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r>
      <w:r w:rsidRPr="00762DC3">
        <w:rPr>
          <w:rFonts w:ascii="Arial" w:hAnsi="Arial" w:cs="Arial"/>
          <w:b/>
          <w:bCs/>
          <w:sz w:val="22"/>
          <w:szCs w:val="22"/>
        </w:rPr>
        <w:tab/>
        <w:t xml:space="preserve">        Page No.</w:t>
      </w:r>
    </w:p>
    <w:p w14:paraId="0E36DE33" w14:textId="513DCAEC" w:rsidR="003F2FF6" w:rsidRPr="00762DC3" w:rsidRDefault="003F2FF6" w:rsidP="004F68B9">
      <w:pPr>
        <w:spacing w:line="360" w:lineRule="auto"/>
        <w:jc w:val="both"/>
        <w:rPr>
          <w:rFonts w:ascii="Arial" w:hAnsi="Arial" w:cs="Arial"/>
          <w:sz w:val="22"/>
          <w:szCs w:val="22"/>
        </w:rPr>
      </w:pPr>
      <w:r w:rsidRPr="00762DC3">
        <w:rPr>
          <w:rFonts w:ascii="Arial" w:hAnsi="Arial" w:cs="Arial"/>
          <w:sz w:val="22"/>
          <w:szCs w:val="22"/>
        </w:rPr>
        <w:t>1.0 Introduction</w:t>
      </w:r>
      <w:r w:rsidR="008479F1">
        <w:rPr>
          <w:rFonts w:ascii="Arial" w:hAnsi="Arial" w:cs="Arial"/>
          <w:sz w:val="22"/>
          <w:szCs w:val="22"/>
        </w:rPr>
        <w:t>--------------------------------------------------------------------------------------------------------</w:t>
      </w:r>
      <w:r w:rsidRPr="00762DC3">
        <w:rPr>
          <w:rFonts w:ascii="Arial" w:hAnsi="Arial" w:cs="Arial"/>
          <w:sz w:val="22"/>
          <w:szCs w:val="22"/>
        </w:rPr>
        <w:t>1</w:t>
      </w:r>
    </w:p>
    <w:p w14:paraId="69F6F130" w14:textId="732B0F4C" w:rsidR="003F2FF6" w:rsidRPr="00762DC3" w:rsidRDefault="003F2FF6" w:rsidP="004F68B9">
      <w:pPr>
        <w:spacing w:line="360" w:lineRule="auto"/>
        <w:jc w:val="both"/>
        <w:rPr>
          <w:rFonts w:ascii="Arial" w:hAnsi="Arial" w:cs="Arial"/>
          <w:sz w:val="22"/>
          <w:szCs w:val="22"/>
        </w:rPr>
      </w:pPr>
      <w:r w:rsidRPr="00762DC3">
        <w:rPr>
          <w:rFonts w:ascii="Arial" w:hAnsi="Arial" w:cs="Arial"/>
          <w:sz w:val="22"/>
          <w:szCs w:val="22"/>
        </w:rPr>
        <w:t xml:space="preserve">2.0 </w:t>
      </w:r>
      <w:r w:rsidR="008479F1" w:rsidRPr="008479F1">
        <w:rPr>
          <w:rFonts w:ascii="Arial" w:hAnsi="Arial" w:cs="Arial"/>
          <w:sz w:val="22"/>
          <w:szCs w:val="22"/>
        </w:rPr>
        <w:t>Evaluation of Strategies Used in The U</w:t>
      </w:r>
      <w:r w:rsidR="008479F1">
        <w:rPr>
          <w:rFonts w:ascii="Arial" w:hAnsi="Arial" w:cs="Arial"/>
          <w:sz w:val="22"/>
          <w:szCs w:val="22"/>
        </w:rPr>
        <w:t>K</w:t>
      </w:r>
      <w:r w:rsidR="008479F1" w:rsidRPr="008479F1">
        <w:rPr>
          <w:rFonts w:ascii="Arial" w:hAnsi="Arial" w:cs="Arial"/>
          <w:sz w:val="22"/>
          <w:szCs w:val="22"/>
        </w:rPr>
        <w:t xml:space="preserve"> </w:t>
      </w:r>
      <w:r w:rsidR="008479F1">
        <w:rPr>
          <w:rFonts w:ascii="Arial" w:hAnsi="Arial" w:cs="Arial"/>
          <w:sz w:val="22"/>
          <w:szCs w:val="22"/>
        </w:rPr>
        <w:t>t</w:t>
      </w:r>
      <w:r w:rsidR="008479F1" w:rsidRPr="008479F1">
        <w:rPr>
          <w:rFonts w:ascii="Arial" w:hAnsi="Arial" w:cs="Arial"/>
          <w:sz w:val="22"/>
          <w:szCs w:val="22"/>
        </w:rPr>
        <w:t>o Measure Tuberculosis Incidenc</w:t>
      </w:r>
      <w:r w:rsidR="008479F1">
        <w:rPr>
          <w:rFonts w:ascii="Arial" w:hAnsi="Arial" w:cs="Arial"/>
          <w:sz w:val="22"/>
          <w:szCs w:val="22"/>
        </w:rPr>
        <w:t>e-------------------</w:t>
      </w:r>
      <w:r w:rsidRPr="00762DC3">
        <w:rPr>
          <w:rFonts w:ascii="Arial" w:hAnsi="Arial" w:cs="Arial"/>
          <w:sz w:val="22"/>
          <w:szCs w:val="22"/>
        </w:rPr>
        <w:t>1</w:t>
      </w:r>
    </w:p>
    <w:p w14:paraId="418FB426" w14:textId="032D77BE" w:rsidR="003F2FF6" w:rsidRPr="00762DC3" w:rsidRDefault="003F2FF6" w:rsidP="004F68B9">
      <w:pPr>
        <w:spacing w:line="360" w:lineRule="auto"/>
        <w:jc w:val="both"/>
        <w:rPr>
          <w:rFonts w:ascii="Arial" w:hAnsi="Arial" w:cs="Arial"/>
          <w:sz w:val="22"/>
          <w:szCs w:val="22"/>
        </w:rPr>
      </w:pPr>
      <w:r w:rsidRPr="00762DC3">
        <w:rPr>
          <w:rFonts w:ascii="Arial" w:hAnsi="Arial" w:cs="Arial"/>
          <w:sz w:val="22"/>
          <w:szCs w:val="22"/>
        </w:rPr>
        <w:t xml:space="preserve">3.0 </w:t>
      </w:r>
      <w:r w:rsidR="008479F1" w:rsidRPr="008479F1">
        <w:rPr>
          <w:rFonts w:ascii="Arial" w:hAnsi="Arial" w:cs="Arial"/>
          <w:sz w:val="22"/>
          <w:szCs w:val="22"/>
        </w:rPr>
        <w:t>Analysis of U</w:t>
      </w:r>
      <w:r w:rsidR="008479F1">
        <w:rPr>
          <w:rFonts w:ascii="Arial" w:hAnsi="Arial" w:cs="Arial"/>
          <w:sz w:val="22"/>
          <w:szCs w:val="22"/>
        </w:rPr>
        <w:t>K</w:t>
      </w:r>
      <w:r w:rsidR="008479F1" w:rsidRPr="008479F1">
        <w:rPr>
          <w:rFonts w:ascii="Arial" w:hAnsi="Arial" w:cs="Arial"/>
          <w:sz w:val="22"/>
          <w:szCs w:val="22"/>
        </w:rPr>
        <w:t xml:space="preserve"> Strategies Used to Monitor the Incidence of TB In The UK</w:t>
      </w:r>
      <w:r w:rsidR="008479F1">
        <w:rPr>
          <w:rFonts w:ascii="Arial" w:hAnsi="Arial" w:cs="Arial"/>
          <w:sz w:val="22"/>
          <w:szCs w:val="22"/>
        </w:rPr>
        <w:t>-----------------------</w:t>
      </w:r>
      <w:r w:rsidRPr="00762DC3">
        <w:rPr>
          <w:rFonts w:ascii="Arial" w:hAnsi="Arial" w:cs="Arial"/>
          <w:sz w:val="22"/>
          <w:szCs w:val="22"/>
        </w:rPr>
        <w:t>2</w:t>
      </w:r>
    </w:p>
    <w:p w14:paraId="40FEFD5B" w14:textId="0464FF57" w:rsidR="003F2FF6" w:rsidRPr="00762DC3" w:rsidRDefault="003F2FF6" w:rsidP="004F68B9">
      <w:pPr>
        <w:spacing w:line="360" w:lineRule="auto"/>
        <w:jc w:val="both"/>
        <w:rPr>
          <w:rFonts w:ascii="Arial" w:hAnsi="Arial" w:cs="Arial"/>
          <w:sz w:val="22"/>
          <w:szCs w:val="22"/>
        </w:rPr>
      </w:pPr>
      <w:r w:rsidRPr="00762DC3">
        <w:rPr>
          <w:rFonts w:ascii="Arial" w:hAnsi="Arial" w:cs="Arial"/>
          <w:sz w:val="22"/>
          <w:szCs w:val="22"/>
        </w:rPr>
        <w:t>4.</w:t>
      </w:r>
      <w:r w:rsidR="008479F1" w:rsidRPr="00762DC3">
        <w:rPr>
          <w:rFonts w:ascii="Arial" w:hAnsi="Arial" w:cs="Arial"/>
          <w:sz w:val="22"/>
          <w:szCs w:val="22"/>
        </w:rPr>
        <w:t xml:space="preserve">0 </w:t>
      </w:r>
      <w:r w:rsidR="008479F1" w:rsidRPr="008479F1">
        <w:rPr>
          <w:rFonts w:ascii="Arial" w:hAnsi="Arial" w:cs="Arial"/>
          <w:sz w:val="22"/>
          <w:szCs w:val="22"/>
        </w:rPr>
        <w:t>Analysis of the UK'S Strategies for Controlling the Incidence of TB In The U</w:t>
      </w:r>
      <w:r w:rsidR="008479F1">
        <w:rPr>
          <w:rFonts w:ascii="Arial" w:hAnsi="Arial" w:cs="Arial"/>
          <w:sz w:val="22"/>
          <w:szCs w:val="22"/>
        </w:rPr>
        <w:t>K------------------</w:t>
      </w:r>
      <w:r w:rsidRPr="00762DC3">
        <w:rPr>
          <w:rFonts w:ascii="Arial" w:hAnsi="Arial" w:cs="Arial"/>
          <w:sz w:val="22"/>
          <w:szCs w:val="22"/>
        </w:rPr>
        <w:t>3</w:t>
      </w:r>
    </w:p>
    <w:p w14:paraId="114A66F3" w14:textId="4275FA9B" w:rsidR="003F2FF6" w:rsidRPr="00762DC3" w:rsidRDefault="003F2FF6" w:rsidP="004F68B9">
      <w:pPr>
        <w:pStyle w:val="ListParagraph"/>
        <w:numPr>
          <w:ilvl w:val="0"/>
          <w:numId w:val="1"/>
        </w:numPr>
        <w:spacing w:line="360" w:lineRule="auto"/>
        <w:jc w:val="both"/>
        <w:rPr>
          <w:rFonts w:ascii="Arial" w:hAnsi="Arial" w:cs="Arial"/>
          <w:sz w:val="22"/>
          <w:szCs w:val="22"/>
        </w:rPr>
      </w:pPr>
      <w:r w:rsidRPr="00762DC3">
        <w:rPr>
          <w:rFonts w:ascii="Arial" w:hAnsi="Arial" w:cs="Arial"/>
          <w:sz w:val="22"/>
          <w:szCs w:val="22"/>
        </w:rPr>
        <w:t>Conclusion</w:t>
      </w:r>
      <w:r w:rsidR="008479F1">
        <w:rPr>
          <w:rFonts w:ascii="Arial" w:hAnsi="Arial" w:cs="Arial"/>
          <w:sz w:val="22"/>
          <w:szCs w:val="22"/>
        </w:rPr>
        <w:t>----------------------------------------------------------------------------------------------------------</w:t>
      </w:r>
      <w:r w:rsidRPr="00762DC3">
        <w:rPr>
          <w:rFonts w:ascii="Arial" w:hAnsi="Arial" w:cs="Arial"/>
          <w:sz w:val="22"/>
          <w:szCs w:val="22"/>
        </w:rPr>
        <w:t>3</w:t>
      </w:r>
    </w:p>
    <w:p w14:paraId="5A78F2C9" w14:textId="31A55150" w:rsidR="00487702" w:rsidRPr="00762DC3" w:rsidRDefault="003F2FF6" w:rsidP="004F68B9">
      <w:pPr>
        <w:pStyle w:val="ListParagraph"/>
        <w:numPr>
          <w:ilvl w:val="0"/>
          <w:numId w:val="7"/>
        </w:numPr>
        <w:spacing w:after="160" w:line="360" w:lineRule="auto"/>
        <w:jc w:val="both"/>
        <w:rPr>
          <w:rFonts w:ascii="Arial" w:hAnsi="Arial" w:cs="Arial"/>
          <w:sz w:val="22"/>
          <w:szCs w:val="22"/>
        </w:rPr>
      </w:pPr>
      <w:r w:rsidRPr="00762DC3">
        <w:rPr>
          <w:rFonts w:ascii="Arial" w:hAnsi="Arial" w:cs="Arial"/>
          <w:sz w:val="22"/>
          <w:szCs w:val="22"/>
        </w:rPr>
        <w:br w:type="page"/>
      </w:r>
    </w:p>
    <w:p w14:paraId="77E6E96F" w14:textId="75E5DAD1" w:rsidR="008479F1" w:rsidRPr="004F68B9" w:rsidRDefault="008479F1" w:rsidP="009E6596">
      <w:pPr>
        <w:spacing w:line="360" w:lineRule="auto"/>
        <w:jc w:val="both"/>
        <w:rPr>
          <w:rFonts w:ascii="Arial" w:hAnsi="Arial" w:cs="Arial"/>
          <w:sz w:val="22"/>
          <w:szCs w:val="22"/>
        </w:rPr>
      </w:pPr>
      <w:r w:rsidRPr="004F68B9">
        <w:rPr>
          <w:rFonts w:ascii="Arial" w:hAnsi="Arial" w:cs="Arial"/>
          <w:sz w:val="22"/>
          <w:szCs w:val="22"/>
        </w:rPr>
        <w:lastRenderedPageBreak/>
        <w:t xml:space="preserve">1.0 </w:t>
      </w:r>
      <w:r w:rsidRPr="00843856">
        <w:rPr>
          <w:rFonts w:ascii="Arial" w:hAnsi="Arial" w:cs="Arial"/>
          <w:b/>
          <w:bCs/>
          <w:sz w:val="22"/>
          <w:szCs w:val="22"/>
        </w:rPr>
        <w:t>INTRODUCTION</w:t>
      </w:r>
    </w:p>
    <w:p w14:paraId="1490E4FE" w14:textId="77777777" w:rsidR="00FE57A8" w:rsidRDefault="00FE57A8" w:rsidP="009E6596">
      <w:pPr>
        <w:spacing w:line="360" w:lineRule="auto"/>
        <w:jc w:val="both"/>
        <w:rPr>
          <w:rFonts w:ascii="Arial" w:hAnsi="Arial" w:cs="Arial"/>
          <w:sz w:val="22"/>
          <w:szCs w:val="22"/>
        </w:rPr>
      </w:pPr>
      <w:r w:rsidRPr="00FE57A8">
        <w:rPr>
          <w:rFonts w:ascii="Arial" w:hAnsi="Arial" w:cs="Arial"/>
          <w:sz w:val="22"/>
          <w:szCs w:val="22"/>
        </w:rPr>
        <w:t xml:space="preserve">The public's health in the UK is still seriously threatened by the deadly infectious disease tuberculosis (TB), which is caused by the Mycobacterium tuberculosis bacteria. To lower the prevalence of TB, a variety of methods and strategies have been attempted, including early diagnosis and treatment, contact tracing, screening </w:t>
      </w:r>
      <w:proofErr w:type="spellStart"/>
      <w:r w:rsidRPr="00FE57A8">
        <w:rPr>
          <w:rFonts w:ascii="Arial" w:hAnsi="Arial" w:cs="Arial"/>
          <w:sz w:val="22"/>
          <w:szCs w:val="22"/>
        </w:rPr>
        <w:t>programmes</w:t>
      </w:r>
      <w:proofErr w:type="spellEnd"/>
      <w:r w:rsidRPr="00FE57A8">
        <w:rPr>
          <w:rFonts w:ascii="Arial" w:hAnsi="Arial" w:cs="Arial"/>
          <w:sz w:val="22"/>
          <w:szCs w:val="22"/>
        </w:rPr>
        <w:t>, and vaccine (</w:t>
      </w:r>
      <w:proofErr w:type="spellStart"/>
      <w:r w:rsidRPr="00FE57A8">
        <w:rPr>
          <w:rFonts w:ascii="Arial" w:hAnsi="Arial" w:cs="Arial"/>
          <w:sz w:val="22"/>
          <w:szCs w:val="22"/>
        </w:rPr>
        <w:t>Nafade</w:t>
      </w:r>
      <w:proofErr w:type="spellEnd"/>
      <w:r w:rsidRPr="00FE57A8">
        <w:rPr>
          <w:rFonts w:ascii="Arial" w:hAnsi="Arial" w:cs="Arial"/>
          <w:sz w:val="22"/>
          <w:szCs w:val="22"/>
        </w:rPr>
        <w:t>, et al., 2018). The number of TB cases reported in England in 2020 decreased by 21%, based on the data that is currently available (Wingo et al., 2020). In the UK, the prevalence of TB has decreased during the past ten years. However, TB still represents a significant health concern for other populations, including those who were not born in the UK and those who reside in low-income areas (</w:t>
      </w:r>
      <w:proofErr w:type="spellStart"/>
      <w:r w:rsidRPr="00FE57A8">
        <w:rPr>
          <w:rFonts w:ascii="Arial" w:hAnsi="Arial" w:cs="Arial"/>
          <w:sz w:val="22"/>
          <w:szCs w:val="22"/>
        </w:rPr>
        <w:t>Glaziou</w:t>
      </w:r>
      <w:proofErr w:type="spellEnd"/>
      <w:r w:rsidRPr="00FE57A8">
        <w:rPr>
          <w:rFonts w:ascii="Arial" w:hAnsi="Arial" w:cs="Arial"/>
          <w:sz w:val="22"/>
          <w:szCs w:val="22"/>
        </w:rPr>
        <w:t xml:space="preserve"> et al., 2018). Continuous work is needed to measure, track, and restrict the spread of the disease in order to totally eradicate it in the UK.</w:t>
      </w:r>
    </w:p>
    <w:p w14:paraId="27B79BAA" w14:textId="674D1E51" w:rsidR="008479F1" w:rsidRPr="00843856" w:rsidRDefault="008479F1" w:rsidP="009E6596">
      <w:pPr>
        <w:spacing w:line="360" w:lineRule="auto"/>
        <w:jc w:val="both"/>
        <w:rPr>
          <w:rFonts w:ascii="Arial" w:hAnsi="Arial" w:cs="Arial"/>
          <w:b/>
          <w:bCs/>
          <w:sz w:val="22"/>
          <w:szCs w:val="22"/>
        </w:rPr>
      </w:pPr>
      <w:r w:rsidRPr="00843856">
        <w:rPr>
          <w:rFonts w:ascii="Arial" w:hAnsi="Arial" w:cs="Arial"/>
          <w:b/>
          <w:bCs/>
          <w:sz w:val="22"/>
          <w:szCs w:val="22"/>
        </w:rPr>
        <w:t>2.0 EVALUATION OF STRATEGIES USED IN THE UK TO MEASURE TUBERCULOSIS INCIDENCE</w:t>
      </w:r>
    </w:p>
    <w:p w14:paraId="0B0E30BE" w14:textId="0E088CE6" w:rsidR="008479F1" w:rsidRPr="008479F1" w:rsidRDefault="008479F1" w:rsidP="009E6596">
      <w:pPr>
        <w:spacing w:line="360" w:lineRule="auto"/>
        <w:jc w:val="both"/>
        <w:rPr>
          <w:rFonts w:ascii="Arial" w:hAnsi="Arial" w:cs="Arial"/>
          <w:sz w:val="22"/>
          <w:szCs w:val="22"/>
        </w:rPr>
      </w:pPr>
      <w:r w:rsidRPr="008479F1">
        <w:rPr>
          <w:rFonts w:ascii="Arial" w:hAnsi="Arial" w:cs="Arial"/>
          <w:sz w:val="22"/>
          <w:szCs w:val="22"/>
        </w:rPr>
        <w:t>The UK has put in place a number of initiatives to track the prevalence of tuberculosis (TB) among the populace.</w:t>
      </w:r>
    </w:p>
    <w:p w14:paraId="3A70AC76" w14:textId="38A5401E"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1. </w:t>
      </w:r>
      <w:r w:rsidRPr="008479F1">
        <w:rPr>
          <w:rFonts w:ascii="Arial" w:hAnsi="Arial" w:cs="Arial"/>
          <w:sz w:val="22"/>
          <w:szCs w:val="22"/>
        </w:rPr>
        <w:t xml:space="preserve">Tuberculosis Surveillance System: The UK has a </w:t>
      </w:r>
      <w:proofErr w:type="spellStart"/>
      <w:r w:rsidRPr="008479F1">
        <w:rPr>
          <w:rFonts w:ascii="Arial" w:hAnsi="Arial" w:cs="Arial"/>
          <w:sz w:val="22"/>
          <w:szCs w:val="22"/>
        </w:rPr>
        <w:t>recognised</w:t>
      </w:r>
      <w:proofErr w:type="spellEnd"/>
      <w:r w:rsidRPr="008479F1">
        <w:rPr>
          <w:rFonts w:ascii="Arial" w:hAnsi="Arial" w:cs="Arial"/>
          <w:sz w:val="22"/>
          <w:szCs w:val="22"/>
        </w:rPr>
        <w:t xml:space="preserve"> national TB surveillance system that gathers information on the number of cases, demographics, and other pertinent data (WHO 2021). This approach aids in identifying TB risk factors and tracking trends. The fact that this strategy depends on healthcare professionals to record cases, and not all cases may be reported, should be noted (Tweed and Nunn 2018). This might cause the true incidence of TB to be underestimated.</w:t>
      </w:r>
    </w:p>
    <w:p w14:paraId="0F94F0A1" w14:textId="03BAA55E"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2. </w:t>
      </w:r>
      <w:r w:rsidRPr="008479F1">
        <w:rPr>
          <w:rFonts w:ascii="Arial" w:hAnsi="Arial" w:cs="Arial"/>
          <w:sz w:val="22"/>
          <w:szCs w:val="22"/>
        </w:rPr>
        <w:t xml:space="preserve">TB Screening </w:t>
      </w:r>
      <w:proofErr w:type="spellStart"/>
      <w:r w:rsidRPr="008479F1">
        <w:rPr>
          <w:rFonts w:ascii="Arial" w:hAnsi="Arial" w:cs="Arial"/>
          <w:sz w:val="22"/>
          <w:szCs w:val="22"/>
        </w:rPr>
        <w:t>Programmes</w:t>
      </w:r>
      <w:proofErr w:type="spellEnd"/>
      <w:r w:rsidRPr="008479F1">
        <w:rPr>
          <w:rFonts w:ascii="Arial" w:hAnsi="Arial" w:cs="Arial"/>
          <w:sz w:val="22"/>
          <w:szCs w:val="22"/>
        </w:rPr>
        <w:t xml:space="preserve">: According to Pareek et al. (2016), the UK has introduced focused screening </w:t>
      </w:r>
      <w:proofErr w:type="spellStart"/>
      <w:r w:rsidRPr="008479F1">
        <w:rPr>
          <w:rFonts w:ascii="Arial" w:hAnsi="Arial" w:cs="Arial"/>
          <w:sz w:val="22"/>
          <w:szCs w:val="22"/>
        </w:rPr>
        <w:t>programmes</w:t>
      </w:r>
      <w:proofErr w:type="spellEnd"/>
      <w:r w:rsidRPr="008479F1">
        <w:rPr>
          <w:rFonts w:ascii="Arial" w:hAnsi="Arial" w:cs="Arial"/>
          <w:sz w:val="22"/>
          <w:szCs w:val="22"/>
        </w:rPr>
        <w:t xml:space="preserve"> for high-risk populations, such as those who were born in nations with a high TB burden and those who were in close proximity to TB cases. Such efforts have been successful in finding fresh cases and curtailing the spread of TB. However, some high-risk populations might not be reached by these </w:t>
      </w:r>
      <w:proofErr w:type="spellStart"/>
      <w:r w:rsidRPr="008479F1">
        <w:rPr>
          <w:rFonts w:ascii="Arial" w:hAnsi="Arial" w:cs="Arial"/>
          <w:sz w:val="22"/>
          <w:szCs w:val="22"/>
        </w:rPr>
        <w:t>programmes</w:t>
      </w:r>
      <w:proofErr w:type="spellEnd"/>
      <w:r w:rsidRPr="008479F1">
        <w:rPr>
          <w:rFonts w:ascii="Arial" w:hAnsi="Arial" w:cs="Arial"/>
          <w:sz w:val="22"/>
          <w:szCs w:val="22"/>
        </w:rPr>
        <w:t>, and other people might opt out of screening, which would result in missed cases.</w:t>
      </w:r>
    </w:p>
    <w:p w14:paraId="5FE00815" w14:textId="0CB8DAE5"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3. </w:t>
      </w:r>
      <w:r w:rsidRPr="008479F1">
        <w:rPr>
          <w:rFonts w:ascii="Arial" w:hAnsi="Arial" w:cs="Arial"/>
          <w:sz w:val="22"/>
          <w:szCs w:val="22"/>
        </w:rPr>
        <w:t>Contact Tracing: In accordance to the Joint Tuberculosis Committee of the British Thoracic Society (2000), contact tracing is a crucial component of TB control and entails locating and testing people who have had frequent contact with TB cases. In order to find new cases of TB and stop its spread, the UK has a well-established contact tracing system (</w:t>
      </w:r>
      <w:proofErr w:type="spellStart"/>
      <w:r w:rsidRPr="008479F1">
        <w:rPr>
          <w:rFonts w:ascii="Arial" w:hAnsi="Arial" w:cs="Arial"/>
          <w:sz w:val="22"/>
          <w:szCs w:val="22"/>
        </w:rPr>
        <w:t>Glaspy</w:t>
      </w:r>
      <w:proofErr w:type="spellEnd"/>
      <w:r w:rsidRPr="008479F1">
        <w:rPr>
          <w:rFonts w:ascii="Arial" w:hAnsi="Arial" w:cs="Arial"/>
          <w:sz w:val="22"/>
          <w:szCs w:val="22"/>
        </w:rPr>
        <w:t xml:space="preserve"> et al., 2021). However, contact tracing can be time- and resource-consuming, and some contacts might get lost in the process.</w:t>
      </w:r>
    </w:p>
    <w:p w14:paraId="30A3054A" w14:textId="5D72DB0A" w:rsidR="008479F1" w:rsidRPr="008479F1" w:rsidRDefault="008479F1" w:rsidP="009E6596">
      <w:pPr>
        <w:spacing w:line="360" w:lineRule="auto"/>
        <w:jc w:val="both"/>
        <w:rPr>
          <w:rFonts w:ascii="Arial" w:hAnsi="Arial" w:cs="Arial"/>
          <w:sz w:val="22"/>
          <w:szCs w:val="22"/>
        </w:rPr>
      </w:pPr>
      <w:r>
        <w:rPr>
          <w:rFonts w:ascii="Arial" w:hAnsi="Arial" w:cs="Arial"/>
          <w:sz w:val="22"/>
          <w:szCs w:val="22"/>
        </w:rPr>
        <w:lastRenderedPageBreak/>
        <w:t xml:space="preserve">4. </w:t>
      </w:r>
      <w:r w:rsidRPr="008479F1">
        <w:rPr>
          <w:rFonts w:ascii="Arial" w:hAnsi="Arial" w:cs="Arial"/>
          <w:sz w:val="22"/>
          <w:szCs w:val="22"/>
        </w:rPr>
        <w:t xml:space="preserve">Laboratory diagnostics: According to </w:t>
      </w:r>
      <w:proofErr w:type="spellStart"/>
      <w:r w:rsidRPr="008479F1">
        <w:rPr>
          <w:rFonts w:ascii="Arial" w:hAnsi="Arial" w:cs="Arial"/>
          <w:sz w:val="22"/>
          <w:szCs w:val="22"/>
        </w:rPr>
        <w:t>Migliori</w:t>
      </w:r>
      <w:proofErr w:type="spellEnd"/>
      <w:r w:rsidRPr="008479F1">
        <w:rPr>
          <w:rFonts w:ascii="Arial" w:hAnsi="Arial" w:cs="Arial"/>
          <w:sz w:val="22"/>
          <w:szCs w:val="22"/>
        </w:rPr>
        <w:t xml:space="preserve"> et al. (2020), there is a network of public health laboratories in the UK that provide TB diagnostic testing. To diagnose TB, these laboratories employ a variety of techniques, such as nucleic acid amplification and culture. However, these tests' sensitivity and specificity can differ, and false negatives or positives can happen.</w:t>
      </w:r>
    </w:p>
    <w:p w14:paraId="46A08294" w14:textId="77777777" w:rsidR="008479F1" w:rsidRPr="00843856" w:rsidRDefault="008479F1" w:rsidP="009E6596">
      <w:pPr>
        <w:spacing w:line="360" w:lineRule="auto"/>
        <w:jc w:val="both"/>
        <w:rPr>
          <w:rFonts w:ascii="Arial" w:hAnsi="Arial" w:cs="Arial"/>
          <w:b/>
          <w:bCs/>
          <w:sz w:val="22"/>
          <w:szCs w:val="22"/>
        </w:rPr>
      </w:pPr>
      <w:r w:rsidRPr="00843856">
        <w:rPr>
          <w:rFonts w:ascii="Arial" w:hAnsi="Arial" w:cs="Arial"/>
          <w:b/>
          <w:bCs/>
          <w:sz w:val="22"/>
          <w:szCs w:val="22"/>
        </w:rPr>
        <w:t>3.0 ANALYSIS OF UK STRATEGIES USED TO MONITOR THE INCIDENCE OF TB IN THE UK</w:t>
      </w:r>
    </w:p>
    <w:p w14:paraId="19864466" w14:textId="77777777" w:rsidR="008479F1" w:rsidRPr="008479F1" w:rsidRDefault="008479F1" w:rsidP="009E6596">
      <w:pPr>
        <w:spacing w:line="360" w:lineRule="auto"/>
        <w:jc w:val="both"/>
        <w:rPr>
          <w:rFonts w:ascii="Arial" w:hAnsi="Arial" w:cs="Arial"/>
          <w:sz w:val="22"/>
          <w:szCs w:val="22"/>
        </w:rPr>
      </w:pPr>
      <w:r w:rsidRPr="008479F1">
        <w:rPr>
          <w:rFonts w:ascii="Arial" w:hAnsi="Arial" w:cs="Arial"/>
          <w:sz w:val="22"/>
          <w:szCs w:val="22"/>
        </w:rPr>
        <w:t>The UK has put in place a number of measures to track the prevalence of tuberculosis (TB) among the populace. A review of some of these tactics is provided here:</w:t>
      </w:r>
    </w:p>
    <w:p w14:paraId="4EFACDC0" w14:textId="2BB6C261"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1. </w:t>
      </w:r>
      <w:r w:rsidRPr="008479F1">
        <w:rPr>
          <w:rFonts w:ascii="Arial" w:hAnsi="Arial" w:cs="Arial"/>
          <w:sz w:val="22"/>
          <w:szCs w:val="22"/>
        </w:rPr>
        <w:t>National Tuberculosis Register: The UK keeps a database of all diagnosed cases of TB called the National Tuberculosis Register (</w:t>
      </w:r>
      <w:proofErr w:type="spellStart"/>
      <w:r w:rsidRPr="008479F1">
        <w:rPr>
          <w:rFonts w:ascii="Arial" w:hAnsi="Arial" w:cs="Arial"/>
          <w:sz w:val="22"/>
          <w:szCs w:val="22"/>
        </w:rPr>
        <w:t>Gafar</w:t>
      </w:r>
      <w:proofErr w:type="spellEnd"/>
      <w:r w:rsidRPr="008479F1">
        <w:rPr>
          <w:rFonts w:ascii="Arial" w:hAnsi="Arial" w:cs="Arial"/>
          <w:sz w:val="22"/>
          <w:szCs w:val="22"/>
        </w:rPr>
        <w:t xml:space="preserve"> et al., 2019). As stated by </w:t>
      </w:r>
      <w:proofErr w:type="spellStart"/>
      <w:r w:rsidRPr="008479F1">
        <w:rPr>
          <w:rFonts w:ascii="Arial" w:hAnsi="Arial" w:cs="Arial"/>
          <w:sz w:val="22"/>
          <w:szCs w:val="22"/>
        </w:rPr>
        <w:t>Gafar</w:t>
      </w:r>
      <w:proofErr w:type="spellEnd"/>
      <w:r w:rsidRPr="008479F1">
        <w:rPr>
          <w:rFonts w:ascii="Arial" w:hAnsi="Arial" w:cs="Arial"/>
          <w:sz w:val="22"/>
          <w:szCs w:val="22"/>
        </w:rPr>
        <w:t xml:space="preserve"> et al. (2019), this register offers data on demographics, disease features, and treatment outcomes. However, not all cases may be included in the register, particularly those diagnosed outside of the NHS, and some cases may be incomplete or incorrectly </w:t>
      </w:r>
      <w:proofErr w:type="spellStart"/>
      <w:r w:rsidRPr="008479F1">
        <w:rPr>
          <w:rFonts w:ascii="Arial" w:hAnsi="Arial" w:cs="Arial"/>
          <w:sz w:val="22"/>
          <w:szCs w:val="22"/>
        </w:rPr>
        <w:t>categorised</w:t>
      </w:r>
      <w:proofErr w:type="spellEnd"/>
      <w:r w:rsidRPr="008479F1">
        <w:rPr>
          <w:rFonts w:ascii="Arial" w:hAnsi="Arial" w:cs="Arial"/>
          <w:sz w:val="22"/>
          <w:szCs w:val="22"/>
        </w:rPr>
        <w:t>.</w:t>
      </w:r>
    </w:p>
    <w:p w14:paraId="06B430A5" w14:textId="54870DDC"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2. </w:t>
      </w:r>
      <w:r w:rsidRPr="008479F1">
        <w:rPr>
          <w:rFonts w:ascii="Arial" w:hAnsi="Arial" w:cs="Arial"/>
          <w:sz w:val="22"/>
          <w:szCs w:val="22"/>
        </w:rPr>
        <w:t>Sentinel Surveillance: The UK monitors TB cases in particular regions or groups as part of sentinel surveillance (Cragg and Rudge 2018). This strategy can offer more thorough details on the epidemiology of TB in certain regions or populations. Sentinel sites may not be fully representative, and data may not be transferable to a larger population (Richardson et al., 2022).</w:t>
      </w:r>
    </w:p>
    <w:p w14:paraId="49BAE103" w14:textId="08D19FBE"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3. </w:t>
      </w:r>
      <w:r w:rsidRPr="008479F1">
        <w:rPr>
          <w:rFonts w:ascii="Arial" w:hAnsi="Arial" w:cs="Arial"/>
          <w:sz w:val="22"/>
          <w:szCs w:val="22"/>
        </w:rPr>
        <w:t>Molecular Epidemiology: The UK looks into the spread of TB using molecular epidemiology methods including DNA fingerprinting (</w:t>
      </w:r>
      <w:proofErr w:type="spellStart"/>
      <w:r w:rsidRPr="008479F1">
        <w:rPr>
          <w:rFonts w:ascii="Arial" w:hAnsi="Arial" w:cs="Arial"/>
          <w:sz w:val="22"/>
          <w:szCs w:val="22"/>
        </w:rPr>
        <w:t>Tümmler</w:t>
      </w:r>
      <w:proofErr w:type="spellEnd"/>
      <w:r w:rsidRPr="008479F1">
        <w:rPr>
          <w:rFonts w:ascii="Arial" w:hAnsi="Arial" w:cs="Arial"/>
          <w:sz w:val="22"/>
          <w:szCs w:val="22"/>
        </w:rPr>
        <w:t xml:space="preserve"> 2020). This method can be used to spot TB outbreaks and monitor their spread (</w:t>
      </w:r>
      <w:proofErr w:type="spellStart"/>
      <w:r w:rsidRPr="008479F1">
        <w:rPr>
          <w:rFonts w:ascii="Arial" w:hAnsi="Arial" w:cs="Arial"/>
          <w:sz w:val="22"/>
          <w:szCs w:val="22"/>
        </w:rPr>
        <w:t>Tümmler</w:t>
      </w:r>
      <w:proofErr w:type="spellEnd"/>
      <w:r w:rsidRPr="008479F1">
        <w:rPr>
          <w:rFonts w:ascii="Arial" w:hAnsi="Arial" w:cs="Arial"/>
          <w:sz w:val="22"/>
          <w:szCs w:val="22"/>
        </w:rPr>
        <w:t>, 2020). However, these methods need a lot of resources and might not be available everywhere (Smith et al., 2021).</w:t>
      </w:r>
    </w:p>
    <w:p w14:paraId="21571D56" w14:textId="512F5729"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4. </w:t>
      </w:r>
      <w:r w:rsidRPr="008479F1">
        <w:rPr>
          <w:rFonts w:ascii="Arial" w:hAnsi="Arial" w:cs="Arial"/>
          <w:sz w:val="22"/>
          <w:szCs w:val="22"/>
        </w:rPr>
        <w:t>Drug Resistance Surveillance: Based on Lan et al. (2019), the UK monitors drug-resistant tuberculosis by testing TB isolates for drug resistance. Using this strategy, treatment choices can be guided and the formation of drug resistance can be monitored. Drug resistance testing, however, might not be accessible for all TB cases, particularly those in high-burden or low-income environments (</w:t>
      </w:r>
      <w:proofErr w:type="spellStart"/>
      <w:r w:rsidRPr="008479F1">
        <w:rPr>
          <w:rFonts w:ascii="Arial" w:hAnsi="Arial" w:cs="Arial"/>
          <w:sz w:val="22"/>
          <w:szCs w:val="22"/>
        </w:rPr>
        <w:t>Zürcher</w:t>
      </w:r>
      <w:proofErr w:type="spellEnd"/>
      <w:r w:rsidRPr="008479F1">
        <w:rPr>
          <w:rFonts w:ascii="Arial" w:hAnsi="Arial" w:cs="Arial"/>
          <w:sz w:val="22"/>
          <w:szCs w:val="22"/>
        </w:rPr>
        <w:t xml:space="preserve"> et al., 2019).</w:t>
      </w:r>
    </w:p>
    <w:p w14:paraId="654F306C" w14:textId="77777777" w:rsidR="008479F1" w:rsidRPr="00843856" w:rsidRDefault="008479F1" w:rsidP="009E6596">
      <w:pPr>
        <w:spacing w:line="360" w:lineRule="auto"/>
        <w:jc w:val="both"/>
        <w:rPr>
          <w:rFonts w:ascii="Arial" w:hAnsi="Arial" w:cs="Arial"/>
          <w:b/>
          <w:bCs/>
          <w:sz w:val="22"/>
          <w:szCs w:val="22"/>
        </w:rPr>
      </w:pPr>
      <w:r w:rsidRPr="00843856">
        <w:rPr>
          <w:rFonts w:ascii="Arial" w:hAnsi="Arial" w:cs="Arial"/>
          <w:b/>
          <w:bCs/>
          <w:sz w:val="22"/>
          <w:szCs w:val="22"/>
        </w:rPr>
        <w:t>4.0 ANALYSIS OF THE UK'S STRATEGIES FOR CONTROLLING THE INCIDENCE OF TB IN THE UNITED KINGDOM</w:t>
      </w:r>
    </w:p>
    <w:p w14:paraId="13749F1D" w14:textId="202FB070" w:rsidR="008479F1" w:rsidRPr="008479F1" w:rsidRDefault="008479F1" w:rsidP="009E6596">
      <w:pPr>
        <w:spacing w:line="360" w:lineRule="auto"/>
        <w:jc w:val="both"/>
        <w:rPr>
          <w:rFonts w:ascii="Arial" w:hAnsi="Arial" w:cs="Arial"/>
          <w:sz w:val="22"/>
          <w:szCs w:val="22"/>
        </w:rPr>
      </w:pPr>
      <w:r w:rsidRPr="008479F1">
        <w:rPr>
          <w:rFonts w:ascii="Arial" w:hAnsi="Arial" w:cs="Arial"/>
          <w:sz w:val="22"/>
          <w:szCs w:val="22"/>
        </w:rPr>
        <w:t>The UK has put in place a number of measures to reduce the prevalence of tuberculosis (TB) among the populace.</w:t>
      </w:r>
    </w:p>
    <w:p w14:paraId="7C08C87D" w14:textId="147D09B7"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1. </w:t>
      </w:r>
      <w:r w:rsidRPr="008479F1">
        <w:rPr>
          <w:rFonts w:ascii="Arial" w:hAnsi="Arial" w:cs="Arial"/>
          <w:sz w:val="22"/>
          <w:szCs w:val="22"/>
        </w:rPr>
        <w:t xml:space="preserve">Early TB Diagnosis and Treatment: Preventing the spread of the disease requires early TB diagnosis and treatment. The UK has put into </w:t>
      </w:r>
      <w:proofErr w:type="spellStart"/>
      <w:r w:rsidRPr="008479F1">
        <w:rPr>
          <w:rFonts w:ascii="Arial" w:hAnsi="Arial" w:cs="Arial"/>
          <w:sz w:val="22"/>
          <w:szCs w:val="22"/>
        </w:rPr>
        <w:t>practise</w:t>
      </w:r>
      <w:proofErr w:type="spellEnd"/>
      <w:r w:rsidRPr="008479F1">
        <w:rPr>
          <w:rFonts w:ascii="Arial" w:hAnsi="Arial" w:cs="Arial"/>
          <w:sz w:val="22"/>
          <w:szCs w:val="22"/>
        </w:rPr>
        <w:t xml:space="preserve"> recommendations for diagnosing and treating TB, including quick tests and the supply of suitable treatment regimens (WHO 2021). Ongoing TB transmission, however, can result from delays in diagnosis and treatment, particularly in high-risk populations.</w:t>
      </w:r>
    </w:p>
    <w:p w14:paraId="78006303" w14:textId="2FA8B651" w:rsidR="008479F1" w:rsidRPr="008479F1" w:rsidRDefault="008479F1" w:rsidP="009E6596">
      <w:pPr>
        <w:spacing w:line="360" w:lineRule="auto"/>
        <w:jc w:val="both"/>
        <w:rPr>
          <w:rFonts w:ascii="Arial" w:hAnsi="Arial" w:cs="Arial"/>
          <w:sz w:val="22"/>
          <w:szCs w:val="22"/>
        </w:rPr>
      </w:pPr>
      <w:r>
        <w:rPr>
          <w:rFonts w:ascii="Arial" w:hAnsi="Arial" w:cs="Arial"/>
          <w:sz w:val="22"/>
          <w:szCs w:val="22"/>
        </w:rPr>
        <w:lastRenderedPageBreak/>
        <w:t xml:space="preserve">2. </w:t>
      </w:r>
      <w:r w:rsidRPr="008479F1">
        <w:rPr>
          <w:rFonts w:ascii="Arial" w:hAnsi="Arial" w:cs="Arial"/>
          <w:sz w:val="22"/>
          <w:szCs w:val="22"/>
        </w:rPr>
        <w:t>Addressing Social Determinants: According to Duarte et al. (2020), migration, poverty, and overcrowding are all social determinants of health that are directly related to TB. By addressing these underlying causes, TB incidence might be decreased. This includes actions like enhancing housing quality, lowering economic inequality, and offering assistance to vulnerable groups (Hayward et al., 2019).</w:t>
      </w:r>
    </w:p>
    <w:p w14:paraId="41E350D1" w14:textId="5A9F9C8A" w:rsidR="008479F1" w:rsidRPr="008479F1" w:rsidRDefault="008479F1" w:rsidP="009E6596">
      <w:pPr>
        <w:spacing w:line="360" w:lineRule="auto"/>
        <w:jc w:val="both"/>
        <w:rPr>
          <w:rFonts w:ascii="Arial" w:hAnsi="Arial" w:cs="Arial"/>
          <w:sz w:val="22"/>
          <w:szCs w:val="22"/>
        </w:rPr>
      </w:pPr>
      <w:r>
        <w:rPr>
          <w:rFonts w:ascii="Arial" w:hAnsi="Arial" w:cs="Arial"/>
          <w:sz w:val="22"/>
          <w:szCs w:val="22"/>
        </w:rPr>
        <w:t xml:space="preserve">3. </w:t>
      </w:r>
      <w:proofErr w:type="spellStart"/>
      <w:r w:rsidRPr="008479F1">
        <w:rPr>
          <w:rFonts w:ascii="Arial" w:hAnsi="Arial" w:cs="Arial"/>
          <w:sz w:val="22"/>
          <w:szCs w:val="22"/>
        </w:rPr>
        <w:t>Immunisation</w:t>
      </w:r>
      <w:proofErr w:type="spellEnd"/>
      <w:r w:rsidRPr="008479F1">
        <w:rPr>
          <w:rFonts w:ascii="Arial" w:hAnsi="Arial" w:cs="Arial"/>
          <w:sz w:val="22"/>
          <w:szCs w:val="22"/>
        </w:rPr>
        <w:t xml:space="preserve">: According to </w:t>
      </w:r>
      <w:proofErr w:type="spellStart"/>
      <w:r w:rsidRPr="008479F1">
        <w:rPr>
          <w:rFonts w:ascii="Arial" w:hAnsi="Arial" w:cs="Arial"/>
          <w:sz w:val="22"/>
          <w:szCs w:val="22"/>
        </w:rPr>
        <w:t>Maltezou</w:t>
      </w:r>
      <w:proofErr w:type="spellEnd"/>
      <w:r w:rsidRPr="008479F1">
        <w:rPr>
          <w:rFonts w:ascii="Arial" w:hAnsi="Arial" w:cs="Arial"/>
          <w:sz w:val="22"/>
          <w:szCs w:val="22"/>
        </w:rPr>
        <w:t xml:space="preserve"> et al. (2019), the UK provides vaccine against TB to high-risk populations such as infants and healthcare workers. The BCG vaccination has a low efficacy against pulmonary TB in adults, but it has been demonstrated to be beneficial in avoiding severe forms of TB in children (WHO 2018). Additionally, some groups might not have optimal vaccination coverage.</w:t>
      </w:r>
    </w:p>
    <w:p w14:paraId="48A03CF7" w14:textId="543BFD14" w:rsidR="008479F1" w:rsidRDefault="008479F1" w:rsidP="009E6596">
      <w:pPr>
        <w:spacing w:line="360" w:lineRule="auto"/>
        <w:jc w:val="both"/>
        <w:rPr>
          <w:rFonts w:ascii="Arial" w:hAnsi="Arial" w:cs="Arial"/>
          <w:sz w:val="22"/>
          <w:szCs w:val="22"/>
        </w:rPr>
      </w:pPr>
      <w:r>
        <w:rPr>
          <w:rFonts w:ascii="Arial" w:hAnsi="Arial" w:cs="Arial"/>
          <w:sz w:val="22"/>
          <w:szCs w:val="22"/>
        </w:rPr>
        <w:t xml:space="preserve">4. </w:t>
      </w:r>
      <w:r w:rsidRPr="008479F1">
        <w:rPr>
          <w:rFonts w:ascii="Arial" w:hAnsi="Arial" w:cs="Arial"/>
          <w:sz w:val="22"/>
          <w:szCs w:val="22"/>
        </w:rPr>
        <w:t xml:space="preserve">Increasing Healthcare Worker Training: According to </w:t>
      </w:r>
      <w:proofErr w:type="spellStart"/>
      <w:r w:rsidRPr="008479F1">
        <w:rPr>
          <w:rFonts w:ascii="Arial" w:hAnsi="Arial" w:cs="Arial"/>
          <w:sz w:val="22"/>
          <w:szCs w:val="22"/>
        </w:rPr>
        <w:t>Sima</w:t>
      </w:r>
      <w:proofErr w:type="spellEnd"/>
      <w:r w:rsidRPr="008479F1">
        <w:rPr>
          <w:rFonts w:ascii="Arial" w:hAnsi="Arial" w:cs="Arial"/>
          <w:sz w:val="22"/>
          <w:szCs w:val="22"/>
        </w:rPr>
        <w:t xml:space="preserve"> et al. (2019), proper diagnosis, treatment, and management of TB cases are essential for TB control. The UK offers healthcare professionals training and education on TB management and infection control strategies (Tan et al., 2020).</w:t>
      </w:r>
    </w:p>
    <w:p w14:paraId="7765CC03" w14:textId="7F2A293D" w:rsidR="008479F1" w:rsidRPr="008479F1" w:rsidRDefault="004F68B9" w:rsidP="009E6596">
      <w:pPr>
        <w:spacing w:line="360" w:lineRule="auto"/>
        <w:jc w:val="both"/>
        <w:rPr>
          <w:rFonts w:ascii="Arial" w:hAnsi="Arial" w:cs="Arial"/>
          <w:b/>
          <w:bCs/>
          <w:sz w:val="22"/>
          <w:szCs w:val="22"/>
        </w:rPr>
      </w:pPr>
      <w:r w:rsidRPr="008479F1">
        <w:rPr>
          <w:rFonts w:ascii="Arial" w:hAnsi="Arial" w:cs="Arial"/>
          <w:b/>
          <w:bCs/>
          <w:sz w:val="22"/>
          <w:szCs w:val="22"/>
        </w:rPr>
        <w:t>5.0 CONCLUSION</w:t>
      </w:r>
    </w:p>
    <w:p w14:paraId="3DDAB0D8" w14:textId="07BE6B9F" w:rsidR="00487702" w:rsidRPr="008479F1" w:rsidRDefault="008479F1" w:rsidP="009E6596">
      <w:pPr>
        <w:spacing w:line="360" w:lineRule="auto"/>
        <w:jc w:val="both"/>
        <w:rPr>
          <w:rFonts w:ascii="Arial" w:hAnsi="Arial" w:cs="Arial"/>
          <w:sz w:val="22"/>
          <w:szCs w:val="22"/>
        </w:rPr>
      </w:pPr>
      <w:r w:rsidRPr="008479F1">
        <w:rPr>
          <w:rFonts w:ascii="Arial" w:hAnsi="Arial" w:cs="Arial"/>
          <w:sz w:val="22"/>
          <w:szCs w:val="22"/>
        </w:rPr>
        <w:t>The incidence of tuberculosis in the UK has been measured, monitored, and controlled using a variety of methods and tactics. Early diagnosis and treatment, contact tracing, screening initiatives, and vaccination are a few of these. Although the incidence of TB has significantly decreased over the past ten years, it is still a serious public health concern in some groups. Therefore, ongoing initiatives are required to eradicate this illness in the UK.</w:t>
      </w:r>
    </w:p>
    <w:p w14:paraId="021BD72C" w14:textId="77777777" w:rsidR="00487702" w:rsidRPr="008479F1" w:rsidRDefault="00487702" w:rsidP="008479F1">
      <w:pPr>
        <w:spacing w:line="360" w:lineRule="auto"/>
        <w:jc w:val="both"/>
        <w:rPr>
          <w:rFonts w:ascii="Arial" w:hAnsi="Arial" w:cs="Arial"/>
          <w:sz w:val="22"/>
          <w:szCs w:val="22"/>
        </w:rPr>
      </w:pPr>
    </w:p>
    <w:p w14:paraId="6E15C050" w14:textId="77777777" w:rsidR="00487702" w:rsidRPr="008479F1" w:rsidRDefault="00487702" w:rsidP="008479F1">
      <w:pPr>
        <w:spacing w:line="360" w:lineRule="auto"/>
        <w:jc w:val="both"/>
        <w:rPr>
          <w:rFonts w:ascii="Arial" w:hAnsi="Arial" w:cs="Arial"/>
          <w:sz w:val="22"/>
          <w:szCs w:val="22"/>
        </w:rPr>
      </w:pPr>
    </w:p>
    <w:p w14:paraId="653C211C" w14:textId="77777777" w:rsidR="00487702" w:rsidRPr="008479F1" w:rsidRDefault="00487702" w:rsidP="008479F1">
      <w:pPr>
        <w:spacing w:line="360" w:lineRule="auto"/>
        <w:jc w:val="both"/>
        <w:rPr>
          <w:rFonts w:ascii="Arial" w:hAnsi="Arial" w:cs="Arial"/>
          <w:sz w:val="22"/>
          <w:szCs w:val="22"/>
        </w:rPr>
      </w:pPr>
    </w:p>
    <w:p w14:paraId="7A038DF4" w14:textId="77777777" w:rsidR="00487702" w:rsidRPr="008479F1" w:rsidRDefault="00487702" w:rsidP="008479F1">
      <w:pPr>
        <w:spacing w:line="360" w:lineRule="auto"/>
        <w:jc w:val="both"/>
        <w:rPr>
          <w:rFonts w:ascii="Arial" w:hAnsi="Arial" w:cs="Arial"/>
          <w:sz w:val="22"/>
          <w:szCs w:val="22"/>
        </w:rPr>
      </w:pPr>
    </w:p>
    <w:p w14:paraId="75D31C40" w14:textId="77777777" w:rsidR="00487702" w:rsidRPr="00762DC3" w:rsidRDefault="00487702" w:rsidP="00762DC3">
      <w:pPr>
        <w:jc w:val="both"/>
        <w:rPr>
          <w:rFonts w:ascii="Arial" w:hAnsi="Arial" w:cs="Arial"/>
          <w:sz w:val="22"/>
          <w:szCs w:val="22"/>
        </w:rPr>
      </w:pPr>
    </w:p>
    <w:p w14:paraId="0E94919E" w14:textId="77777777" w:rsidR="00487702" w:rsidRPr="00762DC3" w:rsidRDefault="00487702" w:rsidP="00762DC3">
      <w:pPr>
        <w:jc w:val="both"/>
        <w:rPr>
          <w:rFonts w:ascii="Arial" w:hAnsi="Arial" w:cs="Arial"/>
          <w:sz w:val="22"/>
          <w:szCs w:val="22"/>
        </w:rPr>
      </w:pPr>
    </w:p>
    <w:p w14:paraId="2CF0CC37" w14:textId="77777777" w:rsidR="00487702" w:rsidRPr="00762DC3" w:rsidRDefault="00487702" w:rsidP="00762DC3">
      <w:pPr>
        <w:jc w:val="both"/>
        <w:rPr>
          <w:rFonts w:ascii="Arial" w:hAnsi="Arial" w:cs="Arial"/>
          <w:sz w:val="22"/>
          <w:szCs w:val="22"/>
        </w:rPr>
      </w:pPr>
    </w:p>
    <w:p w14:paraId="53933780" w14:textId="77777777" w:rsidR="00487702" w:rsidRPr="00762DC3" w:rsidRDefault="00487702" w:rsidP="00762DC3">
      <w:pPr>
        <w:jc w:val="both"/>
        <w:rPr>
          <w:rFonts w:ascii="Arial" w:hAnsi="Arial" w:cs="Arial"/>
          <w:sz w:val="22"/>
          <w:szCs w:val="22"/>
        </w:rPr>
      </w:pPr>
    </w:p>
    <w:p w14:paraId="0E1DF248" w14:textId="77777777" w:rsidR="00487702" w:rsidRDefault="00487702" w:rsidP="00762DC3">
      <w:pPr>
        <w:jc w:val="both"/>
        <w:rPr>
          <w:rFonts w:ascii="Arial" w:hAnsi="Arial" w:cs="Arial"/>
          <w:sz w:val="22"/>
          <w:szCs w:val="22"/>
        </w:rPr>
      </w:pPr>
    </w:p>
    <w:p w14:paraId="7200E9C1" w14:textId="77777777" w:rsidR="009E6596" w:rsidRDefault="009E6596" w:rsidP="00762DC3">
      <w:pPr>
        <w:jc w:val="both"/>
        <w:rPr>
          <w:rFonts w:ascii="Arial" w:hAnsi="Arial" w:cs="Arial"/>
          <w:sz w:val="22"/>
          <w:szCs w:val="22"/>
        </w:rPr>
      </w:pPr>
    </w:p>
    <w:p w14:paraId="34ADC97D" w14:textId="77777777" w:rsidR="009E6596" w:rsidRDefault="009E6596" w:rsidP="00762DC3">
      <w:pPr>
        <w:jc w:val="both"/>
        <w:rPr>
          <w:rFonts w:ascii="Arial" w:hAnsi="Arial" w:cs="Arial"/>
          <w:sz w:val="22"/>
          <w:szCs w:val="22"/>
        </w:rPr>
      </w:pPr>
    </w:p>
    <w:p w14:paraId="4585866F" w14:textId="77777777" w:rsidR="009E6596" w:rsidRDefault="009E6596" w:rsidP="00762DC3">
      <w:pPr>
        <w:jc w:val="both"/>
        <w:rPr>
          <w:rFonts w:ascii="Arial" w:hAnsi="Arial" w:cs="Arial"/>
          <w:sz w:val="22"/>
          <w:szCs w:val="22"/>
        </w:rPr>
      </w:pPr>
    </w:p>
    <w:p w14:paraId="765D5CCD" w14:textId="77777777" w:rsidR="009E6596" w:rsidRDefault="009E6596" w:rsidP="00762DC3">
      <w:pPr>
        <w:jc w:val="both"/>
        <w:rPr>
          <w:rFonts w:ascii="Arial" w:hAnsi="Arial" w:cs="Arial"/>
          <w:sz w:val="22"/>
          <w:szCs w:val="22"/>
        </w:rPr>
      </w:pPr>
    </w:p>
    <w:p w14:paraId="2FD14804" w14:textId="77777777" w:rsidR="004F68B9" w:rsidRDefault="004F68B9" w:rsidP="00762DC3">
      <w:pPr>
        <w:jc w:val="both"/>
        <w:rPr>
          <w:rFonts w:ascii="Arial" w:hAnsi="Arial" w:cs="Arial"/>
          <w:sz w:val="22"/>
          <w:szCs w:val="22"/>
        </w:rPr>
      </w:pPr>
    </w:p>
    <w:p w14:paraId="3180F533" w14:textId="77777777" w:rsidR="004F68B9" w:rsidRDefault="004F68B9" w:rsidP="00762DC3">
      <w:pPr>
        <w:jc w:val="both"/>
        <w:rPr>
          <w:rFonts w:ascii="Arial" w:hAnsi="Arial" w:cs="Arial"/>
          <w:sz w:val="22"/>
          <w:szCs w:val="22"/>
        </w:rPr>
      </w:pPr>
    </w:p>
    <w:p w14:paraId="567F7791" w14:textId="77777777" w:rsidR="004F68B9" w:rsidRDefault="004F68B9" w:rsidP="00762DC3">
      <w:pPr>
        <w:jc w:val="both"/>
        <w:rPr>
          <w:rFonts w:ascii="Arial" w:hAnsi="Arial" w:cs="Arial"/>
          <w:sz w:val="22"/>
          <w:szCs w:val="22"/>
        </w:rPr>
      </w:pPr>
    </w:p>
    <w:p w14:paraId="677DC247" w14:textId="77777777" w:rsidR="004F68B9" w:rsidRDefault="004F68B9" w:rsidP="00762DC3">
      <w:pPr>
        <w:jc w:val="both"/>
        <w:rPr>
          <w:rFonts w:ascii="Arial" w:hAnsi="Arial" w:cs="Arial"/>
          <w:sz w:val="22"/>
          <w:szCs w:val="22"/>
        </w:rPr>
      </w:pPr>
    </w:p>
    <w:p w14:paraId="497D3924" w14:textId="77777777" w:rsidR="004F68B9" w:rsidRPr="00762DC3" w:rsidRDefault="004F68B9" w:rsidP="00762DC3">
      <w:pPr>
        <w:jc w:val="both"/>
        <w:rPr>
          <w:rFonts w:ascii="Arial" w:hAnsi="Arial" w:cs="Arial"/>
          <w:sz w:val="22"/>
          <w:szCs w:val="22"/>
        </w:rPr>
      </w:pPr>
    </w:p>
    <w:p w14:paraId="2E57444D" w14:textId="77777777" w:rsidR="00487702" w:rsidRPr="00762DC3" w:rsidRDefault="00487702" w:rsidP="00762DC3">
      <w:pPr>
        <w:jc w:val="both"/>
        <w:rPr>
          <w:rFonts w:ascii="Arial" w:hAnsi="Arial" w:cs="Arial"/>
          <w:sz w:val="22"/>
          <w:szCs w:val="22"/>
        </w:rPr>
      </w:pPr>
    </w:p>
    <w:p w14:paraId="2ABA3E1C" w14:textId="2492D15A" w:rsidR="00487702" w:rsidRPr="00573DB4" w:rsidRDefault="00843856" w:rsidP="00573DB4">
      <w:pPr>
        <w:spacing w:line="360" w:lineRule="auto"/>
        <w:jc w:val="center"/>
        <w:rPr>
          <w:rFonts w:ascii="Arial" w:hAnsi="Arial" w:cs="Arial"/>
          <w:b/>
          <w:bCs/>
          <w:sz w:val="22"/>
          <w:szCs w:val="22"/>
        </w:rPr>
      </w:pPr>
      <w:r w:rsidRPr="00573DB4">
        <w:rPr>
          <w:rFonts w:ascii="Arial" w:hAnsi="Arial" w:cs="Arial"/>
          <w:b/>
          <w:bCs/>
          <w:sz w:val="22"/>
          <w:szCs w:val="22"/>
        </w:rPr>
        <w:lastRenderedPageBreak/>
        <w:t>REFERENCE</w:t>
      </w:r>
    </w:p>
    <w:p w14:paraId="7D486383"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Cragg, L. and Rudge, J., 2018. Surveillance 4. </w:t>
      </w:r>
      <w:r w:rsidRPr="00762DC3">
        <w:rPr>
          <w:rFonts w:ascii="Arial" w:hAnsi="Arial" w:cs="Arial"/>
          <w:i/>
          <w:iCs/>
          <w:sz w:val="22"/>
          <w:szCs w:val="22"/>
        </w:rPr>
        <w:t>EBOOK: Applied Communicable Disease Control</w:t>
      </w:r>
      <w:r w:rsidRPr="00762DC3">
        <w:rPr>
          <w:rFonts w:ascii="Arial" w:hAnsi="Arial" w:cs="Arial"/>
          <w:sz w:val="22"/>
          <w:szCs w:val="22"/>
        </w:rPr>
        <w:t>, p.65.</w:t>
      </w:r>
    </w:p>
    <w:p w14:paraId="5D1EA18F"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Duarte, R., Aguiar, A., Pinto, M., Furtado, I., </w:t>
      </w:r>
      <w:proofErr w:type="spellStart"/>
      <w:r w:rsidRPr="00762DC3">
        <w:rPr>
          <w:rFonts w:ascii="Arial" w:hAnsi="Arial" w:cs="Arial"/>
          <w:sz w:val="22"/>
          <w:szCs w:val="22"/>
        </w:rPr>
        <w:t>Tiberi</w:t>
      </w:r>
      <w:proofErr w:type="spellEnd"/>
      <w:r w:rsidRPr="00762DC3">
        <w:rPr>
          <w:rFonts w:ascii="Arial" w:hAnsi="Arial" w:cs="Arial"/>
          <w:sz w:val="22"/>
          <w:szCs w:val="22"/>
        </w:rPr>
        <w:t xml:space="preserve">, S., </w:t>
      </w:r>
      <w:proofErr w:type="spellStart"/>
      <w:r w:rsidRPr="00762DC3">
        <w:rPr>
          <w:rFonts w:ascii="Arial" w:hAnsi="Arial" w:cs="Arial"/>
          <w:sz w:val="22"/>
          <w:szCs w:val="22"/>
        </w:rPr>
        <w:t>Lönnroth</w:t>
      </w:r>
      <w:proofErr w:type="spellEnd"/>
      <w:r w:rsidRPr="00762DC3">
        <w:rPr>
          <w:rFonts w:ascii="Arial" w:hAnsi="Arial" w:cs="Arial"/>
          <w:sz w:val="22"/>
          <w:szCs w:val="22"/>
        </w:rPr>
        <w:t xml:space="preserve">, K. and </w:t>
      </w:r>
      <w:proofErr w:type="spellStart"/>
      <w:r w:rsidRPr="00762DC3">
        <w:rPr>
          <w:rFonts w:ascii="Arial" w:hAnsi="Arial" w:cs="Arial"/>
          <w:sz w:val="22"/>
          <w:szCs w:val="22"/>
        </w:rPr>
        <w:t>Migliori</w:t>
      </w:r>
      <w:proofErr w:type="spellEnd"/>
      <w:r w:rsidRPr="00762DC3">
        <w:rPr>
          <w:rFonts w:ascii="Arial" w:hAnsi="Arial" w:cs="Arial"/>
          <w:sz w:val="22"/>
          <w:szCs w:val="22"/>
        </w:rPr>
        <w:t xml:space="preserve">, G.B., 2021. Different disease, same challenges: social determinants of tuberculosis and COVID-19. </w:t>
      </w:r>
      <w:r w:rsidRPr="00762DC3">
        <w:rPr>
          <w:rFonts w:ascii="Arial" w:hAnsi="Arial" w:cs="Arial"/>
          <w:i/>
          <w:iCs/>
          <w:sz w:val="22"/>
          <w:szCs w:val="22"/>
        </w:rPr>
        <w:t>Pulmonology</w:t>
      </w:r>
      <w:r w:rsidRPr="00762DC3">
        <w:rPr>
          <w:rFonts w:ascii="Arial" w:hAnsi="Arial" w:cs="Arial"/>
          <w:sz w:val="22"/>
          <w:szCs w:val="22"/>
        </w:rPr>
        <w:t xml:space="preserve">, </w:t>
      </w:r>
      <w:r w:rsidRPr="00762DC3">
        <w:rPr>
          <w:rFonts w:ascii="Arial" w:hAnsi="Arial" w:cs="Arial"/>
          <w:i/>
          <w:iCs/>
          <w:sz w:val="22"/>
          <w:szCs w:val="22"/>
        </w:rPr>
        <w:t>27</w:t>
      </w:r>
      <w:r w:rsidRPr="00762DC3">
        <w:rPr>
          <w:rFonts w:ascii="Arial" w:hAnsi="Arial" w:cs="Arial"/>
          <w:sz w:val="22"/>
          <w:szCs w:val="22"/>
        </w:rPr>
        <w:t>(4), pp.338-344.</w:t>
      </w:r>
    </w:p>
    <w:p w14:paraId="7B28C649"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t>Gafar</w:t>
      </w:r>
      <w:proofErr w:type="spellEnd"/>
      <w:r w:rsidRPr="00762DC3">
        <w:rPr>
          <w:rFonts w:ascii="Arial" w:hAnsi="Arial" w:cs="Arial"/>
          <w:sz w:val="22"/>
          <w:szCs w:val="22"/>
        </w:rPr>
        <w:t xml:space="preserve">, F., </w:t>
      </w:r>
      <w:proofErr w:type="spellStart"/>
      <w:r w:rsidRPr="00762DC3">
        <w:rPr>
          <w:rFonts w:ascii="Arial" w:hAnsi="Arial" w:cs="Arial"/>
          <w:sz w:val="22"/>
          <w:szCs w:val="22"/>
        </w:rPr>
        <w:t>Van't</w:t>
      </w:r>
      <w:proofErr w:type="spellEnd"/>
      <w:r w:rsidRPr="00762DC3">
        <w:rPr>
          <w:rFonts w:ascii="Arial" w:hAnsi="Arial" w:cs="Arial"/>
          <w:sz w:val="22"/>
          <w:szCs w:val="22"/>
        </w:rPr>
        <w:t xml:space="preserve"> </w:t>
      </w:r>
      <w:proofErr w:type="spellStart"/>
      <w:r w:rsidRPr="00762DC3">
        <w:rPr>
          <w:rFonts w:ascii="Arial" w:hAnsi="Arial" w:cs="Arial"/>
          <w:sz w:val="22"/>
          <w:szCs w:val="22"/>
        </w:rPr>
        <w:t>Boveneind-Vrubleuskaya</w:t>
      </w:r>
      <w:proofErr w:type="spellEnd"/>
      <w:r w:rsidRPr="00762DC3">
        <w:rPr>
          <w:rFonts w:ascii="Arial" w:hAnsi="Arial" w:cs="Arial"/>
          <w:sz w:val="22"/>
          <w:szCs w:val="22"/>
        </w:rPr>
        <w:t xml:space="preserve">, N., </w:t>
      </w:r>
      <w:proofErr w:type="spellStart"/>
      <w:r w:rsidRPr="00762DC3">
        <w:rPr>
          <w:rFonts w:ascii="Arial" w:hAnsi="Arial" w:cs="Arial"/>
          <w:sz w:val="22"/>
          <w:szCs w:val="22"/>
        </w:rPr>
        <w:t>Akkerman</w:t>
      </w:r>
      <w:proofErr w:type="spellEnd"/>
      <w:r w:rsidRPr="00762DC3">
        <w:rPr>
          <w:rFonts w:ascii="Arial" w:hAnsi="Arial" w:cs="Arial"/>
          <w:sz w:val="22"/>
          <w:szCs w:val="22"/>
        </w:rPr>
        <w:t xml:space="preserve">, O.W., </w:t>
      </w:r>
      <w:proofErr w:type="spellStart"/>
      <w:r w:rsidRPr="00762DC3">
        <w:rPr>
          <w:rFonts w:ascii="Arial" w:hAnsi="Arial" w:cs="Arial"/>
          <w:sz w:val="22"/>
          <w:szCs w:val="22"/>
        </w:rPr>
        <w:t>Wilffert</w:t>
      </w:r>
      <w:proofErr w:type="spellEnd"/>
      <w:r w:rsidRPr="00762DC3">
        <w:rPr>
          <w:rFonts w:ascii="Arial" w:hAnsi="Arial" w:cs="Arial"/>
          <w:sz w:val="22"/>
          <w:szCs w:val="22"/>
        </w:rPr>
        <w:t xml:space="preserve">, B. and </w:t>
      </w:r>
      <w:proofErr w:type="spellStart"/>
      <w:r w:rsidRPr="00762DC3">
        <w:rPr>
          <w:rFonts w:ascii="Arial" w:hAnsi="Arial" w:cs="Arial"/>
          <w:sz w:val="22"/>
          <w:szCs w:val="22"/>
        </w:rPr>
        <w:t>Alffenaar</w:t>
      </w:r>
      <w:proofErr w:type="spellEnd"/>
      <w:r w:rsidRPr="00762DC3">
        <w:rPr>
          <w:rFonts w:ascii="Arial" w:hAnsi="Arial" w:cs="Arial"/>
          <w:sz w:val="22"/>
          <w:szCs w:val="22"/>
        </w:rPr>
        <w:t xml:space="preserve">, J.W.C., 2019. Nationwide analysis of treatment outcomes in children and adolescents routinely treated for tuberculosis in the Netherlands. </w:t>
      </w:r>
      <w:r w:rsidRPr="00762DC3">
        <w:rPr>
          <w:rFonts w:ascii="Arial" w:hAnsi="Arial" w:cs="Arial"/>
          <w:i/>
          <w:iCs/>
          <w:sz w:val="22"/>
          <w:szCs w:val="22"/>
        </w:rPr>
        <w:t>European Respiratory Journal</w:t>
      </w:r>
      <w:r w:rsidRPr="00762DC3">
        <w:rPr>
          <w:rFonts w:ascii="Arial" w:hAnsi="Arial" w:cs="Arial"/>
          <w:sz w:val="22"/>
          <w:szCs w:val="22"/>
        </w:rPr>
        <w:t xml:space="preserve">, </w:t>
      </w:r>
      <w:r w:rsidRPr="00762DC3">
        <w:rPr>
          <w:rFonts w:ascii="Arial" w:hAnsi="Arial" w:cs="Arial"/>
          <w:i/>
          <w:iCs/>
          <w:sz w:val="22"/>
          <w:szCs w:val="22"/>
        </w:rPr>
        <w:t>54</w:t>
      </w:r>
      <w:r w:rsidRPr="00762DC3">
        <w:rPr>
          <w:rFonts w:ascii="Arial" w:hAnsi="Arial" w:cs="Arial"/>
          <w:sz w:val="22"/>
          <w:szCs w:val="22"/>
        </w:rPr>
        <w:t>(6).</w:t>
      </w:r>
    </w:p>
    <w:p w14:paraId="664BC877"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t>Glaspy</w:t>
      </w:r>
      <w:proofErr w:type="spellEnd"/>
      <w:r w:rsidRPr="00762DC3">
        <w:rPr>
          <w:rFonts w:ascii="Arial" w:hAnsi="Arial" w:cs="Arial"/>
          <w:sz w:val="22"/>
          <w:szCs w:val="22"/>
        </w:rPr>
        <w:t xml:space="preserve">, S., </w:t>
      </w:r>
      <w:proofErr w:type="spellStart"/>
      <w:r w:rsidRPr="00762DC3">
        <w:rPr>
          <w:rFonts w:ascii="Arial" w:hAnsi="Arial" w:cs="Arial"/>
          <w:sz w:val="22"/>
          <w:szCs w:val="22"/>
        </w:rPr>
        <w:t>Cosmaro</w:t>
      </w:r>
      <w:proofErr w:type="spellEnd"/>
      <w:r w:rsidRPr="00762DC3">
        <w:rPr>
          <w:rFonts w:ascii="Arial" w:hAnsi="Arial" w:cs="Arial"/>
          <w:sz w:val="22"/>
          <w:szCs w:val="22"/>
        </w:rPr>
        <w:t xml:space="preserve">, L., </w:t>
      </w:r>
      <w:proofErr w:type="spellStart"/>
      <w:r w:rsidRPr="00762DC3">
        <w:rPr>
          <w:rFonts w:ascii="Arial" w:hAnsi="Arial" w:cs="Arial"/>
          <w:sz w:val="22"/>
          <w:szCs w:val="22"/>
        </w:rPr>
        <w:t>Botsi</w:t>
      </w:r>
      <w:proofErr w:type="spellEnd"/>
      <w:r w:rsidRPr="00762DC3">
        <w:rPr>
          <w:rFonts w:ascii="Arial" w:hAnsi="Arial" w:cs="Arial"/>
          <w:sz w:val="22"/>
          <w:szCs w:val="22"/>
        </w:rPr>
        <w:t xml:space="preserve">, C., </w:t>
      </w:r>
      <w:proofErr w:type="spellStart"/>
      <w:r w:rsidRPr="00762DC3">
        <w:rPr>
          <w:rFonts w:ascii="Arial" w:hAnsi="Arial" w:cs="Arial"/>
          <w:sz w:val="22"/>
          <w:szCs w:val="22"/>
        </w:rPr>
        <w:t>Stamou</w:t>
      </w:r>
      <w:proofErr w:type="spellEnd"/>
      <w:r w:rsidRPr="00762DC3">
        <w:rPr>
          <w:rFonts w:ascii="Arial" w:hAnsi="Arial" w:cs="Arial"/>
          <w:sz w:val="22"/>
          <w:szCs w:val="22"/>
        </w:rPr>
        <w:t xml:space="preserve">, M., </w:t>
      </w:r>
      <w:proofErr w:type="spellStart"/>
      <w:r w:rsidRPr="00762DC3">
        <w:rPr>
          <w:rFonts w:ascii="Arial" w:hAnsi="Arial" w:cs="Arial"/>
          <w:sz w:val="22"/>
          <w:szCs w:val="22"/>
        </w:rPr>
        <w:t>Giannopoulou</w:t>
      </w:r>
      <w:proofErr w:type="spellEnd"/>
      <w:r w:rsidRPr="00762DC3">
        <w:rPr>
          <w:rFonts w:ascii="Arial" w:hAnsi="Arial" w:cs="Arial"/>
          <w:sz w:val="22"/>
          <w:szCs w:val="22"/>
        </w:rPr>
        <w:t xml:space="preserve">, M., </w:t>
      </w:r>
      <w:proofErr w:type="spellStart"/>
      <w:r w:rsidRPr="00762DC3">
        <w:rPr>
          <w:rFonts w:ascii="Arial" w:hAnsi="Arial" w:cs="Arial"/>
          <w:sz w:val="22"/>
          <w:szCs w:val="22"/>
        </w:rPr>
        <w:t>Isari</w:t>
      </w:r>
      <w:proofErr w:type="spellEnd"/>
      <w:r w:rsidRPr="00762DC3">
        <w:rPr>
          <w:rFonts w:ascii="Arial" w:hAnsi="Arial" w:cs="Arial"/>
          <w:sz w:val="22"/>
          <w:szCs w:val="22"/>
        </w:rPr>
        <w:t xml:space="preserve">, A.M., Downey, C., Hugh, T.M., </w:t>
      </w:r>
      <w:proofErr w:type="spellStart"/>
      <w:r w:rsidRPr="00762DC3">
        <w:rPr>
          <w:rFonts w:ascii="Arial" w:hAnsi="Arial" w:cs="Arial"/>
          <w:sz w:val="22"/>
          <w:szCs w:val="22"/>
        </w:rPr>
        <w:t>Avramovic</w:t>
      </w:r>
      <w:proofErr w:type="spellEnd"/>
      <w:r w:rsidRPr="00762DC3">
        <w:rPr>
          <w:rFonts w:ascii="Arial" w:hAnsi="Arial" w:cs="Arial"/>
          <w:sz w:val="22"/>
          <w:szCs w:val="22"/>
        </w:rPr>
        <w:t xml:space="preserve">, G. and Lambert, J.S., 2021. Integrating partner notification and contact tracing services across Europe: findings from the Integrate project. </w:t>
      </w:r>
      <w:r w:rsidRPr="00762DC3">
        <w:rPr>
          <w:rFonts w:ascii="Arial" w:hAnsi="Arial" w:cs="Arial"/>
          <w:i/>
          <w:iCs/>
          <w:sz w:val="22"/>
          <w:szCs w:val="22"/>
        </w:rPr>
        <w:t>BMC Infectious Diseases</w:t>
      </w:r>
      <w:r w:rsidRPr="00762DC3">
        <w:rPr>
          <w:rFonts w:ascii="Arial" w:hAnsi="Arial" w:cs="Arial"/>
          <w:sz w:val="22"/>
          <w:szCs w:val="22"/>
        </w:rPr>
        <w:t xml:space="preserve">, </w:t>
      </w:r>
      <w:r w:rsidRPr="00762DC3">
        <w:rPr>
          <w:rFonts w:ascii="Arial" w:hAnsi="Arial" w:cs="Arial"/>
          <w:i/>
          <w:iCs/>
          <w:sz w:val="22"/>
          <w:szCs w:val="22"/>
        </w:rPr>
        <w:t>21</w:t>
      </w:r>
      <w:r w:rsidRPr="00762DC3">
        <w:rPr>
          <w:rFonts w:ascii="Arial" w:hAnsi="Arial" w:cs="Arial"/>
          <w:sz w:val="22"/>
          <w:szCs w:val="22"/>
        </w:rPr>
        <w:t>, pp.1-10.</w:t>
      </w:r>
    </w:p>
    <w:p w14:paraId="04567771"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t>Glaziou</w:t>
      </w:r>
      <w:proofErr w:type="spellEnd"/>
      <w:r w:rsidRPr="00762DC3">
        <w:rPr>
          <w:rFonts w:ascii="Arial" w:hAnsi="Arial" w:cs="Arial"/>
          <w:sz w:val="22"/>
          <w:szCs w:val="22"/>
        </w:rPr>
        <w:t xml:space="preserve">, P., Floyd, K. and Raviglione, M.C., 2018, June. Global epidemiology of tuberculosis. In </w:t>
      </w:r>
      <w:r w:rsidRPr="00762DC3">
        <w:rPr>
          <w:rFonts w:ascii="Arial" w:hAnsi="Arial" w:cs="Arial"/>
          <w:i/>
          <w:iCs/>
          <w:sz w:val="22"/>
          <w:szCs w:val="22"/>
        </w:rPr>
        <w:t>Seminars in respiratory and critical care medicine</w:t>
      </w:r>
      <w:r w:rsidRPr="00762DC3">
        <w:rPr>
          <w:rFonts w:ascii="Arial" w:hAnsi="Arial" w:cs="Arial"/>
          <w:sz w:val="22"/>
          <w:szCs w:val="22"/>
        </w:rPr>
        <w:t xml:space="preserve"> (Vol. 39, No. 03, pp. 271-285). </w:t>
      </w:r>
      <w:proofErr w:type="spellStart"/>
      <w:r w:rsidRPr="00762DC3">
        <w:rPr>
          <w:rFonts w:ascii="Arial" w:hAnsi="Arial" w:cs="Arial"/>
          <w:sz w:val="22"/>
          <w:szCs w:val="22"/>
        </w:rPr>
        <w:t>Thieme</w:t>
      </w:r>
      <w:proofErr w:type="spellEnd"/>
      <w:r w:rsidRPr="00762DC3">
        <w:rPr>
          <w:rFonts w:ascii="Arial" w:hAnsi="Arial" w:cs="Arial"/>
          <w:sz w:val="22"/>
          <w:szCs w:val="22"/>
        </w:rPr>
        <w:t xml:space="preserve"> Medical Publishers.</w:t>
      </w:r>
    </w:p>
    <w:p w14:paraId="0430E759"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Hayward, S., Harding, R.M., McShane, H. and Tanner, R., 2018. Factors influencing the higher incidence of tuberculosis among migrants and ethnic minorities in the UK. </w:t>
      </w:r>
      <w:r w:rsidRPr="00762DC3">
        <w:rPr>
          <w:rFonts w:ascii="Arial" w:hAnsi="Arial" w:cs="Arial"/>
          <w:i/>
          <w:iCs/>
          <w:sz w:val="22"/>
          <w:szCs w:val="22"/>
        </w:rPr>
        <w:t>F1000Research</w:t>
      </w:r>
      <w:r w:rsidRPr="00762DC3">
        <w:rPr>
          <w:rFonts w:ascii="Arial" w:hAnsi="Arial" w:cs="Arial"/>
          <w:sz w:val="22"/>
          <w:szCs w:val="22"/>
        </w:rPr>
        <w:t xml:space="preserve">, </w:t>
      </w:r>
      <w:r w:rsidRPr="00762DC3">
        <w:rPr>
          <w:rFonts w:ascii="Arial" w:hAnsi="Arial" w:cs="Arial"/>
          <w:i/>
          <w:iCs/>
          <w:sz w:val="22"/>
          <w:szCs w:val="22"/>
        </w:rPr>
        <w:t>7</w:t>
      </w:r>
      <w:r w:rsidRPr="00762DC3">
        <w:rPr>
          <w:rFonts w:ascii="Arial" w:hAnsi="Arial" w:cs="Arial"/>
          <w:sz w:val="22"/>
          <w:szCs w:val="22"/>
        </w:rPr>
        <w:t>, p.461.</w:t>
      </w:r>
    </w:p>
    <w:p w14:paraId="6327E4C5"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Joint Tuberculosis Committee of the British Thoracic Society, 2000. Control and prevention of tuberculosis in the United Kingdom: code of practice 2000. </w:t>
      </w:r>
      <w:r w:rsidRPr="00762DC3">
        <w:rPr>
          <w:rFonts w:ascii="Arial" w:hAnsi="Arial" w:cs="Arial"/>
          <w:i/>
          <w:iCs/>
          <w:sz w:val="22"/>
          <w:szCs w:val="22"/>
        </w:rPr>
        <w:t>Thorax</w:t>
      </w:r>
      <w:r w:rsidRPr="00762DC3">
        <w:rPr>
          <w:rFonts w:ascii="Arial" w:hAnsi="Arial" w:cs="Arial"/>
          <w:sz w:val="22"/>
          <w:szCs w:val="22"/>
        </w:rPr>
        <w:t xml:space="preserve">, </w:t>
      </w:r>
      <w:r w:rsidRPr="00762DC3">
        <w:rPr>
          <w:rFonts w:ascii="Arial" w:hAnsi="Arial" w:cs="Arial"/>
          <w:i/>
          <w:iCs/>
          <w:sz w:val="22"/>
          <w:szCs w:val="22"/>
        </w:rPr>
        <w:t>55</w:t>
      </w:r>
      <w:r w:rsidRPr="00762DC3">
        <w:rPr>
          <w:rFonts w:ascii="Arial" w:hAnsi="Arial" w:cs="Arial"/>
          <w:sz w:val="22"/>
          <w:szCs w:val="22"/>
        </w:rPr>
        <w:t>(11), pp.887-901.</w:t>
      </w:r>
    </w:p>
    <w:p w14:paraId="0C80568D"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Lan, Y., Li, Y., Chen, L., Zhang, J. and Zhang, H., 2019. Drug resistance profiles and trends in drug-resistant tuberculosis at a major hospital in Guizhou Province of China. </w:t>
      </w:r>
      <w:r w:rsidRPr="00762DC3">
        <w:rPr>
          <w:rFonts w:ascii="Arial" w:hAnsi="Arial" w:cs="Arial"/>
          <w:i/>
          <w:iCs/>
          <w:sz w:val="22"/>
          <w:szCs w:val="22"/>
        </w:rPr>
        <w:t>Infection and drug resistance</w:t>
      </w:r>
      <w:r w:rsidRPr="00762DC3">
        <w:rPr>
          <w:rFonts w:ascii="Arial" w:hAnsi="Arial" w:cs="Arial"/>
          <w:sz w:val="22"/>
          <w:szCs w:val="22"/>
        </w:rPr>
        <w:t>, pp.211-219.</w:t>
      </w:r>
    </w:p>
    <w:p w14:paraId="328511CD"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t>Maltezou</w:t>
      </w:r>
      <w:proofErr w:type="spellEnd"/>
      <w:r w:rsidRPr="00762DC3">
        <w:rPr>
          <w:rFonts w:ascii="Arial" w:hAnsi="Arial" w:cs="Arial"/>
          <w:sz w:val="22"/>
          <w:szCs w:val="22"/>
        </w:rPr>
        <w:t xml:space="preserve">, H.C., Botelho-Nevers, E., </w:t>
      </w:r>
      <w:proofErr w:type="spellStart"/>
      <w:r w:rsidRPr="00762DC3">
        <w:rPr>
          <w:rFonts w:ascii="Arial" w:hAnsi="Arial" w:cs="Arial"/>
          <w:sz w:val="22"/>
          <w:szCs w:val="22"/>
        </w:rPr>
        <w:t>Brantsæter</w:t>
      </w:r>
      <w:proofErr w:type="spellEnd"/>
      <w:r w:rsidRPr="00762DC3">
        <w:rPr>
          <w:rFonts w:ascii="Arial" w:hAnsi="Arial" w:cs="Arial"/>
          <w:sz w:val="22"/>
          <w:szCs w:val="22"/>
        </w:rPr>
        <w:t xml:space="preserve">, A.B., Carlsson, R.M., </w:t>
      </w:r>
      <w:proofErr w:type="spellStart"/>
      <w:r w:rsidRPr="00762DC3">
        <w:rPr>
          <w:rFonts w:ascii="Arial" w:hAnsi="Arial" w:cs="Arial"/>
          <w:sz w:val="22"/>
          <w:szCs w:val="22"/>
        </w:rPr>
        <w:t>Heininger</w:t>
      </w:r>
      <w:proofErr w:type="spellEnd"/>
      <w:r w:rsidRPr="00762DC3">
        <w:rPr>
          <w:rFonts w:ascii="Arial" w:hAnsi="Arial" w:cs="Arial"/>
          <w:sz w:val="22"/>
          <w:szCs w:val="22"/>
        </w:rPr>
        <w:t xml:space="preserve">, U., </w:t>
      </w:r>
      <w:proofErr w:type="spellStart"/>
      <w:r w:rsidRPr="00762DC3">
        <w:rPr>
          <w:rFonts w:ascii="Arial" w:hAnsi="Arial" w:cs="Arial"/>
          <w:sz w:val="22"/>
          <w:szCs w:val="22"/>
        </w:rPr>
        <w:t>Hübschen</w:t>
      </w:r>
      <w:proofErr w:type="spellEnd"/>
      <w:r w:rsidRPr="00762DC3">
        <w:rPr>
          <w:rFonts w:ascii="Arial" w:hAnsi="Arial" w:cs="Arial"/>
          <w:sz w:val="22"/>
          <w:szCs w:val="22"/>
        </w:rPr>
        <w:t xml:space="preserve">, J.M., </w:t>
      </w:r>
      <w:proofErr w:type="spellStart"/>
      <w:r w:rsidRPr="00762DC3">
        <w:rPr>
          <w:rFonts w:ascii="Arial" w:hAnsi="Arial" w:cs="Arial"/>
          <w:sz w:val="22"/>
          <w:szCs w:val="22"/>
        </w:rPr>
        <w:t>Josefsdottir</w:t>
      </w:r>
      <w:proofErr w:type="spellEnd"/>
      <w:r w:rsidRPr="00762DC3">
        <w:rPr>
          <w:rFonts w:ascii="Arial" w:hAnsi="Arial" w:cs="Arial"/>
          <w:sz w:val="22"/>
          <w:szCs w:val="22"/>
        </w:rPr>
        <w:t xml:space="preserve">, K.S., </w:t>
      </w:r>
      <w:proofErr w:type="spellStart"/>
      <w:r w:rsidRPr="00762DC3">
        <w:rPr>
          <w:rFonts w:ascii="Arial" w:hAnsi="Arial" w:cs="Arial"/>
          <w:sz w:val="22"/>
          <w:szCs w:val="22"/>
        </w:rPr>
        <w:t>Kassianos</w:t>
      </w:r>
      <w:proofErr w:type="spellEnd"/>
      <w:r w:rsidRPr="00762DC3">
        <w:rPr>
          <w:rFonts w:ascii="Arial" w:hAnsi="Arial" w:cs="Arial"/>
          <w:sz w:val="22"/>
          <w:szCs w:val="22"/>
        </w:rPr>
        <w:t xml:space="preserve">, G., Kyncl, J., </w:t>
      </w:r>
      <w:proofErr w:type="spellStart"/>
      <w:r w:rsidRPr="00762DC3">
        <w:rPr>
          <w:rFonts w:ascii="Arial" w:hAnsi="Arial" w:cs="Arial"/>
          <w:sz w:val="22"/>
          <w:szCs w:val="22"/>
        </w:rPr>
        <w:t>Ledda</w:t>
      </w:r>
      <w:proofErr w:type="spellEnd"/>
      <w:r w:rsidRPr="00762DC3">
        <w:rPr>
          <w:rFonts w:ascii="Arial" w:hAnsi="Arial" w:cs="Arial"/>
          <w:sz w:val="22"/>
          <w:szCs w:val="22"/>
        </w:rPr>
        <w:t xml:space="preserve">, C. and </w:t>
      </w:r>
      <w:proofErr w:type="spellStart"/>
      <w:r w:rsidRPr="00762DC3">
        <w:rPr>
          <w:rFonts w:ascii="Arial" w:hAnsi="Arial" w:cs="Arial"/>
          <w:sz w:val="22"/>
          <w:szCs w:val="22"/>
        </w:rPr>
        <w:t>Medić</w:t>
      </w:r>
      <w:proofErr w:type="spellEnd"/>
      <w:r w:rsidRPr="00762DC3">
        <w:rPr>
          <w:rFonts w:ascii="Arial" w:hAnsi="Arial" w:cs="Arial"/>
          <w:sz w:val="22"/>
          <w:szCs w:val="22"/>
        </w:rPr>
        <w:t xml:space="preserve">, S., 2019. Vaccination of healthcare personnel in Europe: Update to current policies. </w:t>
      </w:r>
      <w:r w:rsidRPr="00762DC3">
        <w:rPr>
          <w:rFonts w:ascii="Arial" w:hAnsi="Arial" w:cs="Arial"/>
          <w:i/>
          <w:iCs/>
          <w:sz w:val="22"/>
          <w:szCs w:val="22"/>
        </w:rPr>
        <w:t>Vaccine</w:t>
      </w:r>
      <w:r w:rsidRPr="00762DC3">
        <w:rPr>
          <w:rFonts w:ascii="Arial" w:hAnsi="Arial" w:cs="Arial"/>
          <w:sz w:val="22"/>
          <w:szCs w:val="22"/>
        </w:rPr>
        <w:t xml:space="preserve">, </w:t>
      </w:r>
      <w:r w:rsidRPr="00762DC3">
        <w:rPr>
          <w:rFonts w:ascii="Arial" w:hAnsi="Arial" w:cs="Arial"/>
          <w:i/>
          <w:iCs/>
          <w:sz w:val="22"/>
          <w:szCs w:val="22"/>
        </w:rPr>
        <w:t>37</w:t>
      </w:r>
      <w:r w:rsidRPr="00762DC3">
        <w:rPr>
          <w:rFonts w:ascii="Arial" w:hAnsi="Arial" w:cs="Arial"/>
          <w:sz w:val="22"/>
          <w:szCs w:val="22"/>
        </w:rPr>
        <w:t>(52), pp.7576-7584.</w:t>
      </w:r>
    </w:p>
    <w:p w14:paraId="3608B041"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t>Migliori</w:t>
      </w:r>
      <w:proofErr w:type="spellEnd"/>
      <w:r w:rsidRPr="00762DC3">
        <w:rPr>
          <w:rFonts w:ascii="Arial" w:hAnsi="Arial" w:cs="Arial"/>
          <w:sz w:val="22"/>
          <w:szCs w:val="22"/>
        </w:rPr>
        <w:t xml:space="preserve">, G.B., </w:t>
      </w:r>
      <w:proofErr w:type="spellStart"/>
      <w:r w:rsidRPr="00762DC3">
        <w:rPr>
          <w:rFonts w:ascii="Arial" w:hAnsi="Arial" w:cs="Arial"/>
          <w:sz w:val="22"/>
          <w:szCs w:val="22"/>
        </w:rPr>
        <w:t>Tiberi</w:t>
      </w:r>
      <w:proofErr w:type="spellEnd"/>
      <w:r w:rsidRPr="00762DC3">
        <w:rPr>
          <w:rFonts w:ascii="Arial" w:hAnsi="Arial" w:cs="Arial"/>
          <w:sz w:val="22"/>
          <w:szCs w:val="22"/>
        </w:rPr>
        <w:t xml:space="preserve">, S., Zumla, A., Petersen, E., </w:t>
      </w:r>
      <w:proofErr w:type="spellStart"/>
      <w:r w:rsidRPr="00762DC3">
        <w:rPr>
          <w:rFonts w:ascii="Arial" w:hAnsi="Arial" w:cs="Arial"/>
          <w:sz w:val="22"/>
          <w:szCs w:val="22"/>
        </w:rPr>
        <w:t>Chakaya</w:t>
      </w:r>
      <w:proofErr w:type="spellEnd"/>
      <w:r w:rsidRPr="00762DC3">
        <w:rPr>
          <w:rFonts w:ascii="Arial" w:hAnsi="Arial" w:cs="Arial"/>
          <w:sz w:val="22"/>
          <w:szCs w:val="22"/>
        </w:rPr>
        <w:t xml:space="preserve">, J.M., </w:t>
      </w:r>
      <w:proofErr w:type="spellStart"/>
      <w:r w:rsidRPr="00762DC3">
        <w:rPr>
          <w:rFonts w:ascii="Arial" w:hAnsi="Arial" w:cs="Arial"/>
          <w:sz w:val="22"/>
          <w:szCs w:val="22"/>
        </w:rPr>
        <w:t>Wejse</w:t>
      </w:r>
      <w:proofErr w:type="spellEnd"/>
      <w:r w:rsidRPr="00762DC3">
        <w:rPr>
          <w:rFonts w:ascii="Arial" w:hAnsi="Arial" w:cs="Arial"/>
          <w:sz w:val="22"/>
          <w:szCs w:val="22"/>
        </w:rPr>
        <w:t xml:space="preserve">, C., </w:t>
      </w:r>
      <w:proofErr w:type="spellStart"/>
      <w:r w:rsidRPr="00762DC3">
        <w:rPr>
          <w:rFonts w:ascii="Arial" w:hAnsi="Arial" w:cs="Arial"/>
          <w:sz w:val="22"/>
          <w:szCs w:val="22"/>
        </w:rPr>
        <w:t>Torrico</w:t>
      </w:r>
      <w:proofErr w:type="spellEnd"/>
      <w:r w:rsidRPr="00762DC3">
        <w:rPr>
          <w:rFonts w:ascii="Arial" w:hAnsi="Arial" w:cs="Arial"/>
          <w:sz w:val="22"/>
          <w:szCs w:val="22"/>
        </w:rPr>
        <w:t xml:space="preserve">, M.M., Duarte, R., </w:t>
      </w:r>
      <w:proofErr w:type="spellStart"/>
      <w:r w:rsidRPr="00762DC3">
        <w:rPr>
          <w:rFonts w:ascii="Arial" w:hAnsi="Arial" w:cs="Arial"/>
          <w:sz w:val="22"/>
          <w:szCs w:val="22"/>
        </w:rPr>
        <w:t>Alffenaar</w:t>
      </w:r>
      <w:proofErr w:type="spellEnd"/>
      <w:r w:rsidRPr="00762DC3">
        <w:rPr>
          <w:rFonts w:ascii="Arial" w:hAnsi="Arial" w:cs="Arial"/>
          <w:sz w:val="22"/>
          <w:szCs w:val="22"/>
        </w:rPr>
        <w:t xml:space="preserve">, J.W., Schaaf, H.S. and Marais, B.J., 2020. MDR/XDR-TB management of patients and contacts: Challenges facing the new decade. The 2020 clinical update by the Global Tuberculosis Network. </w:t>
      </w:r>
      <w:r w:rsidRPr="00762DC3">
        <w:rPr>
          <w:rFonts w:ascii="Arial" w:hAnsi="Arial" w:cs="Arial"/>
          <w:i/>
          <w:iCs/>
          <w:sz w:val="22"/>
          <w:szCs w:val="22"/>
        </w:rPr>
        <w:t>International Journal of Infectious Diseases</w:t>
      </w:r>
      <w:r w:rsidRPr="00762DC3">
        <w:rPr>
          <w:rFonts w:ascii="Arial" w:hAnsi="Arial" w:cs="Arial"/>
          <w:sz w:val="22"/>
          <w:szCs w:val="22"/>
        </w:rPr>
        <w:t xml:space="preserve">, </w:t>
      </w:r>
      <w:r w:rsidRPr="00762DC3">
        <w:rPr>
          <w:rFonts w:ascii="Arial" w:hAnsi="Arial" w:cs="Arial"/>
          <w:i/>
          <w:iCs/>
          <w:sz w:val="22"/>
          <w:szCs w:val="22"/>
        </w:rPr>
        <w:t>92</w:t>
      </w:r>
      <w:r w:rsidRPr="00762DC3">
        <w:rPr>
          <w:rFonts w:ascii="Arial" w:hAnsi="Arial" w:cs="Arial"/>
          <w:sz w:val="22"/>
          <w:szCs w:val="22"/>
        </w:rPr>
        <w:t xml:space="preserve">, </w:t>
      </w:r>
      <w:proofErr w:type="gramStart"/>
      <w:r w:rsidRPr="00762DC3">
        <w:rPr>
          <w:rFonts w:ascii="Arial" w:hAnsi="Arial" w:cs="Arial"/>
          <w:sz w:val="22"/>
          <w:szCs w:val="22"/>
        </w:rPr>
        <w:t>pp.S</w:t>
      </w:r>
      <w:proofErr w:type="gramEnd"/>
      <w:r w:rsidRPr="00762DC3">
        <w:rPr>
          <w:rFonts w:ascii="Arial" w:hAnsi="Arial" w:cs="Arial"/>
          <w:sz w:val="22"/>
          <w:szCs w:val="22"/>
        </w:rPr>
        <w:t>15-S25.</w:t>
      </w:r>
    </w:p>
    <w:p w14:paraId="065E6BBC"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lastRenderedPageBreak/>
        <w:t>Nafade</w:t>
      </w:r>
      <w:proofErr w:type="spellEnd"/>
      <w:r w:rsidRPr="00762DC3">
        <w:rPr>
          <w:rFonts w:ascii="Arial" w:hAnsi="Arial" w:cs="Arial"/>
          <w:sz w:val="22"/>
          <w:szCs w:val="22"/>
        </w:rPr>
        <w:t xml:space="preserve">, V., Nash, M., Huddart, S., Pande, T., </w:t>
      </w:r>
      <w:proofErr w:type="spellStart"/>
      <w:r w:rsidRPr="00762DC3">
        <w:rPr>
          <w:rFonts w:ascii="Arial" w:hAnsi="Arial" w:cs="Arial"/>
          <w:sz w:val="22"/>
          <w:szCs w:val="22"/>
        </w:rPr>
        <w:t>Gebreselassie</w:t>
      </w:r>
      <w:proofErr w:type="spellEnd"/>
      <w:r w:rsidRPr="00762DC3">
        <w:rPr>
          <w:rFonts w:ascii="Arial" w:hAnsi="Arial" w:cs="Arial"/>
          <w:sz w:val="22"/>
          <w:szCs w:val="22"/>
        </w:rPr>
        <w:t xml:space="preserve">, N., Lienhardt, C. and Pai, M., 2018. A bibliometric analysis of tuberculosis research, 2007–2016. </w:t>
      </w:r>
      <w:proofErr w:type="spellStart"/>
      <w:r w:rsidRPr="00762DC3">
        <w:rPr>
          <w:rFonts w:ascii="Arial" w:hAnsi="Arial" w:cs="Arial"/>
          <w:i/>
          <w:iCs/>
          <w:sz w:val="22"/>
          <w:szCs w:val="22"/>
        </w:rPr>
        <w:t>PloS</w:t>
      </w:r>
      <w:proofErr w:type="spellEnd"/>
      <w:r w:rsidRPr="00762DC3">
        <w:rPr>
          <w:rFonts w:ascii="Arial" w:hAnsi="Arial" w:cs="Arial"/>
          <w:i/>
          <w:iCs/>
          <w:sz w:val="22"/>
          <w:szCs w:val="22"/>
        </w:rPr>
        <w:t xml:space="preserve"> one</w:t>
      </w:r>
      <w:r w:rsidRPr="00762DC3">
        <w:rPr>
          <w:rFonts w:ascii="Arial" w:hAnsi="Arial" w:cs="Arial"/>
          <w:sz w:val="22"/>
          <w:szCs w:val="22"/>
        </w:rPr>
        <w:t xml:space="preserve">, </w:t>
      </w:r>
      <w:r w:rsidRPr="00762DC3">
        <w:rPr>
          <w:rFonts w:ascii="Arial" w:hAnsi="Arial" w:cs="Arial"/>
          <w:i/>
          <w:iCs/>
          <w:sz w:val="22"/>
          <w:szCs w:val="22"/>
        </w:rPr>
        <w:t>13</w:t>
      </w:r>
      <w:r w:rsidRPr="00762DC3">
        <w:rPr>
          <w:rFonts w:ascii="Arial" w:hAnsi="Arial" w:cs="Arial"/>
          <w:sz w:val="22"/>
          <w:szCs w:val="22"/>
        </w:rPr>
        <w:t>(6), p.e0199706.</w:t>
      </w:r>
    </w:p>
    <w:p w14:paraId="6F57AEA9"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Pareek, M., Greenaway, C., Noori, T., Munoz, J. and Zenner, D., 2016. The impact of migration on tuberculosis epidemiology and control in high-income countries: a review. </w:t>
      </w:r>
      <w:r w:rsidRPr="00762DC3">
        <w:rPr>
          <w:rFonts w:ascii="Arial" w:hAnsi="Arial" w:cs="Arial"/>
          <w:i/>
          <w:iCs/>
          <w:sz w:val="22"/>
          <w:szCs w:val="22"/>
        </w:rPr>
        <w:t>BMC medicine</w:t>
      </w:r>
      <w:r w:rsidRPr="00762DC3">
        <w:rPr>
          <w:rFonts w:ascii="Arial" w:hAnsi="Arial" w:cs="Arial"/>
          <w:sz w:val="22"/>
          <w:szCs w:val="22"/>
        </w:rPr>
        <w:t xml:space="preserve">, </w:t>
      </w:r>
      <w:r w:rsidRPr="00762DC3">
        <w:rPr>
          <w:rFonts w:ascii="Arial" w:hAnsi="Arial" w:cs="Arial"/>
          <w:i/>
          <w:iCs/>
          <w:sz w:val="22"/>
          <w:szCs w:val="22"/>
        </w:rPr>
        <w:t>14</w:t>
      </w:r>
      <w:r w:rsidRPr="00762DC3">
        <w:rPr>
          <w:rFonts w:ascii="Arial" w:hAnsi="Arial" w:cs="Arial"/>
          <w:sz w:val="22"/>
          <w:szCs w:val="22"/>
        </w:rPr>
        <w:t>, pp.1-10.</w:t>
      </w:r>
    </w:p>
    <w:p w14:paraId="11D47F69"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Rawson, T.M., Moore, L.S., Castro-Sanchez, E., </w:t>
      </w:r>
      <w:proofErr w:type="spellStart"/>
      <w:r w:rsidRPr="00762DC3">
        <w:rPr>
          <w:rFonts w:ascii="Arial" w:hAnsi="Arial" w:cs="Arial"/>
          <w:sz w:val="22"/>
          <w:szCs w:val="22"/>
        </w:rPr>
        <w:t>Charani</w:t>
      </w:r>
      <w:proofErr w:type="spellEnd"/>
      <w:r w:rsidRPr="00762DC3">
        <w:rPr>
          <w:rFonts w:ascii="Arial" w:hAnsi="Arial" w:cs="Arial"/>
          <w:sz w:val="22"/>
          <w:szCs w:val="22"/>
        </w:rPr>
        <w:t xml:space="preserve">, E., Davies, F., </w:t>
      </w:r>
      <w:proofErr w:type="spellStart"/>
      <w:r w:rsidRPr="00762DC3">
        <w:rPr>
          <w:rFonts w:ascii="Arial" w:hAnsi="Arial" w:cs="Arial"/>
          <w:sz w:val="22"/>
          <w:szCs w:val="22"/>
        </w:rPr>
        <w:t>Satta</w:t>
      </w:r>
      <w:proofErr w:type="spellEnd"/>
      <w:r w:rsidRPr="00762DC3">
        <w:rPr>
          <w:rFonts w:ascii="Arial" w:hAnsi="Arial" w:cs="Arial"/>
          <w:sz w:val="22"/>
          <w:szCs w:val="22"/>
        </w:rPr>
        <w:t xml:space="preserve">, G., Ellington, M.J. and Holmes, A.H., 2020. COVID-19 and the potential long-term impact on antimicrobial resistance. </w:t>
      </w:r>
      <w:r w:rsidRPr="00762DC3">
        <w:rPr>
          <w:rFonts w:ascii="Arial" w:hAnsi="Arial" w:cs="Arial"/>
          <w:i/>
          <w:iCs/>
          <w:sz w:val="22"/>
          <w:szCs w:val="22"/>
        </w:rPr>
        <w:t>Journal of antimicrobial chemotherapy</w:t>
      </w:r>
      <w:r w:rsidRPr="00762DC3">
        <w:rPr>
          <w:rFonts w:ascii="Arial" w:hAnsi="Arial" w:cs="Arial"/>
          <w:sz w:val="22"/>
          <w:szCs w:val="22"/>
        </w:rPr>
        <w:t xml:space="preserve">, </w:t>
      </w:r>
      <w:r w:rsidRPr="00762DC3">
        <w:rPr>
          <w:rFonts w:ascii="Arial" w:hAnsi="Arial" w:cs="Arial"/>
          <w:i/>
          <w:iCs/>
          <w:sz w:val="22"/>
          <w:szCs w:val="22"/>
        </w:rPr>
        <w:t>75</w:t>
      </w:r>
      <w:r w:rsidRPr="00762DC3">
        <w:rPr>
          <w:rFonts w:ascii="Arial" w:hAnsi="Arial" w:cs="Arial"/>
          <w:sz w:val="22"/>
          <w:szCs w:val="22"/>
        </w:rPr>
        <w:t>(7), pp.1681-1684.</w:t>
      </w:r>
    </w:p>
    <w:p w14:paraId="202895EB"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Richardson, R., Jorgensen, E., Arevalo, P., Holden, T.M., </w:t>
      </w:r>
      <w:proofErr w:type="spellStart"/>
      <w:r w:rsidRPr="00762DC3">
        <w:rPr>
          <w:rFonts w:ascii="Arial" w:hAnsi="Arial" w:cs="Arial"/>
          <w:sz w:val="22"/>
          <w:szCs w:val="22"/>
        </w:rPr>
        <w:t>Gostic</w:t>
      </w:r>
      <w:proofErr w:type="spellEnd"/>
      <w:r w:rsidRPr="00762DC3">
        <w:rPr>
          <w:rFonts w:ascii="Arial" w:hAnsi="Arial" w:cs="Arial"/>
          <w:sz w:val="22"/>
          <w:szCs w:val="22"/>
        </w:rPr>
        <w:t xml:space="preserve">, K.M., </w:t>
      </w:r>
      <w:proofErr w:type="spellStart"/>
      <w:r w:rsidRPr="00762DC3">
        <w:rPr>
          <w:rFonts w:ascii="Arial" w:hAnsi="Arial" w:cs="Arial"/>
          <w:sz w:val="22"/>
          <w:szCs w:val="22"/>
        </w:rPr>
        <w:t>Pacilli</w:t>
      </w:r>
      <w:proofErr w:type="spellEnd"/>
      <w:r w:rsidRPr="00762DC3">
        <w:rPr>
          <w:rFonts w:ascii="Arial" w:hAnsi="Arial" w:cs="Arial"/>
          <w:sz w:val="22"/>
          <w:szCs w:val="22"/>
        </w:rPr>
        <w:t xml:space="preserve">, M., </w:t>
      </w:r>
      <w:proofErr w:type="spellStart"/>
      <w:r w:rsidRPr="00762DC3">
        <w:rPr>
          <w:rFonts w:ascii="Arial" w:hAnsi="Arial" w:cs="Arial"/>
          <w:sz w:val="22"/>
          <w:szCs w:val="22"/>
        </w:rPr>
        <w:t>Ghinai</w:t>
      </w:r>
      <w:proofErr w:type="spellEnd"/>
      <w:r w:rsidRPr="00762DC3">
        <w:rPr>
          <w:rFonts w:ascii="Arial" w:hAnsi="Arial" w:cs="Arial"/>
          <w:sz w:val="22"/>
          <w:szCs w:val="22"/>
        </w:rPr>
        <w:t xml:space="preserve">, I., Lightner, S., </w:t>
      </w:r>
      <w:proofErr w:type="spellStart"/>
      <w:r w:rsidRPr="00762DC3">
        <w:rPr>
          <w:rFonts w:ascii="Arial" w:hAnsi="Arial" w:cs="Arial"/>
          <w:sz w:val="22"/>
          <w:szCs w:val="22"/>
        </w:rPr>
        <w:t>Cobey</w:t>
      </w:r>
      <w:proofErr w:type="spellEnd"/>
      <w:r w:rsidRPr="00762DC3">
        <w:rPr>
          <w:rFonts w:ascii="Arial" w:hAnsi="Arial" w:cs="Arial"/>
          <w:sz w:val="22"/>
          <w:szCs w:val="22"/>
        </w:rPr>
        <w:t xml:space="preserve">, S. and </w:t>
      </w:r>
      <w:proofErr w:type="spellStart"/>
      <w:r w:rsidRPr="00762DC3">
        <w:rPr>
          <w:rFonts w:ascii="Arial" w:hAnsi="Arial" w:cs="Arial"/>
          <w:sz w:val="22"/>
          <w:szCs w:val="22"/>
        </w:rPr>
        <w:t>Gerardin</w:t>
      </w:r>
      <w:proofErr w:type="spellEnd"/>
      <w:r w:rsidRPr="00762DC3">
        <w:rPr>
          <w:rFonts w:ascii="Arial" w:hAnsi="Arial" w:cs="Arial"/>
          <w:sz w:val="22"/>
          <w:szCs w:val="22"/>
        </w:rPr>
        <w:t xml:space="preserve">, J., 2022. Tracking changes in SARS-CoV-2 transmission with a novel outpatient sentinel surveillance system in Chicago, USA. </w:t>
      </w:r>
      <w:r w:rsidRPr="00762DC3">
        <w:rPr>
          <w:rFonts w:ascii="Arial" w:hAnsi="Arial" w:cs="Arial"/>
          <w:i/>
          <w:iCs/>
          <w:sz w:val="22"/>
          <w:szCs w:val="22"/>
        </w:rPr>
        <w:t>Nature communications</w:t>
      </w:r>
      <w:r w:rsidRPr="00762DC3">
        <w:rPr>
          <w:rFonts w:ascii="Arial" w:hAnsi="Arial" w:cs="Arial"/>
          <w:sz w:val="22"/>
          <w:szCs w:val="22"/>
        </w:rPr>
        <w:t xml:space="preserve">, </w:t>
      </w:r>
      <w:r w:rsidRPr="00762DC3">
        <w:rPr>
          <w:rFonts w:ascii="Arial" w:hAnsi="Arial" w:cs="Arial"/>
          <w:i/>
          <w:iCs/>
          <w:sz w:val="22"/>
          <w:szCs w:val="22"/>
        </w:rPr>
        <w:t>13</w:t>
      </w:r>
      <w:r w:rsidRPr="00762DC3">
        <w:rPr>
          <w:rFonts w:ascii="Arial" w:hAnsi="Arial" w:cs="Arial"/>
          <w:sz w:val="22"/>
          <w:szCs w:val="22"/>
        </w:rPr>
        <w:t>(1), p.5547.</w:t>
      </w:r>
    </w:p>
    <w:p w14:paraId="500C29BE"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t>Sima</w:t>
      </w:r>
      <w:proofErr w:type="spellEnd"/>
      <w:r w:rsidRPr="00762DC3">
        <w:rPr>
          <w:rFonts w:ascii="Arial" w:hAnsi="Arial" w:cs="Arial"/>
          <w:sz w:val="22"/>
          <w:szCs w:val="22"/>
        </w:rPr>
        <w:t xml:space="preserve">, B.T., </w:t>
      </w:r>
      <w:proofErr w:type="spellStart"/>
      <w:r w:rsidRPr="00762DC3">
        <w:rPr>
          <w:rFonts w:ascii="Arial" w:hAnsi="Arial" w:cs="Arial"/>
          <w:sz w:val="22"/>
          <w:szCs w:val="22"/>
        </w:rPr>
        <w:t>Belachew</w:t>
      </w:r>
      <w:proofErr w:type="spellEnd"/>
      <w:r w:rsidRPr="00762DC3">
        <w:rPr>
          <w:rFonts w:ascii="Arial" w:hAnsi="Arial" w:cs="Arial"/>
          <w:sz w:val="22"/>
          <w:szCs w:val="22"/>
        </w:rPr>
        <w:t xml:space="preserve">, T. and Abebe, F., 2019. Health care providers’ knowledge, attitude and perceived stigma regarding tuberculosis in a pastoralist community in Ethiopia: a cross-sectional study. </w:t>
      </w:r>
      <w:r w:rsidRPr="00762DC3">
        <w:rPr>
          <w:rFonts w:ascii="Arial" w:hAnsi="Arial" w:cs="Arial"/>
          <w:i/>
          <w:iCs/>
          <w:sz w:val="22"/>
          <w:szCs w:val="22"/>
        </w:rPr>
        <w:t>BMC health services research</w:t>
      </w:r>
      <w:r w:rsidRPr="00762DC3">
        <w:rPr>
          <w:rFonts w:ascii="Arial" w:hAnsi="Arial" w:cs="Arial"/>
          <w:sz w:val="22"/>
          <w:szCs w:val="22"/>
        </w:rPr>
        <w:t xml:space="preserve">, </w:t>
      </w:r>
      <w:r w:rsidRPr="00762DC3">
        <w:rPr>
          <w:rFonts w:ascii="Arial" w:hAnsi="Arial" w:cs="Arial"/>
          <w:i/>
          <w:iCs/>
          <w:sz w:val="22"/>
          <w:szCs w:val="22"/>
        </w:rPr>
        <w:t>19</w:t>
      </w:r>
      <w:r w:rsidRPr="00762DC3">
        <w:rPr>
          <w:rFonts w:ascii="Arial" w:hAnsi="Arial" w:cs="Arial"/>
          <w:sz w:val="22"/>
          <w:szCs w:val="22"/>
        </w:rPr>
        <w:t>, pp.1-11.</w:t>
      </w:r>
    </w:p>
    <w:p w14:paraId="7DAA41E6"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Smith, E., Miller, E., Aguayo, J.M., Figueroa, C.F., </w:t>
      </w:r>
      <w:proofErr w:type="spellStart"/>
      <w:r w:rsidRPr="00762DC3">
        <w:rPr>
          <w:rFonts w:ascii="Arial" w:hAnsi="Arial" w:cs="Arial"/>
          <w:sz w:val="22"/>
          <w:szCs w:val="22"/>
        </w:rPr>
        <w:t>Nezworski</w:t>
      </w:r>
      <w:proofErr w:type="spellEnd"/>
      <w:r w:rsidRPr="00762DC3">
        <w:rPr>
          <w:rFonts w:ascii="Arial" w:hAnsi="Arial" w:cs="Arial"/>
          <w:sz w:val="22"/>
          <w:szCs w:val="22"/>
        </w:rPr>
        <w:t xml:space="preserve">, J., </w:t>
      </w:r>
      <w:proofErr w:type="spellStart"/>
      <w:r w:rsidRPr="00762DC3">
        <w:rPr>
          <w:rFonts w:ascii="Arial" w:hAnsi="Arial" w:cs="Arial"/>
          <w:sz w:val="22"/>
          <w:szCs w:val="22"/>
        </w:rPr>
        <w:t>Studniski</w:t>
      </w:r>
      <w:proofErr w:type="spellEnd"/>
      <w:r w:rsidRPr="00762DC3">
        <w:rPr>
          <w:rFonts w:ascii="Arial" w:hAnsi="Arial" w:cs="Arial"/>
          <w:sz w:val="22"/>
          <w:szCs w:val="22"/>
        </w:rPr>
        <w:t xml:space="preserve">, M., </w:t>
      </w:r>
      <w:proofErr w:type="spellStart"/>
      <w:r w:rsidRPr="00762DC3">
        <w:rPr>
          <w:rFonts w:ascii="Arial" w:hAnsi="Arial" w:cs="Arial"/>
          <w:sz w:val="22"/>
          <w:szCs w:val="22"/>
        </w:rPr>
        <w:t>Wileman</w:t>
      </w:r>
      <w:proofErr w:type="spellEnd"/>
      <w:r w:rsidRPr="00762DC3">
        <w:rPr>
          <w:rFonts w:ascii="Arial" w:hAnsi="Arial" w:cs="Arial"/>
          <w:sz w:val="22"/>
          <w:szCs w:val="22"/>
        </w:rPr>
        <w:t xml:space="preserve">, B. and Johnson, T., 2021. Genomic diversity and molecular epidemiology of Pasteurella </w:t>
      </w:r>
      <w:proofErr w:type="spellStart"/>
      <w:r w:rsidRPr="00762DC3">
        <w:rPr>
          <w:rFonts w:ascii="Arial" w:hAnsi="Arial" w:cs="Arial"/>
          <w:sz w:val="22"/>
          <w:szCs w:val="22"/>
        </w:rPr>
        <w:t>multocida</w:t>
      </w:r>
      <w:proofErr w:type="spellEnd"/>
      <w:r w:rsidRPr="00762DC3">
        <w:rPr>
          <w:rFonts w:ascii="Arial" w:hAnsi="Arial" w:cs="Arial"/>
          <w:sz w:val="22"/>
          <w:szCs w:val="22"/>
        </w:rPr>
        <w:t xml:space="preserve">. </w:t>
      </w:r>
      <w:proofErr w:type="spellStart"/>
      <w:r w:rsidRPr="00762DC3">
        <w:rPr>
          <w:rFonts w:ascii="Arial" w:hAnsi="Arial" w:cs="Arial"/>
          <w:i/>
          <w:iCs/>
          <w:sz w:val="22"/>
          <w:szCs w:val="22"/>
        </w:rPr>
        <w:t>PLoS</w:t>
      </w:r>
      <w:proofErr w:type="spellEnd"/>
      <w:r w:rsidRPr="00762DC3">
        <w:rPr>
          <w:rFonts w:ascii="Arial" w:hAnsi="Arial" w:cs="Arial"/>
          <w:i/>
          <w:iCs/>
          <w:sz w:val="22"/>
          <w:szCs w:val="22"/>
        </w:rPr>
        <w:t xml:space="preserve"> One</w:t>
      </w:r>
      <w:r w:rsidRPr="00762DC3">
        <w:rPr>
          <w:rFonts w:ascii="Arial" w:hAnsi="Arial" w:cs="Arial"/>
          <w:sz w:val="22"/>
          <w:szCs w:val="22"/>
        </w:rPr>
        <w:t xml:space="preserve">, </w:t>
      </w:r>
      <w:r w:rsidRPr="00762DC3">
        <w:rPr>
          <w:rFonts w:ascii="Arial" w:hAnsi="Arial" w:cs="Arial"/>
          <w:i/>
          <w:iCs/>
          <w:sz w:val="22"/>
          <w:szCs w:val="22"/>
        </w:rPr>
        <w:t>16</w:t>
      </w:r>
      <w:r w:rsidRPr="00762DC3">
        <w:rPr>
          <w:rFonts w:ascii="Arial" w:hAnsi="Arial" w:cs="Arial"/>
          <w:sz w:val="22"/>
          <w:szCs w:val="22"/>
        </w:rPr>
        <w:t>(4), p.e0249138.</w:t>
      </w:r>
    </w:p>
    <w:p w14:paraId="07AF19A2"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Tan, C., </w:t>
      </w:r>
      <w:proofErr w:type="spellStart"/>
      <w:r w:rsidRPr="00762DC3">
        <w:rPr>
          <w:rFonts w:ascii="Arial" w:hAnsi="Arial" w:cs="Arial"/>
          <w:sz w:val="22"/>
          <w:szCs w:val="22"/>
        </w:rPr>
        <w:t>Kallon</w:t>
      </w:r>
      <w:proofErr w:type="spellEnd"/>
      <w:r w:rsidRPr="00762DC3">
        <w:rPr>
          <w:rFonts w:ascii="Arial" w:hAnsi="Arial" w:cs="Arial"/>
          <w:sz w:val="22"/>
          <w:szCs w:val="22"/>
        </w:rPr>
        <w:t xml:space="preserve">, I.I., Colvin, C.J. and Grant, A.D., 2020. Barriers and facilitators of tuberculosis infection prevention and control in low-and middle-income countries from the perspective of healthcare workers: A systematic review. </w:t>
      </w:r>
      <w:proofErr w:type="spellStart"/>
      <w:r w:rsidRPr="00762DC3">
        <w:rPr>
          <w:rFonts w:ascii="Arial" w:hAnsi="Arial" w:cs="Arial"/>
          <w:i/>
          <w:iCs/>
          <w:sz w:val="22"/>
          <w:szCs w:val="22"/>
        </w:rPr>
        <w:t>PloS</w:t>
      </w:r>
      <w:proofErr w:type="spellEnd"/>
      <w:r w:rsidRPr="00762DC3">
        <w:rPr>
          <w:rFonts w:ascii="Arial" w:hAnsi="Arial" w:cs="Arial"/>
          <w:i/>
          <w:iCs/>
          <w:sz w:val="22"/>
          <w:szCs w:val="22"/>
        </w:rPr>
        <w:t xml:space="preserve"> one</w:t>
      </w:r>
      <w:r w:rsidRPr="00762DC3">
        <w:rPr>
          <w:rFonts w:ascii="Arial" w:hAnsi="Arial" w:cs="Arial"/>
          <w:sz w:val="22"/>
          <w:szCs w:val="22"/>
        </w:rPr>
        <w:t xml:space="preserve">, </w:t>
      </w:r>
      <w:r w:rsidRPr="00762DC3">
        <w:rPr>
          <w:rFonts w:ascii="Arial" w:hAnsi="Arial" w:cs="Arial"/>
          <w:i/>
          <w:iCs/>
          <w:sz w:val="22"/>
          <w:szCs w:val="22"/>
        </w:rPr>
        <w:t>15</w:t>
      </w:r>
      <w:r w:rsidRPr="00762DC3">
        <w:rPr>
          <w:rFonts w:ascii="Arial" w:hAnsi="Arial" w:cs="Arial"/>
          <w:sz w:val="22"/>
          <w:szCs w:val="22"/>
        </w:rPr>
        <w:t>(10), p.e0241039.</w:t>
      </w:r>
    </w:p>
    <w:p w14:paraId="6376FFBE"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t>Tümmler</w:t>
      </w:r>
      <w:proofErr w:type="spellEnd"/>
      <w:r w:rsidRPr="00762DC3">
        <w:rPr>
          <w:rFonts w:ascii="Arial" w:hAnsi="Arial" w:cs="Arial"/>
          <w:sz w:val="22"/>
          <w:szCs w:val="22"/>
        </w:rPr>
        <w:t xml:space="preserve">, B., 2020. Molecular epidemiology in current times. </w:t>
      </w:r>
      <w:r w:rsidRPr="00762DC3">
        <w:rPr>
          <w:rFonts w:ascii="Arial" w:hAnsi="Arial" w:cs="Arial"/>
          <w:i/>
          <w:iCs/>
          <w:sz w:val="22"/>
          <w:szCs w:val="22"/>
        </w:rPr>
        <w:t>Environmental Microbiology</w:t>
      </w:r>
      <w:r w:rsidRPr="00762DC3">
        <w:rPr>
          <w:rFonts w:ascii="Arial" w:hAnsi="Arial" w:cs="Arial"/>
          <w:sz w:val="22"/>
          <w:szCs w:val="22"/>
        </w:rPr>
        <w:t xml:space="preserve">, </w:t>
      </w:r>
      <w:r w:rsidRPr="00762DC3">
        <w:rPr>
          <w:rFonts w:ascii="Arial" w:hAnsi="Arial" w:cs="Arial"/>
          <w:i/>
          <w:iCs/>
          <w:sz w:val="22"/>
          <w:szCs w:val="22"/>
        </w:rPr>
        <w:t>22</w:t>
      </w:r>
      <w:r w:rsidRPr="00762DC3">
        <w:rPr>
          <w:rFonts w:ascii="Arial" w:hAnsi="Arial" w:cs="Arial"/>
          <w:sz w:val="22"/>
          <w:szCs w:val="22"/>
        </w:rPr>
        <w:t>(12), pp.4909-4918.</w:t>
      </w:r>
    </w:p>
    <w:p w14:paraId="673DF616"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Tweed, C. and Nunn, A., 2018. Data in TB have to be both big and good. </w:t>
      </w:r>
      <w:r w:rsidRPr="00762DC3">
        <w:rPr>
          <w:rFonts w:ascii="Arial" w:hAnsi="Arial" w:cs="Arial"/>
          <w:i/>
          <w:iCs/>
          <w:sz w:val="22"/>
          <w:szCs w:val="22"/>
        </w:rPr>
        <w:t>The International Journal of Tuberculosis and Lung Disease</w:t>
      </w:r>
      <w:r w:rsidRPr="00762DC3">
        <w:rPr>
          <w:rFonts w:ascii="Arial" w:hAnsi="Arial" w:cs="Arial"/>
          <w:sz w:val="22"/>
          <w:szCs w:val="22"/>
        </w:rPr>
        <w:t xml:space="preserve">, </w:t>
      </w:r>
      <w:r w:rsidRPr="00762DC3">
        <w:rPr>
          <w:rFonts w:ascii="Arial" w:hAnsi="Arial" w:cs="Arial"/>
          <w:i/>
          <w:iCs/>
          <w:sz w:val="22"/>
          <w:szCs w:val="22"/>
        </w:rPr>
        <w:t>22</w:t>
      </w:r>
      <w:r w:rsidRPr="00762DC3">
        <w:rPr>
          <w:rFonts w:ascii="Arial" w:hAnsi="Arial" w:cs="Arial"/>
          <w:sz w:val="22"/>
          <w:szCs w:val="22"/>
        </w:rPr>
        <w:t>(5), pp.476-476.</w:t>
      </w:r>
    </w:p>
    <w:p w14:paraId="4F169092"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Visca, D., Ong, C.W.M., </w:t>
      </w:r>
      <w:proofErr w:type="spellStart"/>
      <w:r w:rsidRPr="00762DC3">
        <w:rPr>
          <w:rFonts w:ascii="Arial" w:hAnsi="Arial" w:cs="Arial"/>
          <w:sz w:val="22"/>
          <w:szCs w:val="22"/>
        </w:rPr>
        <w:t>Tiberi</w:t>
      </w:r>
      <w:proofErr w:type="spellEnd"/>
      <w:r w:rsidRPr="00762DC3">
        <w:rPr>
          <w:rFonts w:ascii="Arial" w:hAnsi="Arial" w:cs="Arial"/>
          <w:sz w:val="22"/>
          <w:szCs w:val="22"/>
        </w:rPr>
        <w:t xml:space="preserve">, S., </w:t>
      </w:r>
      <w:proofErr w:type="spellStart"/>
      <w:r w:rsidRPr="00762DC3">
        <w:rPr>
          <w:rFonts w:ascii="Arial" w:hAnsi="Arial" w:cs="Arial"/>
          <w:sz w:val="22"/>
          <w:szCs w:val="22"/>
        </w:rPr>
        <w:t>Centis</w:t>
      </w:r>
      <w:proofErr w:type="spellEnd"/>
      <w:r w:rsidRPr="00762DC3">
        <w:rPr>
          <w:rFonts w:ascii="Arial" w:hAnsi="Arial" w:cs="Arial"/>
          <w:sz w:val="22"/>
          <w:szCs w:val="22"/>
        </w:rPr>
        <w:t xml:space="preserve">, R., </w:t>
      </w:r>
      <w:proofErr w:type="spellStart"/>
      <w:r w:rsidRPr="00762DC3">
        <w:rPr>
          <w:rFonts w:ascii="Arial" w:hAnsi="Arial" w:cs="Arial"/>
          <w:sz w:val="22"/>
          <w:szCs w:val="22"/>
        </w:rPr>
        <w:t>D’ambrosio</w:t>
      </w:r>
      <w:proofErr w:type="spellEnd"/>
      <w:r w:rsidRPr="00762DC3">
        <w:rPr>
          <w:rFonts w:ascii="Arial" w:hAnsi="Arial" w:cs="Arial"/>
          <w:sz w:val="22"/>
          <w:szCs w:val="22"/>
        </w:rPr>
        <w:t xml:space="preserve">, L., Chen, B., Mueller, J., Mueller, P., Duarte, R., </w:t>
      </w:r>
      <w:proofErr w:type="spellStart"/>
      <w:r w:rsidRPr="00762DC3">
        <w:rPr>
          <w:rFonts w:ascii="Arial" w:hAnsi="Arial" w:cs="Arial"/>
          <w:sz w:val="22"/>
          <w:szCs w:val="22"/>
        </w:rPr>
        <w:t>Dalcolmo</w:t>
      </w:r>
      <w:proofErr w:type="spellEnd"/>
      <w:r w:rsidRPr="00762DC3">
        <w:rPr>
          <w:rFonts w:ascii="Arial" w:hAnsi="Arial" w:cs="Arial"/>
          <w:sz w:val="22"/>
          <w:szCs w:val="22"/>
        </w:rPr>
        <w:t xml:space="preserve">, M. and </w:t>
      </w:r>
      <w:proofErr w:type="spellStart"/>
      <w:r w:rsidRPr="00762DC3">
        <w:rPr>
          <w:rFonts w:ascii="Arial" w:hAnsi="Arial" w:cs="Arial"/>
          <w:sz w:val="22"/>
          <w:szCs w:val="22"/>
        </w:rPr>
        <w:t>Sotgiu</w:t>
      </w:r>
      <w:proofErr w:type="spellEnd"/>
      <w:r w:rsidRPr="00762DC3">
        <w:rPr>
          <w:rFonts w:ascii="Arial" w:hAnsi="Arial" w:cs="Arial"/>
          <w:sz w:val="22"/>
          <w:szCs w:val="22"/>
        </w:rPr>
        <w:t xml:space="preserve">, G., 2021. Tuberculosis and COVID-19 interaction: a review of biological, clinical and public health effects. </w:t>
      </w:r>
      <w:r w:rsidRPr="00762DC3">
        <w:rPr>
          <w:rFonts w:ascii="Arial" w:hAnsi="Arial" w:cs="Arial"/>
          <w:i/>
          <w:iCs/>
          <w:sz w:val="22"/>
          <w:szCs w:val="22"/>
        </w:rPr>
        <w:t>Pulmonology</w:t>
      </w:r>
      <w:r w:rsidRPr="00762DC3">
        <w:rPr>
          <w:rFonts w:ascii="Arial" w:hAnsi="Arial" w:cs="Arial"/>
          <w:sz w:val="22"/>
          <w:szCs w:val="22"/>
        </w:rPr>
        <w:t xml:space="preserve">, </w:t>
      </w:r>
      <w:r w:rsidRPr="00762DC3">
        <w:rPr>
          <w:rFonts w:ascii="Arial" w:hAnsi="Arial" w:cs="Arial"/>
          <w:i/>
          <w:iCs/>
          <w:sz w:val="22"/>
          <w:szCs w:val="22"/>
        </w:rPr>
        <w:t>27</w:t>
      </w:r>
      <w:r w:rsidRPr="00762DC3">
        <w:rPr>
          <w:rFonts w:ascii="Arial" w:hAnsi="Arial" w:cs="Arial"/>
          <w:sz w:val="22"/>
          <w:szCs w:val="22"/>
        </w:rPr>
        <w:t>(2), pp.151-165.</w:t>
      </w:r>
    </w:p>
    <w:p w14:paraId="2FB4FE11"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Wingo, M.T., Bornstein, S.L., </w:t>
      </w:r>
      <w:proofErr w:type="spellStart"/>
      <w:r w:rsidRPr="00762DC3">
        <w:rPr>
          <w:rFonts w:ascii="Arial" w:hAnsi="Arial" w:cs="Arial"/>
          <w:sz w:val="22"/>
          <w:szCs w:val="22"/>
        </w:rPr>
        <w:t>Szostek</w:t>
      </w:r>
      <w:proofErr w:type="spellEnd"/>
      <w:r w:rsidRPr="00762DC3">
        <w:rPr>
          <w:rFonts w:ascii="Arial" w:hAnsi="Arial" w:cs="Arial"/>
          <w:sz w:val="22"/>
          <w:szCs w:val="22"/>
        </w:rPr>
        <w:t xml:space="preserve">, J.H., </w:t>
      </w:r>
      <w:proofErr w:type="spellStart"/>
      <w:r w:rsidRPr="00762DC3">
        <w:rPr>
          <w:rFonts w:ascii="Arial" w:hAnsi="Arial" w:cs="Arial"/>
          <w:sz w:val="22"/>
          <w:szCs w:val="22"/>
        </w:rPr>
        <w:t>Mauck</w:t>
      </w:r>
      <w:proofErr w:type="spellEnd"/>
      <w:r w:rsidRPr="00762DC3">
        <w:rPr>
          <w:rFonts w:ascii="Arial" w:hAnsi="Arial" w:cs="Arial"/>
          <w:sz w:val="22"/>
          <w:szCs w:val="22"/>
        </w:rPr>
        <w:t xml:space="preserve">, K.F., Post, J.A. and Wieland, M.L., 2020. Update in Outpatient General Internal Medicine: practice-changing evidence published in 2019. </w:t>
      </w:r>
      <w:r w:rsidRPr="00762DC3">
        <w:rPr>
          <w:rFonts w:ascii="Arial" w:hAnsi="Arial" w:cs="Arial"/>
          <w:i/>
          <w:iCs/>
          <w:sz w:val="22"/>
          <w:szCs w:val="22"/>
        </w:rPr>
        <w:t>The American Journal of Medicine</w:t>
      </w:r>
      <w:r w:rsidRPr="00762DC3">
        <w:rPr>
          <w:rFonts w:ascii="Arial" w:hAnsi="Arial" w:cs="Arial"/>
          <w:sz w:val="22"/>
          <w:szCs w:val="22"/>
        </w:rPr>
        <w:t xml:space="preserve">, </w:t>
      </w:r>
      <w:r w:rsidRPr="00762DC3">
        <w:rPr>
          <w:rFonts w:ascii="Arial" w:hAnsi="Arial" w:cs="Arial"/>
          <w:i/>
          <w:iCs/>
          <w:sz w:val="22"/>
          <w:szCs w:val="22"/>
        </w:rPr>
        <w:t>133</w:t>
      </w:r>
      <w:r w:rsidRPr="00762DC3">
        <w:rPr>
          <w:rFonts w:ascii="Arial" w:hAnsi="Arial" w:cs="Arial"/>
          <w:sz w:val="22"/>
          <w:szCs w:val="22"/>
        </w:rPr>
        <w:t>(7), pp.789-794.</w:t>
      </w:r>
    </w:p>
    <w:p w14:paraId="4D83A186"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 xml:space="preserve">World Health Organization, 2018. BCG vaccine: WHO position paper, February 2018–recommendations. </w:t>
      </w:r>
      <w:r w:rsidRPr="00762DC3">
        <w:rPr>
          <w:rFonts w:ascii="Arial" w:hAnsi="Arial" w:cs="Arial"/>
          <w:i/>
          <w:iCs/>
          <w:sz w:val="22"/>
          <w:szCs w:val="22"/>
        </w:rPr>
        <w:t>Vaccine</w:t>
      </w:r>
      <w:r w:rsidRPr="00762DC3">
        <w:rPr>
          <w:rFonts w:ascii="Arial" w:hAnsi="Arial" w:cs="Arial"/>
          <w:sz w:val="22"/>
          <w:szCs w:val="22"/>
        </w:rPr>
        <w:t xml:space="preserve">, </w:t>
      </w:r>
      <w:r w:rsidRPr="00762DC3">
        <w:rPr>
          <w:rFonts w:ascii="Arial" w:hAnsi="Arial" w:cs="Arial"/>
          <w:i/>
          <w:iCs/>
          <w:sz w:val="22"/>
          <w:szCs w:val="22"/>
        </w:rPr>
        <w:t>36</w:t>
      </w:r>
      <w:r w:rsidRPr="00762DC3">
        <w:rPr>
          <w:rFonts w:ascii="Arial" w:hAnsi="Arial" w:cs="Arial"/>
          <w:sz w:val="22"/>
          <w:szCs w:val="22"/>
        </w:rPr>
        <w:t>(24), pp.3408-3410.</w:t>
      </w:r>
    </w:p>
    <w:p w14:paraId="4DD8793B"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lastRenderedPageBreak/>
        <w:t>World Health Organization, 2021. Global antimicrobial resistance and use surveillance system (GLASS) report: 2021.</w:t>
      </w:r>
    </w:p>
    <w:p w14:paraId="04AFA753" w14:textId="77777777" w:rsidR="00573DB4" w:rsidRPr="00762DC3" w:rsidRDefault="00573DB4" w:rsidP="00573DB4">
      <w:pPr>
        <w:spacing w:line="360" w:lineRule="auto"/>
        <w:ind w:left="810" w:hanging="810"/>
        <w:jc w:val="both"/>
        <w:rPr>
          <w:rFonts w:ascii="Arial" w:hAnsi="Arial" w:cs="Arial"/>
          <w:sz w:val="22"/>
          <w:szCs w:val="22"/>
        </w:rPr>
      </w:pPr>
      <w:r w:rsidRPr="00762DC3">
        <w:rPr>
          <w:rFonts w:ascii="Arial" w:hAnsi="Arial" w:cs="Arial"/>
          <w:sz w:val="22"/>
          <w:szCs w:val="22"/>
        </w:rPr>
        <w:t>World Health Organization, 2021. WHO operational handbook on tuberculosis: module 3: diagnosis: rapid diagnostics for tuberculosis detection.</w:t>
      </w:r>
    </w:p>
    <w:p w14:paraId="61B2DB4A" w14:textId="77777777" w:rsidR="00573DB4" w:rsidRPr="00762DC3" w:rsidRDefault="00573DB4" w:rsidP="00573DB4">
      <w:pPr>
        <w:spacing w:line="360" w:lineRule="auto"/>
        <w:ind w:left="810" w:hanging="810"/>
        <w:jc w:val="both"/>
        <w:rPr>
          <w:rFonts w:ascii="Arial" w:hAnsi="Arial" w:cs="Arial"/>
          <w:sz w:val="22"/>
          <w:szCs w:val="22"/>
        </w:rPr>
      </w:pPr>
      <w:proofErr w:type="spellStart"/>
      <w:r w:rsidRPr="00762DC3">
        <w:rPr>
          <w:rFonts w:ascii="Arial" w:hAnsi="Arial" w:cs="Arial"/>
          <w:sz w:val="22"/>
          <w:szCs w:val="22"/>
        </w:rPr>
        <w:t>Zürcher</w:t>
      </w:r>
      <w:proofErr w:type="spellEnd"/>
      <w:r w:rsidRPr="00762DC3">
        <w:rPr>
          <w:rFonts w:ascii="Arial" w:hAnsi="Arial" w:cs="Arial"/>
          <w:sz w:val="22"/>
          <w:szCs w:val="22"/>
        </w:rPr>
        <w:t xml:space="preserve">, K., </w:t>
      </w:r>
      <w:proofErr w:type="spellStart"/>
      <w:r w:rsidRPr="00762DC3">
        <w:rPr>
          <w:rFonts w:ascii="Arial" w:hAnsi="Arial" w:cs="Arial"/>
          <w:sz w:val="22"/>
          <w:szCs w:val="22"/>
        </w:rPr>
        <w:t>Ballif</w:t>
      </w:r>
      <w:proofErr w:type="spellEnd"/>
      <w:r w:rsidRPr="00762DC3">
        <w:rPr>
          <w:rFonts w:ascii="Arial" w:hAnsi="Arial" w:cs="Arial"/>
          <w:sz w:val="22"/>
          <w:szCs w:val="22"/>
        </w:rPr>
        <w:t xml:space="preserve">, M., </w:t>
      </w:r>
      <w:proofErr w:type="spellStart"/>
      <w:r w:rsidRPr="00762DC3">
        <w:rPr>
          <w:rFonts w:ascii="Arial" w:hAnsi="Arial" w:cs="Arial"/>
          <w:sz w:val="22"/>
          <w:szCs w:val="22"/>
        </w:rPr>
        <w:t>Fenner</w:t>
      </w:r>
      <w:proofErr w:type="spellEnd"/>
      <w:r w:rsidRPr="00762DC3">
        <w:rPr>
          <w:rFonts w:ascii="Arial" w:hAnsi="Arial" w:cs="Arial"/>
          <w:sz w:val="22"/>
          <w:szCs w:val="22"/>
        </w:rPr>
        <w:t xml:space="preserve">, L., Borrell, S., Keller, P.M., </w:t>
      </w:r>
      <w:proofErr w:type="spellStart"/>
      <w:r w:rsidRPr="00762DC3">
        <w:rPr>
          <w:rFonts w:ascii="Arial" w:hAnsi="Arial" w:cs="Arial"/>
          <w:sz w:val="22"/>
          <w:szCs w:val="22"/>
        </w:rPr>
        <w:t>Gnokoro</w:t>
      </w:r>
      <w:proofErr w:type="spellEnd"/>
      <w:r w:rsidRPr="00762DC3">
        <w:rPr>
          <w:rFonts w:ascii="Arial" w:hAnsi="Arial" w:cs="Arial"/>
          <w:sz w:val="22"/>
          <w:szCs w:val="22"/>
        </w:rPr>
        <w:t xml:space="preserve">, J., Marcy, O., </w:t>
      </w:r>
      <w:proofErr w:type="spellStart"/>
      <w:r w:rsidRPr="00762DC3">
        <w:rPr>
          <w:rFonts w:ascii="Arial" w:hAnsi="Arial" w:cs="Arial"/>
          <w:sz w:val="22"/>
          <w:szCs w:val="22"/>
        </w:rPr>
        <w:t>Yotebieng</w:t>
      </w:r>
      <w:proofErr w:type="spellEnd"/>
      <w:r w:rsidRPr="00762DC3">
        <w:rPr>
          <w:rFonts w:ascii="Arial" w:hAnsi="Arial" w:cs="Arial"/>
          <w:sz w:val="22"/>
          <w:szCs w:val="22"/>
        </w:rPr>
        <w:t xml:space="preserve">, M., </w:t>
      </w:r>
      <w:proofErr w:type="spellStart"/>
      <w:r w:rsidRPr="00762DC3">
        <w:rPr>
          <w:rFonts w:ascii="Arial" w:hAnsi="Arial" w:cs="Arial"/>
          <w:sz w:val="22"/>
          <w:szCs w:val="22"/>
        </w:rPr>
        <w:t>Diero</w:t>
      </w:r>
      <w:proofErr w:type="spellEnd"/>
      <w:r w:rsidRPr="00762DC3">
        <w:rPr>
          <w:rFonts w:ascii="Arial" w:hAnsi="Arial" w:cs="Arial"/>
          <w:sz w:val="22"/>
          <w:szCs w:val="22"/>
        </w:rPr>
        <w:t xml:space="preserve">, L., Carter, E.J. and Rockwood, N., 2019. Drug susceptibility testing and mortality in patients treated for tuberculosis in high-burden countries: a </w:t>
      </w:r>
      <w:proofErr w:type="spellStart"/>
      <w:r w:rsidRPr="00762DC3">
        <w:rPr>
          <w:rFonts w:ascii="Arial" w:hAnsi="Arial" w:cs="Arial"/>
          <w:sz w:val="22"/>
          <w:szCs w:val="22"/>
        </w:rPr>
        <w:t>multicentre</w:t>
      </w:r>
      <w:proofErr w:type="spellEnd"/>
      <w:r w:rsidRPr="00762DC3">
        <w:rPr>
          <w:rFonts w:ascii="Arial" w:hAnsi="Arial" w:cs="Arial"/>
          <w:sz w:val="22"/>
          <w:szCs w:val="22"/>
        </w:rPr>
        <w:t xml:space="preserve"> cohort study. </w:t>
      </w:r>
      <w:r w:rsidRPr="00762DC3">
        <w:rPr>
          <w:rFonts w:ascii="Arial" w:hAnsi="Arial" w:cs="Arial"/>
          <w:i/>
          <w:iCs/>
          <w:sz w:val="22"/>
          <w:szCs w:val="22"/>
        </w:rPr>
        <w:t>The Lancet Infectious Diseases</w:t>
      </w:r>
      <w:r w:rsidRPr="00762DC3">
        <w:rPr>
          <w:rFonts w:ascii="Arial" w:hAnsi="Arial" w:cs="Arial"/>
          <w:sz w:val="22"/>
          <w:szCs w:val="22"/>
        </w:rPr>
        <w:t xml:space="preserve">, </w:t>
      </w:r>
      <w:r w:rsidRPr="00762DC3">
        <w:rPr>
          <w:rFonts w:ascii="Arial" w:hAnsi="Arial" w:cs="Arial"/>
          <w:i/>
          <w:iCs/>
          <w:sz w:val="22"/>
          <w:szCs w:val="22"/>
        </w:rPr>
        <w:t>19</w:t>
      </w:r>
      <w:r w:rsidRPr="00762DC3">
        <w:rPr>
          <w:rFonts w:ascii="Arial" w:hAnsi="Arial" w:cs="Arial"/>
          <w:sz w:val="22"/>
          <w:szCs w:val="22"/>
        </w:rPr>
        <w:t>(3), pp.298-307.</w:t>
      </w:r>
    </w:p>
    <w:sectPr w:rsidR="00573DB4" w:rsidRPr="00762DC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094294" w14:textId="77777777" w:rsidR="008C65D5" w:rsidRDefault="008C65D5" w:rsidP="003F2FF6">
      <w:r>
        <w:separator/>
      </w:r>
    </w:p>
  </w:endnote>
  <w:endnote w:type="continuationSeparator" w:id="0">
    <w:p w14:paraId="04713C54" w14:textId="77777777" w:rsidR="008C65D5" w:rsidRDefault="008C65D5" w:rsidP="003F2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047F72" w14:textId="77777777" w:rsidR="008C65D5" w:rsidRDefault="008C65D5" w:rsidP="003F2FF6">
      <w:r>
        <w:separator/>
      </w:r>
    </w:p>
  </w:footnote>
  <w:footnote w:type="continuationSeparator" w:id="0">
    <w:p w14:paraId="6098184E" w14:textId="77777777" w:rsidR="008C65D5" w:rsidRDefault="008C65D5" w:rsidP="003F2FF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24D7D"/>
    <w:multiLevelType w:val="multilevel"/>
    <w:tmpl w:val="92322094"/>
    <w:lvl w:ilvl="0">
      <w:start w:val="1"/>
      <w:numFmt w:val="decimal"/>
      <w:lvlText w:val="%1.0"/>
      <w:lvlJc w:val="left"/>
      <w:pPr>
        <w:ind w:left="360" w:hanging="360"/>
      </w:pPr>
      <w:rPr>
        <w:rFonts w:hint="default"/>
        <w:b/>
        <w:bCs/>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ED828F3"/>
    <w:multiLevelType w:val="multilevel"/>
    <w:tmpl w:val="51CA3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099647A"/>
    <w:multiLevelType w:val="multilevel"/>
    <w:tmpl w:val="E1F29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4F22AF"/>
    <w:multiLevelType w:val="multilevel"/>
    <w:tmpl w:val="BB6E159A"/>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44FE0ADF"/>
    <w:multiLevelType w:val="multilevel"/>
    <w:tmpl w:val="6F50B74A"/>
    <w:lvl w:ilvl="0">
      <w:start w:val="5"/>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45976467"/>
    <w:multiLevelType w:val="multilevel"/>
    <w:tmpl w:val="1D941922"/>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4A073DB0"/>
    <w:multiLevelType w:val="multilevel"/>
    <w:tmpl w:val="825ECD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59649786">
    <w:abstractNumId w:val="4"/>
  </w:num>
  <w:num w:numId="2" w16cid:durableId="1271888408">
    <w:abstractNumId w:val="5"/>
  </w:num>
  <w:num w:numId="3" w16cid:durableId="2047441558">
    <w:abstractNumId w:val="3"/>
  </w:num>
  <w:num w:numId="4" w16cid:durableId="1407458666">
    <w:abstractNumId w:val="1"/>
  </w:num>
  <w:num w:numId="5" w16cid:durableId="530916880">
    <w:abstractNumId w:val="6"/>
  </w:num>
  <w:num w:numId="6" w16cid:durableId="38675934">
    <w:abstractNumId w:val="2"/>
  </w:num>
  <w:num w:numId="7" w16cid:durableId="202273200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492"/>
    <w:rsid w:val="00025CED"/>
    <w:rsid w:val="000E0E68"/>
    <w:rsid w:val="00152E3F"/>
    <w:rsid w:val="00182B8A"/>
    <w:rsid w:val="003668AF"/>
    <w:rsid w:val="003B4F00"/>
    <w:rsid w:val="003C1C3B"/>
    <w:rsid w:val="003F2FF6"/>
    <w:rsid w:val="003F3650"/>
    <w:rsid w:val="004067C9"/>
    <w:rsid w:val="00487702"/>
    <w:rsid w:val="004F68B9"/>
    <w:rsid w:val="00573DB4"/>
    <w:rsid w:val="00591492"/>
    <w:rsid w:val="005973A1"/>
    <w:rsid w:val="005A737A"/>
    <w:rsid w:val="006E4B11"/>
    <w:rsid w:val="00712CFC"/>
    <w:rsid w:val="00762DC3"/>
    <w:rsid w:val="00795C05"/>
    <w:rsid w:val="00843856"/>
    <w:rsid w:val="008479F1"/>
    <w:rsid w:val="008C65D5"/>
    <w:rsid w:val="008E140E"/>
    <w:rsid w:val="009E6596"/>
    <w:rsid w:val="00A02D3F"/>
    <w:rsid w:val="00A32484"/>
    <w:rsid w:val="00A445E8"/>
    <w:rsid w:val="00A732ED"/>
    <w:rsid w:val="00AB1F47"/>
    <w:rsid w:val="00B045D8"/>
    <w:rsid w:val="00BD607F"/>
    <w:rsid w:val="00C57485"/>
    <w:rsid w:val="00DE1B3C"/>
    <w:rsid w:val="00EA72B8"/>
    <w:rsid w:val="00EC72A8"/>
    <w:rsid w:val="00EE17FD"/>
    <w:rsid w:val="00FB2E89"/>
    <w:rsid w:val="00FE57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E5B1F2"/>
  <w15:chartTrackingRefBased/>
  <w15:docId w15:val="{AB260C46-008E-4346-8893-1F31F71A4B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702"/>
    <w:pPr>
      <w:spacing w:after="0" w:line="240" w:lineRule="auto"/>
    </w:pPr>
    <w:rPr>
      <w:rFonts w:ascii="Times New Roman" w:eastAsia="Times New Roman" w:hAnsi="Times New Roman" w:cs="Times New Roman"/>
      <w:kern w:val="0"/>
      <w:sz w:val="24"/>
      <w:szCs w:val="24"/>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2FF6"/>
    <w:pPr>
      <w:ind w:left="720"/>
      <w:contextualSpacing/>
    </w:pPr>
  </w:style>
  <w:style w:type="paragraph" w:styleId="Header">
    <w:name w:val="header"/>
    <w:basedOn w:val="Normal"/>
    <w:link w:val="HeaderChar"/>
    <w:uiPriority w:val="99"/>
    <w:unhideWhenUsed/>
    <w:rsid w:val="003F2FF6"/>
    <w:pPr>
      <w:tabs>
        <w:tab w:val="center" w:pos="4680"/>
        <w:tab w:val="right" w:pos="9360"/>
      </w:tabs>
    </w:pPr>
  </w:style>
  <w:style w:type="character" w:customStyle="1" w:styleId="HeaderChar">
    <w:name w:val="Header Char"/>
    <w:basedOn w:val="DefaultParagraphFont"/>
    <w:link w:val="Header"/>
    <w:uiPriority w:val="99"/>
    <w:rsid w:val="003F2FF6"/>
    <w:rPr>
      <w:rFonts w:ascii="Times New Roman" w:eastAsia="Times New Roman" w:hAnsi="Times New Roman" w:cs="Times New Roman"/>
      <w:kern w:val="0"/>
      <w:sz w:val="24"/>
      <w:szCs w:val="24"/>
      <w14:ligatures w14:val="none"/>
    </w:rPr>
  </w:style>
  <w:style w:type="paragraph" w:styleId="Footer">
    <w:name w:val="footer"/>
    <w:basedOn w:val="Normal"/>
    <w:link w:val="FooterChar"/>
    <w:uiPriority w:val="99"/>
    <w:unhideWhenUsed/>
    <w:rsid w:val="003F2FF6"/>
    <w:pPr>
      <w:tabs>
        <w:tab w:val="center" w:pos="4680"/>
        <w:tab w:val="right" w:pos="9360"/>
      </w:tabs>
    </w:pPr>
  </w:style>
  <w:style w:type="character" w:customStyle="1" w:styleId="FooterChar">
    <w:name w:val="Footer Char"/>
    <w:basedOn w:val="DefaultParagraphFont"/>
    <w:link w:val="Footer"/>
    <w:uiPriority w:val="99"/>
    <w:rsid w:val="003F2FF6"/>
    <w:rPr>
      <w:rFonts w:ascii="Times New Roman" w:eastAsia="Times New Roman" w:hAnsi="Times New Roman" w:cs="Times New Roman"/>
      <w:kern w:val="0"/>
      <w:sz w:val="24"/>
      <w:szCs w:val="24"/>
      <w14:ligatures w14:val="none"/>
    </w:rPr>
  </w:style>
  <w:style w:type="paragraph" w:styleId="NormalWeb">
    <w:name w:val="Normal (Web)"/>
    <w:basedOn w:val="Normal"/>
    <w:uiPriority w:val="99"/>
    <w:semiHidden/>
    <w:unhideWhenUsed/>
    <w:rsid w:val="00A32484"/>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072168">
      <w:bodyDiv w:val="1"/>
      <w:marLeft w:val="0"/>
      <w:marRight w:val="0"/>
      <w:marTop w:val="0"/>
      <w:marBottom w:val="0"/>
      <w:divBdr>
        <w:top w:val="none" w:sz="0" w:space="0" w:color="auto"/>
        <w:left w:val="none" w:sz="0" w:space="0" w:color="auto"/>
        <w:bottom w:val="none" w:sz="0" w:space="0" w:color="auto"/>
        <w:right w:val="none" w:sz="0" w:space="0" w:color="auto"/>
      </w:divBdr>
    </w:div>
    <w:div w:id="80687530">
      <w:bodyDiv w:val="1"/>
      <w:marLeft w:val="0"/>
      <w:marRight w:val="0"/>
      <w:marTop w:val="0"/>
      <w:marBottom w:val="0"/>
      <w:divBdr>
        <w:top w:val="none" w:sz="0" w:space="0" w:color="auto"/>
        <w:left w:val="none" w:sz="0" w:space="0" w:color="auto"/>
        <w:bottom w:val="none" w:sz="0" w:space="0" w:color="auto"/>
        <w:right w:val="none" w:sz="0" w:space="0" w:color="auto"/>
      </w:divBdr>
      <w:divsChild>
        <w:div w:id="1185170573">
          <w:marLeft w:val="0"/>
          <w:marRight w:val="0"/>
          <w:marTop w:val="0"/>
          <w:marBottom w:val="0"/>
          <w:divBdr>
            <w:top w:val="none" w:sz="0" w:space="0" w:color="auto"/>
            <w:left w:val="none" w:sz="0" w:space="0" w:color="auto"/>
            <w:bottom w:val="none" w:sz="0" w:space="0" w:color="auto"/>
            <w:right w:val="none" w:sz="0" w:space="0" w:color="auto"/>
          </w:divBdr>
        </w:div>
      </w:divsChild>
    </w:div>
    <w:div w:id="115292354">
      <w:bodyDiv w:val="1"/>
      <w:marLeft w:val="0"/>
      <w:marRight w:val="0"/>
      <w:marTop w:val="0"/>
      <w:marBottom w:val="0"/>
      <w:divBdr>
        <w:top w:val="none" w:sz="0" w:space="0" w:color="auto"/>
        <w:left w:val="none" w:sz="0" w:space="0" w:color="auto"/>
        <w:bottom w:val="none" w:sz="0" w:space="0" w:color="auto"/>
        <w:right w:val="none" w:sz="0" w:space="0" w:color="auto"/>
      </w:divBdr>
      <w:divsChild>
        <w:div w:id="1058625542">
          <w:marLeft w:val="0"/>
          <w:marRight w:val="0"/>
          <w:marTop w:val="0"/>
          <w:marBottom w:val="0"/>
          <w:divBdr>
            <w:top w:val="none" w:sz="0" w:space="0" w:color="auto"/>
            <w:left w:val="none" w:sz="0" w:space="0" w:color="auto"/>
            <w:bottom w:val="none" w:sz="0" w:space="0" w:color="auto"/>
            <w:right w:val="none" w:sz="0" w:space="0" w:color="auto"/>
          </w:divBdr>
        </w:div>
      </w:divsChild>
    </w:div>
    <w:div w:id="276179886">
      <w:bodyDiv w:val="1"/>
      <w:marLeft w:val="0"/>
      <w:marRight w:val="0"/>
      <w:marTop w:val="0"/>
      <w:marBottom w:val="0"/>
      <w:divBdr>
        <w:top w:val="none" w:sz="0" w:space="0" w:color="auto"/>
        <w:left w:val="none" w:sz="0" w:space="0" w:color="auto"/>
        <w:bottom w:val="none" w:sz="0" w:space="0" w:color="auto"/>
        <w:right w:val="none" w:sz="0" w:space="0" w:color="auto"/>
      </w:divBdr>
      <w:divsChild>
        <w:div w:id="1449088093">
          <w:marLeft w:val="0"/>
          <w:marRight w:val="0"/>
          <w:marTop w:val="0"/>
          <w:marBottom w:val="0"/>
          <w:divBdr>
            <w:top w:val="none" w:sz="0" w:space="0" w:color="auto"/>
            <w:left w:val="none" w:sz="0" w:space="0" w:color="auto"/>
            <w:bottom w:val="none" w:sz="0" w:space="0" w:color="auto"/>
            <w:right w:val="none" w:sz="0" w:space="0" w:color="auto"/>
          </w:divBdr>
        </w:div>
      </w:divsChild>
    </w:div>
    <w:div w:id="289867673">
      <w:bodyDiv w:val="1"/>
      <w:marLeft w:val="0"/>
      <w:marRight w:val="0"/>
      <w:marTop w:val="0"/>
      <w:marBottom w:val="0"/>
      <w:divBdr>
        <w:top w:val="none" w:sz="0" w:space="0" w:color="auto"/>
        <w:left w:val="none" w:sz="0" w:space="0" w:color="auto"/>
        <w:bottom w:val="none" w:sz="0" w:space="0" w:color="auto"/>
        <w:right w:val="none" w:sz="0" w:space="0" w:color="auto"/>
      </w:divBdr>
      <w:divsChild>
        <w:div w:id="864094916">
          <w:marLeft w:val="0"/>
          <w:marRight w:val="0"/>
          <w:marTop w:val="0"/>
          <w:marBottom w:val="0"/>
          <w:divBdr>
            <w:top w:val="none" w:sz="0" w:space="0" w:color="auto"/>
            <w:left w:val="none" w:sz="0" w:space="0" w:color="auto"/>
            <w:bottom w:val="none" w:sz="0" w:space="0" w:color="auto"/>
            <w:right w:val="none" w:sz="0" w:space="0" w:color="auto"/>
          </w:divBdr>
        </w:div>
      </w:divsChild>
    </w:div>
    <w:div w:id="377511188">
      <w:bodyDiv w:val="1"/>
      <w:marLeft w:val="0"/>
      <w:marRight w:val="0"/>
      <w:marTop w:val="0"/>
      <w:marBottom w:val="0"/>
      <w:divBdr>
        <w:top w:val="none" w:sz="0" w:space="0" w:color="auto"/>
        <w:left w:val="none" w:sz="0" w:space="0" w:color="auto"/>
        <w:bottom w:val="none" w:sz="0" w:space="0" w:color="auto"/>
        <w:right w:val="none" w:sz="0" w:space="0" w:color="auto"/>
      </w:divBdr>
      <w:divsChild>
        <w:div w:id="844511887">
          <w:marLeft w:val="0"/>
          <w:marRight w:val="0"/>
          <w:marTop w:val="0"/>
          <w:marBottom w:val="0"/>
          <w:divBdr>
            <w:top w:val="none" w:sz="0" w:space="0" w:color="auto"/>
            <w:left w:val="none" w:sz="0" w:space="0" w:color="auto"/>
            <w:bottom w:val="none" w:sz="0" w:space="0" w:color="auto"/>
            <w:right w:val="none" w:sz="0" w:space="0" w:color="auto"/>
          </w:divBdr>
        </w:div>
      </w:divsChild>
    </w:div>
    <w:div w:id="415253582">
      <w:bodyDiv w:val="1"/>
      <w:marLeft w:val="0"/>
      <w:marRight w:val="0"/>
      <w:marTop w:val="0"/>
      <w:marBottom w:val="0"/>
      <w:divBdr>
        <w:top w:val="none" w:sz="0" w:space="0" w:color="auto"/>
        <w:left w:val="none" w:sz="0" w:space="0" w:color="auto"/>
        <w:bottom w:val="none" w:sz="0" w:space="0" w:color="auto"/>
        <w:right w:val="none" w:sz="0" w:space="0" w:color="auto"/>
      </w:divBdr>
      <w:divsChild>
        <w:div w:id="1206483206">
          <w:marLeft w:val="0"/>
          <w:marRight w:val="0"/>
          <w:marTop w:val="0"/>
          <w:marBottom w:val="0"/>
          <w:divBdr>
            <w:top w:val="none" w:sz="0" w:space="0" w:color="auto"/>
            <w:left w:val="none" w:sz="0" w:space="0" w:color="auto"/>
            <w:bottom w:val="none" w:sz="0" w:space="0" w:color="auto"/>
            <w:right w:val="none" w:sz="0" w:space="0" w:color="auto"/>
          </w:divBdr>
        </w:div>
      </w:divsChild>
    </w:div>
    <w:div w:id="415399464">
      <w:bodyDiv w:val="1"/>
      <w:marLeft w:val="0"/>
      <w:marRight w:val="0"/>
      <w:marTop w:val="0"/>
      <w:marBottom w:val="0"/>
      <w:divBdr>
        <w:top w:val="none" w:sz="0" w:space="0" w:color="auto"/>
        <w:left w:val="none" w:sz="0" w:space="0" w:color="auto"/>
        <w:bottom w:val="none" w:sz="0" w:space="0" w:color="auto"/>
        <w:right w:val="none" w:sz="0" w:space="0" w:color="auto"/>
      </w:divBdr>
      <w:divsChild>
        <w:div w:id="1767262234">
          <w:marLeft w:val="0"/>
          <w:marRight w:val="0"/>
          <w:marTop w:val="0"/>
          <w:marBottom w:val="0"/>
          <w:divBdr>
            <w:top w:val="none" w:sz="0" w:space="0" w:color="auto"/>
            <w:left w:val="none" w:sz="0" w:space="0" w:color="auto"/>
            <w:bottom w:val="none" w:sz="0" w:space="0" w:color="auto"/>
            <w:right w:val="none" w:sz="0" w:space="0" w:color="auto"/>
          </w:divBdr>
        </w:div>
      </w:divsChild>
    </w:div>
    <w:div w:id="436563244">
      <w:bodyDiv w:val="1"/>
      <w:marLeft w:val="0"/>
      <w:marRight w:val="0"/>
      <w:marTop w:val="0"/>
      <w:marBottom w:val="0"/>
      <w:divBdr>
        <w:top w:val="none" w:sz="0" w:space="0" w:color="auto"/>
        <w:left w:val="none" w:sz="0" w:space="0" w:color="auto"/>
        <w:bottom w:val="none" w:sz="0" w:space="0" w:color="auto"/>
        <w:right w:val="none" w:sz="0" w:space="0" w:color="auto"/>
      </w:divBdr>
      <w:divsChild>
        <w:div w:id="803888986">
          <w:marLeft w:val="0"/>
          <w:marRight w:val="0"/>
          <w:marTop w:val="0"/>
          <w:marBottom w:val="0"/>
          <w:divBdr>
            <w:top w:val="none" w:sz="0" w:space="0" w:color="auto"/>
            <w:left w:val="none" w:sz="0" w:space="0" w:color="auto"/>
            <w:bottom w:val="none" w:sz="0" w:space="0" w:color="auto"/>
            <w:right w:val="none" w:sz="0" w:space="0" w:color="auto"/>
          </w:divBdr>
        </w:div>
      </w:divsChild>
    </w:div>
    <w:div w:id="493451540">
      <w:bodyDiv w:val="1"/>
      <w:marLeft w:val="0"/>
      <w:marRight w:val="0"/>
      <w:marTop w:val="0"/>
      <w:marBottom w:val="0"/>
      <w:divBdr>
        <w:top w:val="none" w:sz="0" w:space="0" w:color="auto"/>
        <w:left w:val="none" w:sz="0" w:space="0" w:color="auto"/>
        <w:bottom w:val="none" w:sz="0" w:space="0" w:color="auto"/>
        <w:right w:val="none" w:sz="0" w:space="0" w:color="auto"/>
      </w:divBdr>
      <w:divsChild>
        <w:div w:id="1041595698">
          <w:marLeft w:val="0"/>
          <w:marRight w:val="0"/>
          <w:marTop w:val="0"/>
          <w:marBottom w:val="0"/>
          <w:divBdr>
            <w:top w:val="none" w:sz="0" w:space="0" w:color="auto"/>
            <w:left w:val="none" w:sz="0" w:space="0" w:color="auto"/>
            <w:bottom w:val="none" w:sz="0" w:space="0" w:color="auto"/>
            <w:right w:val="none" w:sz="0" w:space="0" w:color="auto"/>
          </w:divBdr>
          <w:divsChild>
            <w:div w:id="1440566866">
              <w:marLeft w:val="0"/>
              <w:marRight w:val="0"/>
              <w:marTop w:val="0"/>
              <w:marBottom w:val="0"/>
              <w:divBdr>
                <w:top w:val="none" w:sz="0" w:space="0" w:color="auto"/>
                <w:left w:val="none" w:sz="0" w:space="0" w:color="auto"/>
                <w:bottom w:val="none" w:sz="0" w:space="0" w:color="auto"/>
                <w:right w:val="none" w:sz="0" w:space="0" w:color="auto"/>
              </w:divBdr>
              <w:divsChild>
                <w:div w:id="67668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7055387">
      <w:bodyDiv w:val="1"/>
      <w:marLeft w:val="0"/>
      <w:marRight w:val="0"/>
      <w:marTop w:val="0"/>
      <w:marBottom w:val="0"/>
      <w:divBdr>
        <w:top w:val="none" w:sz="0" w:space="0" w:color="auto"/>
        <w:left w:val="none" w:sz="0" w:space="0" w:color="auto"/>
        <w:bottom w:val="none" w:sz="0" w:space="0" w:color="auto"/>
        <w:right w:val="none" w:sz="0" w:space="0" w:color="auto"/>
      </w:divBdr>
      <w:divsChild>
        <w:div w:id="1777410298">
          <w:marLeft w:val="0"/>
          <w:marRight w:val="0"/>
          <w:marTop w:val="0"/>
          <w:marBottom w:val="0"/>
          <w:divBdr>
            <w:top w:val="none" w:sz="0" w:space="0" w:color="auto"/>
            <w:left w:val="none" w:sz="0" w:space="0" w:color="auto"/>
            <w:bottom w:val="none" w:sz="0" w:space="0" w:color="auto"/>
            <w:right w:val="none" w:sz="0" w:space="0" w:color="auto"/>
          </w:divBdr>
        </w:div>
      </w:divsChild>
    </w:div>
    <w:div w:id="635793097">
      <w:bodyDiv w:val="1"/>
      <w:marLeft w:val="0"/>
      <w:marRight w:val="0"/>
      <w:marTop w:val="0"/>
      <w:marBottom w:val="0"/>
      <w:divBdr>
        <w:top w:val="none" w:sz="0" w:space="0" w:color="auto"/>
        <w:left w:val="none" w:sz="0" w:space="0" w:color="auto"/>
        <w:bottom w:val="none" w:sz="0" w:space="0" w:color="auto"/>
        <w:right w:val="none" w:sz="0" w:space="0" w:color="auto"/>
      </w:divBdr>
      <w:divsChild>
        <w:div w:id="1367632387">
          <w:marLeft w:val="0"/>
          <w:marRight w:val="0"/>
          <w:marTop w:val="0"/>
          <w:marBottom w:val="0"/>
          <w:divBdr>
            <w:top w:val="none" w:sz="0" w:space="0" w:color="auto"/>
            <w:left w:val="none" w:sz="0" w:space="0" w:color="auto"/>
            <w:bottom w:val="none" w:sz="0" w:space="0" w:color="auto"/>
            <w:right w:val="none" w:sz="0" w:space="0" w:color="auto"/>
          </w:divBdr>
        </w:div>
      </w:divsChild>
    </w:div>
    <w:div w:id="652107351">
      <w:bodyDiv w:val="1"/>
      <w:marLeft w:val="0"/>
      <w:marRight w:val="0"/>
      <w:marTop w:val="0"/>
      <w:marBottom w:val="0"/>
      <w:divBdr>
        <w:top w:val="none" w:sz="0" w:space="0" w:color="auto"/>
        <w:left w:val="none" w:sz="0" w:space="0" w:color="auto"/>
        <w:bottom w:val="none" w:sz="0" w:space="0" w:color="auto"/>
        <w:right w:val="none" w:sz="0" w:space="0" w:color="auto"/>
      </w:divBdr>
      <w:divsChild>
        <w:div w:id="136143463">
          <w:marLeft w:val="0"/>
          <w:marRight w:val="0"/>
          <w:marTop w:val="0"/>
          <w:marBottom w:val="0"/>
          <w:divBdr>
            <w:top w:val="none" w:sz="0" w:space="0" w:color="auto"/>
            <w:left w:val="none" w:sz="0" w:space="0" w:color="auto"/>
            <w:bottom w:val="none" w:sz="0" w:space="0" w:color="auto"/>
            <w:right w:val="none" w:sz="0" w:space="0" w:color="auto"/>
          </w:divBdr>
        </w:div>
      </w:divsChild>
    </w:div>
    <w:div w:id="720176749">
      <w:bodyDiv w:val="1"/>
      <w:marLeft w:val="0"/>
      <w:marRight w:val="0"/>
      <w:marTop w:val="0"/>
      <w:marBottom w:val="0"/>
      <w:divBdr>
        <w:top w:val="none" w:sz="0" w:space="0" w:color="auto"/>
        <w:left w:val="none" w:sz="0" w:space="0" w:color="auto"/>
        <w:bottom w:val="none" w:sz="0" w:space="0" w:color="auto"/>
        <w:right w:val="none" w:sz="0" w:space="0" w:color="auto"/>
      </w:divBdr>
      <w:divsChild>
        <w:div w:id="2068067880">
          <w:marLeft w:val="0"/>
          <w:marRight w:val="0"/>
          <w:marTop w:val="0"/>
          <w:marBottom w:val="0"/>
          <w:divBdr>
            <w:top w:val="none" w:sz="0" w:space="0" w:color="auto"/>
            <w:left w:val="none" w:sz="0" w:space="0" w:color="auto"/>
            <w:bottom w:val="none" w:sz="0" w:space="0" w:color="auto"/>
            <w:right w:val="none" w:sz="0" w:space="0" w:color="auto"/>
          </w:divBdr>
        </w:div>
      </w:divsChild>
    </w:div>
    <w:div w:id="770661542">
      <w:bodyDiv w:val="1"/>
      <w:marLeft w:val="0"/>
      <w:marRight w:val="0"/>
      <w:marTop w:val="0"/>
      <w:marBottom w:val="0"/>
      <w:divBdr>
        <w:top w:val="none" w:sz="0" w:space="0" w:color="auto"/>
        <w:left w:val="none" w:sz="0" w:space="0" w:color="auto"/>
        <w:bottom w:val="none" w:sz="0" w:space="0" w:color="auto"/>
        <w:right w:val="none" w:sz="0" w:space="0" w:color="auto"/>
      </w:divBdr>
      <w:divsChild>
        <w:div w:id="1771197791">
          <w:marLeft w:val="0"/>
          <w:marRight w:val="0"/>
          <w:marTop w:val="0"/>
          <w:marBottom w:val="0"/>
          <w:divBdr>
            <w:top w:val="none" w:sz="0" w:space="0" w:color="auto"/>
            <w:left w:val="none" w:sz="0" w:space="0" w:color="auto"/>
            <w:bottom w:val="none" w:sz="0" w:space="0" w:color="auto"/>
            <w:right w:val="none" w:sz="0" w:space="0" w:color="auto"/>
          </w:divBdr>
        </w:div>
      </w:divsChild>
    </w:div>
    <w:div w:id="823280387">
      <w:bodyDiv w:val="1"/>
      <w:marLeft w:val="0"/>
      <w:marRight w:val="0"/>
      <w:marTop w:val="0"/>
      <w:marBottom w:val="0"/>
      <w:divBdr>
        <w:top w:val="none" w:sz="0" w:space="0" w:color="auto"/>
        <w:left w:val="none" w:sz="0" w:space="0" w:color="auto"/>
        <w:bottom w:val="none" w:sz="0" w:space="0" w:color="auto"/>
        <w:right w:val="none" w:sz="0" w:space="0" w:color="auto"/>
      </w:divBdr>
      <w:divsChild>
        <w:div w:id="1707099442">
          <w:marLeft w:val="0"/>
          <w:marRight w:val="0"/>
          <w:marTop w:val="0"/>
          <w:marBottom w:val="0"/>
          <w:divBdr>
            <w:top w:val="none" w:sz="0" w:space="0" w:color="auto"/>
            <w:left w:val="none" w:sz="0" w:space="0" w:color="auto"/>
            <w:bottom w:val="none" w:sz="0" w:space="0" w:color="auto"/>
            <w:right w:val="none" w:sz="0" w:space="0" w:color="auto"/>
          </w:divBdr>
        </w:div>
      </w:divsChild>
    </w:div>
    <w:div w:id="968164390">
      <w:bodyDiv w:val="1"/>
      <w:marLeft w:val="0"/>
      <w:marRight w:val="0"/>
      <w:marTop w:val="0"/>
      <w:marBottom w:val="0"/>
      <w:divBdr>
        <w:top w:val="none" w:sz="0" w:space="0" w:color="auto"/>
        <w:left w:val="none" w:sz="0" w:space="0" w:color="auto"/>
        <w:bottom w:val="none" w:sz="0" w:space="0" w:color="auto"/>
        <w:right w:val="none" w:sz="0" w:space="0" w:color="auto"/>
      </w:divBdr>
      <w:divsChild>
        <w:div w:id="1007440813">
          <w:marLeft w:val="0"/>
          <w:marRight w:val="0"/>
          <w:marTop w:val="0"/>
          <w:marBottom w:val="0"/>
          <w:divBdr>
            <w:top w:val="none" w:sz="0" w:space="0" w:color="auto"/>
            <w:left w:val="none" w:sz="0" w:space="0" w:color="auto"/>
            <w:bottom w:val="none" w:sz="0" w:space="0" w:color="auto"/>
            <w:right w:val="none" w:sz="0" w:space="0" w:color="auto"/>
          </w:divBdr>
        </w:div>
      </w:divsChild>
    </w:div>
    <w:div w:id="980038886">
      <w:bodyDiv w:val="1"/>
      <w:marLeft w:val="0"/>
      <w:marRight w:val="0"/>
      <w:marTop w:val="0"/>
      <w:marBottom w:val="0"/>
      <w:divBdr>
        <w:top w:val="none" w:sz="0" w:space="0" w:color="auto"/>
        <w:left w:val="none" w:sz="0" w:space="0" w:color="auto"/>
        <w:bottom w:val="none" w:sz="0" w:space="0" w:color="auto"/>
        <w:right w:val="none" w:sz="0" w:space="0" w:color="auto"/>
      </w:divBdr>
      <w:divsChild>
        <w:div w:id="1329946582">
          <w:marLeft w:val="0"/>
          <w:marRight w:val="0"/>
          <w:marTop w:val="0"/>
          <w:marBottom w:val="0"/>
          <w:divBdr>
            <w:top w:val="none" w:sz="0" w:space="0" w:color="auto"/>
            <w:left w:val="none" w:sz="0" w:space="0" w:color="auto"/>
            <w:bottom w:val="none" w:sz="0" w:space="0" w:color="auto"/>
            <w:right w:val="none" w:sz="0" w:space="0" w:color="auto"/>
          </w:divBdr>
        </w:div>
      </w:divsChild>
    </w:div>
    <w:div w:id="1139568014">
      <w:bodyDiv w:val="1"/>
      <w:marLeft w:val="0"/>
      <w:marRight w:val="0"/>
      <w:marTop w:val="0"/>
      <w:marBottom w:val="0"/>
      <w:divBdr>
        <w:top w:val="none" w:sz="0" w:space="0" w:color="auto"/>
        <w:left w:val="none" w:sz="0" w:space="0" w:color="auto"/>
        <w:bottom w:val="none" w:sz="0" w:space="0" w:color="auto"/>
        <w:right w:val="none" w:sz="0" w:space="0" w:color="auto"/>
      </w:divBdr>
      <w:divsChild>
        <w:div w:id="582689206">
          <w:marLeft w:val="0"/>
          <w:marRight w:val="0"/>
          <w:marTop w:val="0"/>
          <w:marBottom w:val="0"/>
          <w:divBdr>
            <w:top w:val="none" w:sz="0" w:space="0" w:color="auto"/>
            <w:left w:val="none" w:sz="0" w:space="0" w:color="auto"/>
            <w:bottom w:val="none" w:sz="0" w:space="0" w:color="auto"/>
            <w:right w:val="none" w:sz="0" w:space="0" w:color="auto"/>
          </w:divBdr>
        </w:div>
      </w:divsChild>
    </w:div>
    <w:div w:id="1207910686">
      <w:bodyDiv w:val="1"/>
      <w:marLeft w:val="0"/>
      <w:marRight w:val="0"/>
      <w:marTop w:val="0"/>
      <w:marBottom w:val="0"/>
      <w:divBdr>
        <w:top w:val="none" w:sz="0" w:space="0" w:color="auto"/>
        <w:left w:val="none" w:sz="0" w:space="0" w:color="auto"/>
        <w:bottom w:val="none" w:sz="0" w:space="0" w:color="auto"/>
        <w:right w:val="none" w:sz="0" w:space="0" w:color="auto"/>
      </w:divBdr>
    </w:div>
    <w:div w:id="1298947689">
      <w:bodyDiv w:val="1"/>
      <w:marLeft w:val="0"/>
      <w:marRight w:val="0"/>
      <w:marTop w:val="0"/>
      <w:marBottom w:val="0"/>
      <w:divBdr>
        <w:top w:val="none" w:sz="0" w:space="0" w:color="auto"/>
        <w:left w:val="none" w:sz="0" w:space="0" w:color="auto"/>
        <w:bottom w:val="none" w:sz="0" w:space="0" w:color="auto"/>
        <w:right w:val="none" w:sz="0" w:space="0" w:color="auto"/>
      </w:divBdr>
      <w:divsChild>
        <w:div w:id="447823028">
          <w:marLeft w:val="0"/>
          <w:marRight w:val="0"/>
          <w:marTop w:val="0"/>
          <w:marBottom w:val="0"/>
          <w:divBdr>
            <w:top w:val="none" w:sz="0" w:space="0" w:color="auto"/>
            <w:left w:val="none" w:sz="0" w:space="0" w:color="auto"/>
            <w:bottom w:val="none" w:sz="0" w:space="0" w:color="auto"/>
            <w:right w:val="none" w:sz="0" w:space="0" w:color="auto"/>
          </w:divBdr>
          <w:divsChild>
            <w:div w:id="1544634630">
              <w:marLeft w:val="0"/>
              <w:marRight w:val="0"/>
              <w:marTop w:val="0"/>
              <w:marBottom w:val="0"/>
              <w:divBdr>
                <w:top w:val="none" w:sz="0" w:space="0" w:color="auto"/>
                <w:left w:val="none" w:sz="0" w:space="0" w:color="auto"/>
                <w:bottom w:val="none" w:sz="0" w:space="0" w:color="auto"/>
                <w:right w:val="none" w:sz="0" w:space="0" w:color="auto"/>
              </w:divBdr>
              <w:divsChild>
                <w:div w:id="1627083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9174112">
      <w:bodyDiv w:val="1"/>
      <w:marLeft w:val="0"/>
      <w:marRight w:val="0"/>
      <w:marTop w:val="0"/>
      <w:marBottom w:val="0"/>
      <w:divBdr>
        <w:top w:val="none" w:sz="0" w:space="0" w:color="auto"/>
        <w:left w:val="none" w:sz="0" w:space="0" w:color="auto"/>
        <w:bottom w:val="none" w:sz="0" w:space="0" w:color="auto"/>
        <w:right w:val="none" w:sz="0" w:space="0" w:color="auto"/>
      </w:divBdr>
      <w:divsChild>
        <w:div w:id="1808164670">
          <w:marLeft w:val="0"/>
          <w:marRight w:val="0"/>
          <w:marTop w:val="0"/>
          <w:marBottom w:val="0"/>
          <w:divBdr>
            <w:top w:val="none" w:sz="0" w:space="0" w:color="auto"/>
            <w:left w:val="none" w:sz="0" w:space="0" w:color="auto"/>
            <w:bottom w:val="none" w:sz="0" w:space="0" w:color="auto"/>
            <w:right w:val="none" w:sz="0" w:space="0" w:color="auto"/>
          </w:divBdr>
        </w:div>
      </w:divsChild>
    </w:div>
    <w:div w:id="1533347377">
      <w:bodyDiv w:val="1"/>
      <w:marLeft w:val="0"/>
      <w:marRight w:val="0"/>
      <w:marTop w:val="0"/>
      <w:marBottom w:val="0"/>
      <w:divBdr>
        <w:top w:val="none" w:sz="0" w:space="0" w:color="auto"/>
        <w:left w:val="none" w:sz="0" w:space="0" w:color="auto"/>
        <w:bottom w:val="none" w:sz="0" w:space="0" w:color="auto"/>
        <w:right w:val="none" w:sz="0" w:space="0" w:color="auto"/>
      </w:divBdr>
      <w:divsChild>
        <w:div w:id="306008078">
          <w:marLeft w:val="0"/>
          <w:marRight w:val="0"/>
          <w:marTop w:val="0"/>
          <w:marBottom w:val="0"/>
          <w:divBdr>
            <w:top w:val="none" w:sz="0" w:space="0" w:color="auto"/>
            <w:left w:val="none" w:sz="0" w:space="0" w:color="auto"/>
            <w:bottom w:val="none" w:sz="0" w:space="0" w:color="auto"/>
            <w:right w:val="none" w:sz="0" w:space="0" w:color="auto"/>
          </w:divBdr>
        </w:div>
      </w:divsChild>
    </w:div>
    <w:div w:id="1663703053">
      <w:bodyDiv w:val="1"/>
      <w:marLeft w:val="0"/>
      <w:marRight w:val="0"/>
      <w:marTop w:val="0"/>
      <w:marBottom w:val="0"/>
      <w:divBdr>
        <w:top w:val="none" w:sz="0" w:space="0" w:color="auto"/>
        <w:left w:val="none" w:sz="0" w:space="0" w:color="auto"/>
        <w:bottom w:val="none" w:sz="0" w:space="0" w:color="auto"/>
        <w:right w:val="none" w:sz="0" w:space="0" w:color="auto"/>
      </w:divBdr>
      <w:divsChild>
        <w:div w:id="1883011093">
          <w:marLeft w:val="0"/>
          <w:marRight w:val="0"/>
          <w:marTop w:val="0"/>
          <w:marBottom w:val="0"/>
          <w:divBdr>
            <w:top w:val="none" w:sz="0" w:space="0" w:color="auto"/>
            <w:left w:val="none" w:sz="0" w:space="0" w:color="auto"/>
            <w:bottom w:val="none" w:sz="0" w:space="0" w:color="auto"/>
            <w:right w:val="none" w:sz="0" w:space="0" w:color="auto"/>
          </w:divBdr>
        </w:div>
      </w:divsChild>
    </w:div>
    <w:div w:id="1721199374">
      <w:bodyDiv w:val="1"/>
      <w:marLeft w:val="0"/>
      <w:marRight w:val="0"/>
      <w:marTop w:val="0"/>
      <w:marBottom w:val="0"/>
      <w:divBdr>
        <w:top w:val="none" w:sz="0" w:space="0" w:color="auto"/>
        <w:left w:val="none" w:sz="0" w:space="0" w:color="auto"/>
        <w:bottom w:val="none" w:sz="0" w:space="0" w:color="auto"/>
        <w:right w:val="none" w:sz="0" w:space="0" w:color="auto"/>
      </w:divBdr>
      <w:divsChild>
        <w:div w:id="67726870">
          <w:marLeft w:val="0"/>
          <w:marRight w:val="0"/>
          <w:marTop w:val="0"/>
          <w:marBottom w:val="0"/>
          <w:divBdr>
            <w:top w:val="none" w:sz="0" w:space="0" w:color="auto"/>
            <w:left w:val="none" w:sz="0" w:space="0" w:color="auto"/>
            <w:bottom w:val="none" w:sz="0" w:space="0" w:color="auto"/>
            <w:right w:val="none" w:sz="0" w:space="0" w:color="auto"/>
          </w:divBdr>
        </w:div>
      </w:divsChild>
    </w:div>
    <w:div w:id="1947033517">
      <w:bodyDiv w:val="1"/>
      <w:marLeft w:val="0"/>
      <w:marRight w:val="0"/>
      <w:marTop w:val="0"/>
      <w:marBottom w:val="0"/>
      <w:divBdr>
        <w:top w:val="none" w:sz="0" w:space="0" w:color="auto"/>
        <w:left w:val="none" w:sz="0" w:space="0" w:color="auto"/>
        <w:bottom w:val="none" w:sz="0" w:space="0" w:color="auto"/>
        <w:right w:val="none" w:sz="0" w:space="0" w:color="auto"/>
      </w:divBdr>
      <w:divsChild>
        <w:div w:id="466238154">
          <w:marLeft w:val="0"/>
          <w:marRight w:val="0"/>
          <w:marTop w:val="0"/>
          <w:marBottom w:val="0"/>
          <w:divBdr>
            <w:top w:val="none" w:sz="0" w:space="0" w:color="auto"/>
            <w:left w:val="none" w:sz="0" w:space="0" w:color="auto"/>
            <w:bottom w:val="none" w:sz="0" w:space="0" w:color="auto"/>
            <w:right w:val="none" w:sz="0" w:space="0" w:color="auto"/>
          </w:divBdr>
        </w:div>
      </w:divsChild>
    </w:div>
    <w:div w:id="2021346648">
      <w:bodyDiv w:val="1"/>
      <w:marLeft w:val="0"/>
      <w:marRight w:val="0"/>
      <w:marTop w:val="0"/>
      <w:marBottom w:val="0"/>
      <w:divBdr>
        <w:top w:val="none" w:sz="0" w:space="0" w:color="auto"/>
        <w:left w:val="none" w:sz="0" w:space="0" w:color="auto"/>
        <w:bottom w:val="none" w:sz="0" w:space="0" w:color="auto"/>
        <w:right w:val="none" w:sz="0" w:space="0" w:color="auto"/>
      </w:divBdr>
      <w:divsChild>
        <w:div w:id="1788886530">
          <w:marLeft w:val="0"/>
          <w:marRight w:val="0"/>
          <w:marTop w:val="0"/>
          <w:marBottom w:val="0"/>
          <w:divBdr>
            <w:top w:val="none" w:sz="0" w:space="0" w:color="auto"/>
            <w:left w:val="none" w:sz="0" w:space="0" w:color="auto"/>
            <w:bottom w:val="none" w:sz="0" w:space="0" w:color="auto"/>
            <w:right w:val="none" w:sz="0" w:space="0" w:color="auto"/>
          </w:divBdr>
        </w:div>
      </w:divsChild>
    </w:div>
    <w:div w:id="2025356203">
      <w:bodyDiv w:val="1"/>
      <w:marLeft w:val="0"/>
      <w:marRight w:val="0"/>
      <w:marTop w:val="0"/>
      <w:marBottom w:val="0"/>
      <w:divBdr>
        <w:top w:val="none" w:sz="0" w:space="0" w:color="auto"/>
        <w:left w:val="none" w:sz="0" w:space="0" w:color="auto"/>
        <w:bottom w:val="none" w:sz="0" w:space="0" w:color="auto"/>
        <w:right w:val="none" w:sz="0" w:space="0" w:color="auto"/>
      </w:divBdr>
      <w:divsChild>
        <w:div w:id="31052233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186</TotalTime>
  <Pages>8</Pages>
  <Words>1974</Words>
  <Characters>11257</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Temitope Awopetu</dc:creator>
  <cp:keywords/>
  <dc:description/>
  <cp:lastModifiedBy>Temitope Awopetu</cp:lastModifiedBy>
  <cp:revision>16</cp:revision>
  <dcterms:created xsi:type="dcterms:W3CDTF">2023-04-18T12:39:00Z</dcterms:created>
  <dcterms:modified xsi:type="dcterms:W3CDTF">2023-04-20T10:17:00Z</dcterms:modified>
</cp:coreProperties>
</file>