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D986564">
      <w:pPr>
        <w:bidi w:val="0"/>
      </w:pPr>
    </w:p>
    <w:p w14:paraId="6B8C18BB">
      <w:pPr>
        <w:bidi w:val="0"/>
      </w:pPr>
    </w:p>
    <w:p w14:paraId="69FCFD65">
      <w:pPr>
        <w:bidi w:val="0"/>
      </w:pPr>
    </w:p>
    <w:p w14:paraId="702E4CEE">
      <w:pPr>
        <w:bidi w:val="0"/>
      </w:pPr>
    </w:p>
    <w:p w14:paraId="51D85B44">
      <w:pPr>
        <w:bidi w:val="0"/>
        <w:spacing w:line="360" w:lineRule="auto"/>
        <w:jc w:val="center"/>
        <w:rPr>
          <w:rFonts w:hint="default" w:ascii="Times New Roman" w:hAnsi="Times New Roman" w:cs="Times New Roman"/>
          <w:b/>
          <w:bCs/>
          <w:sz w:val="24"/>
          <w:szCs w:val="24"/>
        </w:rPr>
      </w:pPr>
    </w:p>
    <w:p w14:paraId="3594DDE0">
      <w:pPr>
        <w:bidi w:val="0"/>
        <w:spacing w:line="360" w:lineRule="auto"/>
        <w:jc w:val="center"/>
        <w:rPr>
          <w:rFonts w:hint="default" w:ascii="Times New Roman" w:hAnsi="Times New Roman" w:cs="Times New Roman"/>
          <w:b/>
          <w:bCs/>
          <w:sz w:val="24"/>
          <w:szCs w:val="24"/>
          <w:lang w:eastAsia="zh-CN"/>
        </w:rPr>
      </w:pPr>
      <w:r>
        <w:rPr>
          <w:rFonts w:hint="default" w:ascii="Times New Roman" w:hAnsi="Times New Roman" w:cs="Times New Roman"/>
          <w:b/>
          <w:bCs/>
          <w:sz w:val="24"/>
          <w:szCs w:val="24"/>
        </w:rPr>
        <w:t xml:space="preserve">From Lake Lerna to the Real World: The New Life of </w:t>
      </w:r>
      <w:r>
        <w:rPr>
          <w:rFonts w:hint="default" w:ascii="Times New Roman" w:hAnsi="Times New Roman" w:cs="Times New Roman"/>
          <w:b/>
          <w:bCs/>
          <w:sz w:val="24"/>
          <w:szCs w:val="24"/>
          <w:lang w:eastAsia="zh-CN"/>
        </w:rPr>
        <w:t>Hydra</w:t>
      </w:r>
    </w:p>
    <w:p w14:paraId="25BC145F">
      <w:pPr>
        <w:bidi w:val="0"/>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Zhongyi Cong</w:t>
      </w:r>
    </w:p>
    <w:p w14:paraId="285C6AF5">
      <w:pPr>
        <w:bidi w:val="0"/>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2121979</w:t>
      </w:r>
    </w:p>
    <w:p w14:paraId="56CB5725">
      <w:pPr>
        <w:bidi w:val="0"/>
        <w:spacing w:line="360" w:lineRule="auto"/>
        <w:jc w:val="center"/>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t>2025.5.1</w:t>
      </w:r>
      <w:bookmarkStart w:id="15" w:name="_GoBack"/>
      <w:bookmarkEnd w:id="15"/>
    </w:p>
    <w:sdt>
      <w:sdtPr>
        <w:rPr>
          <w:rFonts w:ascii="宋体" w:hAnsi="宋体" w:eastAsia="宋体" w:cstheme="minorBidi"/>
          <w:kern w:val="2"/>
          <w:sz w:val="21"/>
          <w:szCs w:val="24"/>
          <w:lang w:val="en-US" w:eastAsia="zh-CN" w:bidi="ar-SA"/>
        </w:rPr>
        <w:id w:val="147465055"/>
        <w15:color w:val="DBDBDB"/>
        <w:docPartObj>
          <w:docPartGallery w:val="Table of Contents"/>
          <w:docPartUnique/>
        </w:docPartObj>
      </w:sdtPr>
      <w:sdtEndPr>
        <w:rPr>
          <w:rFonts w:ascii="宋体" w:hAnsi="宋体" w:eastAsia="宋体" w:cstheme="minorBidi"/>
          <w:kern w:val="2"/>
          <w:sz w:val="21"/>
          <w:szCs w:val="24"/>
          <w:lang w:val="en-US" w:eastAsia="zh-CN" w:bidi="ar-SA"/>
        </w:rPr>
      </w:sdtEndPr>
      <w:sdtContent>
        <w:p w14:paraId="4F3A3A7E">
          <w:pPr>
            <w:spacing w:before="0" w:beforeLines="0" w:after="0" w:afterLines="0" w:line="36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Contents</w:t>
          </w:r>
        </w:p>
        <w:p w14:paraId="5E7FF0EC">
          <w:pPr>
            <w:pStyle w:val="4"/>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_Toc3953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1.</w:t>
          </w:r>
          <w:r>
            <w:rPr>
              <w:rFonts w:hint="default" w:ascii="Times New Roman" w:hAnsi="Times New Roman" w:cs="Times New Roman"/>
              <w:bCs/>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_Toc3953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C782BE5">
          <w:pPr>
            <w:pStyle w:val="4"/>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_Toc10514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A</w:t>
          </w:r>
          <w:r>
            <w:rPr>
              <w:rFonts w:hint="default" w:ascii="Times New Roman" w:hAnsi="Times New Roman" w:cs="Times New Roman"/>
              <w:bCs/>
              <w:sz w:val="24"/>
              <w:szCs w:val="24"/>
            </w:rPr>
            <w:t>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_Toc10514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3D8B8A3E">
          <w:pPr>
            <w:pStyle w:val="4"/>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_Toc24964 </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bCs/>
              <w:kern w:val="2"/>
              <w:sz w:val="24"/>
              <w:szCs w:val="24"/>
              <w:lang w:val="en-US" w:eastAsia="zh-CN" w:bidi="ar-SA"/>
            </w:rPr>
            <w:t>2.</w:t>
          </w:r>
          <w:r>
            <w:rPr>
              <w:rFonts w:hint="default" w:ascii="Times New Roman" w:hAnsi="Times New Roman" w:cs="Times New Roman"/>
              <w:bCs/>
              <w:sz w:val="24"/>
              <w:szCs w:val="24"/>
            </w:rPr>
            <w:t xml:space="preserve">The Origin and Legend of </w:t>
          </w:r>
          <w:r>
            <w:rPr>
              <w:rFonts w:hint="default" w:ascii="Times New Roman" w:hAnsi="Times New Roman" w:cs="Times New Roman"/>
              <w:bCs/>
              <w:sz w:val="24"/>
              <w:szCs w:val="24"/>
              <w:lang w:eastAsia="zh-CN"/>
            </w:rPr>
            <w:t>Hydra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_Toc24964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D35F185">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_Toc730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2.1 </w:t>
          </w:r>
          <w:r>
            <w:rPr>
              <w:rFonts w:hint="default" w:ascii="Times New Roman" w:hAnsi="Times New Roman" w:cs="Times New Roman"/>
              <w:bCs/>
              <w:sz w:val="24"/>
              <w:szCs w:val="24"/>
              <w:lang w:eastAsia="zh-CN"/>
            </w:rPr>
            <w:t>Hydra</w:t>
          </w:r>
          <w:r>
            <w:rPr>
              <w:rFonts w:hint="default" w:ascii="Times New Roman" w:hAnsi="Times New Roman" w:cs="Times New Roman"/>
              <w:bCs/>
              <w:sz w:val="24"/>
              <w:szCs w:val="24"/>
            </w:rPr>
            <w:t>'s Lineage and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FFA05DA">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_Toc28359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w:t>
          </w:r>
          <w:r>
            <w:rPr>
              <w:rFonts w:hint="default" w:ascii="Times New Roman" w:hAnsi="Times New Roman" w:cs="Times New Roman"/>
              <w:bCs/>
              <w:sz w:val="24"/>
              <w:szCs w:val="24"/>
            </w:rPr>
            <w:t xml:space="preserve"> Rona Swamp and </w:t>
          </w:r>
          <w:r>
            <w:rPr>
              <w:rFonts w:hint="default" w:ascii="Times New Roman" w:hAnsi="Times New Roman" w:cs="Times New Roman"/>
              <w:bCs/>
              <w:sz w:val="24"/>
              <w:szCs w:val="24"/>
              <w:lang w:eastAsia="zh-CN"/>
            </w:rPr>
            <w:t>Hydra</w:t>
          </w:r>
          <w:r>
            <w:rPr>
              <w:rFonts w:hint="default" w:ascii="Times New Roman" w:hAnsi="Times New Roman" w:cs="Times New Roman"/>
              <w:bCs/>
              <w:sz w:val="24"/>
              <w:szCs w:val="24"/>
            </w:rPr>
            <w:t>'s Evil Deeds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7A3B172">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_Toc27492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2.3</w:t>
          </w:r>
          <w:r>
            <w:rPr>
              <w:rFonts w:hint="default" w:ascii="Times New Roman" w:hAnsi="Times New Roman" w:cs="Times New Roman"/>
              <w:bCs/>
              <w:sz w:val="24"/>
              <w:szCs w:val="24"/>
            </w:rPr>
            <w:t xml:space="preserve">The Battle of Hercules and </w:t>
          </w:r>
          <w:r>
            <w:rPr>
              <w:rFonts w:hint="default" w:ascii="Times New Roman" w:hAnsi="Times New Roman" w:cs="Times New Roman"/>
              <w:bCs/>
              <w:sz w:val="24"/>
              <w:szCs w:val="24"/>
              <w:lang w:eastAsia="zh-CN"/>
            </w:rPr>
            <w:t>Hydra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_Toc27492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FEFC6F5">
          <w:pPr>
            <w:pStyle w:val="4"/>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_Toc25549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w:t>
          </w:r>
          <w:r>
            <w:rPr>
              <w:rFonts w:hint="default" w:ascii="Times New Roman" w:hAnsi="Times New Roman" w:cs="Times New Roman"/>
              <w:bCs/>
              <w:sz w:val="24"/>
              <w:szCs w:val="24"/>
            </w:rPr>
            <w:t xml:space="preserve">CULTURE AND SYMBOLISM OF </w:t>
          </w:r>
          <w:r>
            <w:rPr>
              <w:rFonts w:hint="default" w:ascii="Times New Roman" w:hAnsi="Times New Roman" w:cs="Times New Roman"/>
              <w:bCs/>
              <w:sz w:val="24"/>
              <w:szCs w:val="24"/>
              <w:lang w:eastAsia="zh-CN"/>
            </w:rPr>
            <w:t>Hydra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_Toc25549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1C8BC47">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_Toc24961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3.1 Interpretation and Changes in Various Versions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_Toc24961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B0DA0AC">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_Toc24202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3.2 Evolution of Hydra as a Cultural Symbol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_Toc24202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A205DA5">
          <w:pPr>
            <w:pStyle w:val="4"/>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_Toc17453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4. Deep Sea Scourge - Hades Touch </w:t>
          </w:r>
          <w:r>
            <w:rPr>
              <w:rFonts w:hint="default" w:ascii="Times New Roman" w:hAnsi="Times New Roman" w:cs="Times New Roman"/>
              <w:bCs/>
              <w:sz w:val="24"/>
              <w:szCs w:val="24"/>
              <w:lang w:eastAsia="zh-CN"/>
            </w:rPr>
            <w:t>Hydra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_Toc17453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36D3036">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_Toc32635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4.1 </w:t>
          </w:r>
          <w:r>
            <w:rPr>
              <w:rFonts w:hint="default" w:ascii="Times New Roman" w:hAnsi="Times New Roman" w:cs="Times New Roman"/>
              <w:bCs/>
              <w:sz w:val="24"/>
              <w:szCs w:val="24"/>
            </w:rPr>
            <w:t>Design Concept and Direction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_Toc32635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AE7D129">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_Toc16798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4.2 </w:t>
          </w:r>
          <w:r>
            <w:rPr>
              <w:rFonts w:hint="default" w:ascii="Times New Roman" w:hAnsi="Times New Roman" w:cs="Times New Roman"/>
              <w:bCs/>
              <w:sz w:val="24"/>
              <w:szCs w:val="24"/>
            </w:rPr>
            <w:t>Appearance, Capabilities and Ecological Design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_Toc16798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B17FFB5">
          <w:pPr>
            <w:pStyle w:val="5"/>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_Toc13566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4.3 </w:t>
          </w:r>
          <w:r>
            <w:rPr>
              <w:rFonts w:hint="default" w:ascii="Times New Roman" w:hAnsi="Times New Roman" w:cs="Times New Roman"/>
              <w:bCs/>
              <w:sz w:val="24"/>
              <w:szCs w:val="24"/>
            </w:rPr>
            <w:t>Film Application Scenarios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68A54BA">
          <w:pPr>
            <w:pStyle w:val="4"/>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_Toc11186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5.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_Toc11186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EEE8DDD">
          <w:pPr>
            <w:pStyle w:val="4"/>
            <w:tabs>
              <w:tab w:val="right" w:leader="dot" w:pos="902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_Toc6798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33B085B">
          <w:pPr>
            <w:spacing w:line="360" w:lineRule="auto"/>
            <w:sectPr>
              <w:footerReference r:id="rId3" w:type="default"/>
              <w:pgSz w:w="11906" w:h="16838"/>
              <w:pgMar w:top="1440" w:right="1440" w:bottom="1440" w:left="1440" w:header="851" w:footer="992" w:gutter="0"/>
              <w:pgNumType w:start="1"/>
              <w:cols w:space="425" w:num="1"/>
              <w:docGrid w:type="lines" w:linePitch="312" w:charSpace="0"/>
            </w:sectPr>
          </w:pPr>
          <w:r>
            <w:rPr>
              <w:rFonts w:hint="default" w:ascii="Times New Roman" w:hAnsi="Times New Roman" w:cs="Times New Roman"/>
              <w:sz w:val="24"/>
              <w:szCs w:val="24"/>
            </w:rPr>
            <w:fldChar w:fldCharType="end"/>
          </w:r>
        </w:p>
      </w:sdtContent>
    </w:sdt>
    <w:p w14:paraId="686525CA">
      <w:pPr>
        <w:numPr>
          <w:ilvl w:val="0"/>
          <w:numId w:val="1"/>
        </w:numPr>
        <w:bidi w:val="0"/>
        <w:spacing w:line="360" w:lineRule="auto"/>
        <w:jc w:val="center"/>
        <w:outlineLvl w:val="0"/>
        <w:rPr>
          <w:rFonts w:hint="default" w:ascii="Times New Roman" w:hAnsi="Times New Roman" w:cs="Times New Roman"/>
          <w:b/>
          <w:bCs/>
          <w:sz w:val="24"/>
          <w:szCs w:val="24"/>
        </w:rPr>
      </w:pPr>
      <w:bookmarkStart w:id="0" w:name="_Toc3953"/>
      <w:r>
        <w:rPr>
          <w:rFonts w:hint="default" w:ascii="Times New Roman" w:hAnsi="Times New Roman" w:cs="Times New Roman"/>
          <w:b/>
          <w:bCs/>
          <w:sz w:val="24"/>
          <w:szCs w:val="24"/>
        </w:rPr>
        <w:t>Introduction</w:t>
      </w:r>
      <w:bookmarkEnd w:id="0"/>
    </w:p>
    <w:p w14:paraId="0ABA100E">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Since the birth of ancient Greek mythology,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the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has coiled in the poisonous mists of Lake Lerna as a symbol of chaos and calamity. The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not only shocked people with its ghastly multi-headed figure and immortality, but also became a classic metaphor for courage and wisdom against all odds in the story of the trials of the hero Hercules. As a descendant of Typhon and Ecardna,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brings together the multiple meanings of fear, destruction and regeneration in ancient Greek mythology, and its image still frequently appears in modern cultural works after thousands of years, showing strong vitality and symbolic value.</w:t>
      </w:r>
    </w:p>
    <w:p w14:paraId="0375A652">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However, with the evolution of the times, the traditional image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has gradually become difficult to meet the needs of contemporary narrative and aesthetics. As a container of cultural memory, myths need to continue their spirit in constant updating and interpretation. This study attempts to explore the deep cultural significance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by combing through the images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in ancient literature, and on the basis of this, to creatively redesign and give this ancient monster a new life and expression.</w:t>
      </w:r>
    </w:p>
    <w:p w14:paraId="442CDF9C">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In this paper, we will first systematically analyse the mythological origin, image characteristics, story background and symbolism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compare the similarities and differences between different versions of the literature, and reveal its unique position in the ancient worldview. Subsequently, taking into account the modern cultural context and aesthetic demands, the design concept and details of the new version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are proposed, aiming at exploring the possibility of myth reconstruction on the basis of respecting the spirit of the archetypes.</w:t>
      </w:r>
    </w:p>
    <w:p w14:paraId="3BB6B85A">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Through this research and reconstruction, it is hoped that not only can the classic image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be injected with new vigour, but also, on a broader level, explore how traditional myths can be regenerated and continued in modern culture.</w:t>
      </w:r>
    </w:p>
    <w:p w14:paraId="61FB5A4B">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52AEED65">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0530048D">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3CC3571B">
      <w:pPr>
        <w:numPr>
          <w:ilvl w:val="0"/>
          <w:numId w:val="0"/>
        </w:numPr>
        <w:bidi w:val="0"/>
        <w:spacing w:line="360" w:lineRule="auto"/>
        <w:jc w:val="both"/>
        <w:rPr>
          <w:rFonts w:hint="default" w:ascii="Times New Roman" w:hAnsi="Times New Roman" w:cs="Times New Roman" w:eastAsiaTheme="minorEastAsia"/>
          <w:b/>
          <w:bCs/>
          <w:kern w:val="2"/>
          <w:sz w:val="24"/>
          <w:szCs w:val="24"/>
          <w:lang w:val="en-US" w:eastAsia="zh-CN" w:bidi="ar-SA"/>
        </w:rPr>
      </w:pPr>
    </w:p>
    <w:p w14:paraId="5CEF8C30">
      <w:pPr>
        <w:bidi w:val="0"/>
        <w:spacing w:line="360" w:lineRule="auto"/>
        <w:jc w:val="center"/>
        <w:outlineLvl w:val="0"/>
        <w:rPr>
          <w:rFonts w:hint="eastAsia" w:ascii="Times New Roman" w:hAnsi="Times New Roman" w:cs="Times New Roman"/>
          <w:b/>
          <w:bCs/>
          <w:sz w:val="24"/>
          <w:szCs w:val="24"/>
          <w:lang w:val="en-US" w:eastAsia="zh-CN"/>
        </w:rPr>
      </w:pPr>
      <w:bookmarkStart w:id="1" w:name="_Toc10514"/>
    </w:p>
    <w:p w14:paraId="23CE3160">
      <w:pPr>
        <w:bidi w:val="0"/>
        <w:spacing w:line="360" w:lineRule="auto"/>
        <w:jc w:val="center"/>
        <w:outlineLvl w:val="0"/>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A</w:t>
      </w:r>
      <w:r>
        <w:rPr>
          <w:rFonts w:hint="default" w:ascii="Times New Roman" w:hAnsi="Times New Roman" w:cs="Times New Roman"/>
          <w:b/>
          <w:bCs/>
          <w:sz w:val="24"/>
          <w:szCs w:val="24"/>
        </w:rPr>
        <w:t>bstract</w:t>
      </w:r>
      <w:bookmarkEnd w:id="1"/>
    </w:p>
    <w:p w14:paraId="76BA5195">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This paper explores the mythological monster figure of Hydra and its evolution as a cultural symbol. From a horrific monster in ancient Greek mythology to a symbol of evil in the Middle Ages to its frequent appearance in modern literature, films and games, Hydra's multi-headed image and ability to be reborn have made it synonymous with fear and chaos. The article further explores the deeper significance of Hydra as a cultural symbol, especially its symbolic value in psychology, socio-politics, and philosophy. In psychology, Hydra symbolises the “shadow” part of the human heart, while in society it represents intractable social problems such as corruption and violence. Finally, the paper discusses how Hydra has become a cultural symbol that transcends time and space, influencing artistic creations and social movements for generations to come.</w:t>
      </w:r>
    </w:p>
    <w:p w14:paraId="55AF1999">
      <w:pPr>
        <w:bidi w:val="0"/>
        <w:spacing w:line="360" w:lineRule="auto"/>
        <w:rPr>
          <w:rFonts w:hint="default" w:ascii="Times New Roman" w:hAnsi="Times New Roman" w:cs="Times New Roman"/>
          <w:sz w:val="24"/>
          <w:szCs w:val="24"/>
        </w:rPr>
      </w:pPr>
    </w:p>
    <w:p w14:paraId="4C979020">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Keywords</w:t>
      </w:r>
      <w:r>
        <w:rPr>
          <w:rFonts w:hint="eastAsia" w:ascii="Times New Roman" w:hAnsi="Times New Roman" w:cs="Times New Roman"/>
          <w:b w:val="0"/>
          <w:bCs w:val="0"/>
          <w:sz w:val="24"/>
          <w:szCs w:val="24"/>
          <w:lang w:eastAsia="zh-CN"/>
        </w:rPr>
        <w:t>：</w:t>
      </w:r>
      <w:r>
        <w:rPr>
          <w:rFonts w:hint="default" w:ascii="Times New Roman" w:hAnsi="Times New Roman" w:cs="Times New Roman"/>
          <w:sz w:val="24"/>
          <w:szCs w:val="24"/>
        </w:rPr>
        <w:t>Hydra, myth, cultural symbol, psychology, social issues,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chaos, philosophy, historical evolution</w:t>
      </w:r>
    </w:p>
    <w:p w14:paraId="66C354F2">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4F3F09C7">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5E4603D2">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5618D803">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59282FCE">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1FB8D5D2">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72BAFE31">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6B095F1B">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4638999A">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1EF761FE">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5E00AB18">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18505B82">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59FCE49C">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2939036C">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3386EE92">
      <w:pPr>
        <w:numPr>
          <w:ilvl w:val="0"/>
          <w:numId w:val="0"/>
        </w:numPr>
        <w:bidi w:val="0"/>
        <w:spacing w:line="360" w:lineRule="auto"/>
        <w:jc w:val="both"/>
        <w:rPr>
          <w:rFonts w:hint="default" w:ascii="Times New Roman" w:hAnsi="Times New Roman" w:cs="Times New Roman" w:eastAsiaTheme="minorEastAsia"/>
          <w:b/>
          <w:bCs/>
          <w:kern w:val="2"/>
          <w:sz w:val="24"/>
          <w:szCs w:val="24"/>
          <w:lang w:val="en-US" w:eastAsia="zh-CN" w:bidi="ar-SA"/>
        </w:rPr>
      </w:pPr>
    </w:p>
    <w:p w14:paraId="1E7E0DE8">
      <w:pPr>
        <w:numPr>
          <w:ilvl w:val="0"/>
          <w:numId w:val="0"/>
        </w:numPr>
        <w:bidi w:val="0"/>
        <w:spacing w:line="360" w:lineRule="auto"/>
        <w:jc w:val="center"/>
        <w:rPr>
          <w:rFonts w:hint="default" w:ascii="Times New Roman" w:hAnsi="Times New Roman" w:cs="Times New Roman" w:eastAsiaTheme="minorEastAsia"/>
          <w:b/>
          <w:bCs/>
          <w:kern w:val="2"/>
          <w:sz w:val="24"/>
          <w:szCs w:val="24"/>
          <w:lang w:val="en-US" w:eastAsia="zh-CN" w:bidi="ar-SA"/>
        </w:rPr>
      </w:pPr>
    </w:p>
    <w:p w14:paraId="187D3378">
      <w:pPr>
        <w:numPr>
          <w:ilvl w:val="0"/>
          <w:numId w:val="2"/>
        </w:numPr>
        <w:bidi w:val="0"/>
        <w:spacing w:line="360" w:lineRule="auto"/>
        <w:ind w:leftChars="0"/>
        <w:jc w:val="center"/>
        <w:outlineLvl w:val="0"/>
        <w:rPr>
          <w:rFonts w:hint="default" w:ascii="Times New Roman" w:hAnsi="Times New Roman" w:cs="Times New Roman"/>
          <w:b/>
          <w:bCs/>
          <w:sz w:val="24"/>
          <w:szCs w:val="24"/>
        </w:rPr>
      </w:pPr>
      <w:bookmarkStart w:id="2" w:name="_Toc24964"/>
      <w:r>
        <w:rPr>
          <w:rFonts w:hint="default" w:ascii="Times New Roman" w:hAnsi="Times New Roman" w:cs="Times New Roman"/>
          <w:b/>
          <w:bCs/>
          <w:sz w:val="24"/>
          <w:szCs w:val="24"/>
        </w:rPr>
        <w:t xml:space="preserve">The Origin and Legend of </w:t>
      </w:r>
      <w:r>
        <w:rPr>
          <w:rFonts w:hint="eastAsia" w:ascii="Times New Roman" w:hAnsi="Times New Roman" w:cs="Times New Roman"/>
          <w:b/>
          <w:bCs/>
          <w:sz w:val="24"/>
          <w:szCs w:val="24"/>
          <w:lang w:eastAsia="zh-CN"/>
        </w:rPr>
        <w:t>Hydra</w:t>
      </w:r>
      <w:bookmarkEnd w:id="2"/>
    </w:p>
    <w:p w14:paraId="19E99AEA">
      <w:pPr>
        <w:bidi w:val="0"/>
        <w:spacing w:line="360" w:lineRule="auto"/>
        <w:outlineLvl w:val="1"/>
        <w:rPr>
          <w:rFonts w:hint="default" w:ascii="Times New Roman" w:hAnsi="Times New Roman" w:cs="Times New Roman"/>
          <w:b/>
          <w:bCs/>
          <w:sz w:val="24"/>
          <w:szCs w:val="24"/>
        </w:rPr>
      </w:pPr>
      <w:bookmarkStart w:id="3" w:name="_Toc730"/>
      <w:r>
        <w:rPr>
          <w:rFonts w:hint="eastAsia" w:ascii="Times New Roman" w:hAnsi="Times New Roman" w:cs="Times New Roman"/>
          <w:b/>
          <w:bCs/>
          <w:sz w:val="24"/>
          <w:szCs w:val="24"/>
          <w:lang w:val="en-US" w:eastAsia="zh-CN"/>
        </w:rPr>
        <w:t xml:space="preserve">2.1 </w:t>
      </w:r>
      <w:r>
        <w:rPr>
          <w:rFonts w:hint="eastAsia" w:ascii="Times New Roman" w:hAnsi="Times New Roman" w:cs="Times New Roman"/>
          <w:b/>
          <w:bCs/>
          <w:sz w:val="24"/>
          <w:szCs w:val="24"/>
          <w:lang w:eastAsia="zh-CN"/>
        </w:rPr>
        <w:t>Hydra</w:t>
      </w:r>
      <w:r>
        <w:rPr>
          <w:rFonts w:hint="default" w:ascii="Times New Roman" w:hAnsi="Times New Roman" w:cs="Times New Roman"/>
          <w:b/>
          <w:bCs/>
          <w:sz w:val="24"/>
          <w:szCs w:val="24"/>
        </w:rPr>
        <w:t>'s Lineage and Background</w:t>
      </w:r>
      <w:bookmarkEnd w:id="3"/>
      <w:r>
        <w:rPr>
          <w:rFonts w:hint="default" w:ascii="Times New Roman" w:hAnsi="Times New Roman" w:cs="Times New Roman"/>
          <w:b/>
          <w:bCs/>
          <w:sz w:val="24"/>
          <w:szCs w:val="24"/>
        </w:rPr>
        <w:t xml:space="preserve"> </w:t>
      </w:r>
    </w:p>
    <w:p w14:paraId="21C6030D">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There is a convention in most stories that a classic villain is needed, and preferably the kind of villain who is downright bad to the end, who walks down one road to the end, who doesn't see a coffin, and who doesn't die even when he reaches the Yellow River.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is definitely one of the most classic villains in Western mythology. It appears very frequently, has a variety of evil methods, and never repents, focusing on murder for a lifetime. Like the Joker, the classic villain of Batman Begins, there is no reason to be bad (Garland, 1992). In ancient Greek mythology,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has been involved in almost every major evil event, so it is definitely a good hand at making waves.</w:t>
      </w:r>
    </w:p>
    <w:p w14:paraId="646F7E99">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59264" behindDoc="0" locked="0" layoutInCell="1" allowOverlap="1">
            <wp:simplePos x="0" y="0"/>
            <wp:positionH relativeFrom="column">
              <wp:posOffset>-36195</wp:posOffset>
            </wp:positionH>
            <wp:positionV relativeFrom="paragraph">
              <wp:posOffset>546100</wp:posOffset>
            </wp:positionV>
            <wp:extent cx="3238500" cy="2590800"/>
            <wp:effectExtent l="0" t="0" r="0" b="0"/>
            <wp:wrapSquare wrapText="bothSides"/>
            <wp:docPr id="1" name="图片 1" descr="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0"/>
                    <pic:cNvPicPr>
                      <a:picLocks noChangeAspect="1"/>
                    </pic:cNvPicPr>
                  </pic:nvPicPr>
                  <pic:blipFill>
                    <a:blip r:embed="rId6"/>
                    <a:stretch>
                      <a:fillRect/>
                    </a:stretch>
                  </pic:blipFill>
                  <pic:spPr>
                    <a:xfrm>
                      <a:off x="0" y="0"/>
                      <a:ext cx="3238500" cy="2590800"/>
                    </a:xfrm>
                    <a:prstGeom prst="rect">
                      <a:avLst/>
                    </a:prstGeom>
                  </pic:spPr>
                </pic:pic>
              </a:graphicData>
            </a:graphic>
          </wp:anchor>
        </w:drawing>
      </w:r>
      <w:r>
        <w:rPr>
          <w:rFonts w:hint="default" w:ascii="Times New Roman" w:hAnsi="Times New Roman" w:cs="Times New Roman"/>
          <w:sz w:val="24"/>
          <w:szCs w:val="24"/>
        </w:rPr>
        <w:t xml:space="preserve">According to legend,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came from a famous family in the demon world, its father was Typhon, the king of all demons, and its mother was Erkedna, a female-headed serpentine monster. The ‘excellent genes’ of the parents were perfectly reflected in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even better than the blue (Hesiod, 1914). The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was large, with hook-like claws and a skin that was as tough and invulnerable as a shield (Burkert, 1985). In addition, it had nine heads that could spray venom in different directions when attacking, corrupting the enemy. What's more, it has a unique ability to kill all demons - rebirth. When any one of the nine heads is cut off, two new heads will quickly grow, and the golden head in the middle of the nine heads will never die (Apollodorus, 1921).</w:t>
      </w:r>
    </w:p>
    <w:p w14:paraId="34BC0006">
      <w:pPr>
        <w:bidi w:val="0"/>
        <w:spacing w:line="360" w:lineRule="auto"/>
        <w:jc w:val="center"/>
        <w:outlineLvl w:val="1"/>
        <w:rPr>
          <w:rFonts w:hint="default" w:ascii="Times New Roman" w:hAnsi="Times New Roman" w:cs="Times New Roman"/>
          <w:sz w:val="24"/>
          <w:szCs w:val="24"/>
        </w:rPr>
      </w:pPr>
      <w:bookmarkStart w:id="4" w:name="_Toc28359"/>
      <w:r>
        <w:rPr>
          <w:rFonts w:hint="eastAsia" w:ascii="Times New Roman" w:hAnsi="Times New Roman" w:cs="Times New Roman"/>
          <w:b/>
          <w:bCs/>
          <w:sz w:val="24"/>
          <w:szCs w:val="24"/>
          <w:lang w:val="en-US" w:eastAsia="zh-CN"/>
        </w:rPr>
        <w:t>2.2</w:t>
      </w:r>
      <w:r>
        <w:rPr>
          <w:rFonts w:hint="default" w:ascii="Times New Roman" w:hAnsi="Times New Roman" w:cs="Times New Roman"/>
          <w:b/>
          <w:bCs/>
          <w:sz w:val="24"/>
          <w:szCs w:val="24"/>
        </w:rPr>
        <w:t xml:space="preserve"> Rona Swamp and </w:t>
      </w:r>
      <w:r>
        <w:rPr>
          <w:rFonts w:hint="eastAsia" w:ascii="Times New Roman" w:hAnsi="Times New Roman" w:cs="Times New Roman"/>
          <w:b/>
          <w:bCs/>
          <w:sz w:val="24"/>
          <w:szCs w:val="24"/>
          <w:lang w:eastAsia="zh-CN"/>
        </w:rPr>
        <w:t>Hydra</w:t>
      </w:r>
      <w:r>
        <w:rPr>
          <w:rFonts w:hint="default" w:ascii="Times New Roman" w:hAnsi="Times New Roman" w:cs="Times New Roman"/>
          <w:b/>
          <w:bCs/>
          <w:sz w:val="24"/>
          <w:szCs w:val="24"/>
        </w:rPr>
        <w:t>'s Evil Deeds</w:t>
      </w:r>
      <w:bookmarkEnd w:id="4"/>
    </w:p>
    <w:p w14:paraId="6CDFA78F">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As a son of a demon, the place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inhabits must surely match its demonic and evil aura. Legend has it that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lived in the Rona Swamp in the Gulf of Argoth, where the water in the swamp was perennially murky and reeked due to the intense poison in its body (Stafford, 2013). The lake looks like a green satin, as the blood foam embroiders peach blossoms, the mould weaves a cloudy haze, and the occasional poisonous insect crawls by to create a starry night sky.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looked more and more creepy against this ‘beautiful’ silk. However, it does not have the pleasure of enjoying itself alone, since as the villain, we must show the ‘anti’ characteristic confidently. As a result,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often climbed ashore, spoiling the crops of nearby villages, ravaging free-range livestock, even devouring passers-by, and occasionally spitting poisonous gases to create a plague that caused fear and panic (Hornblower, Spawforth and Eidinow, 2012). The people were disgusted with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w:t>
      </w:r>
    </w:p>
    <w:p w14:paraId="6C39D00B">
      <w:pPr>
        <w:bidi w:val="0"/>
        <w:spacing w:line="360" w:lineRule="auto"/>
        <w:jc w:val="center"/>
        <w:outlineLvl w:val="1"/>
        <w:rPr>
          <w:rFonts w:hint="eastAsia" w:ascii="Times New Roman" w:hAnsi="Times New Roman" w:cs="Times New Roman" w:eastAsiaTheme="minorEastAsia"/>
          <w:b/>
          <w:bCs/>
          <w:sz w:val="24"/>
          <w:szCs w:val="24"/>
          <w:lang w:eastAsia="zh-CN"/>
        </w:rPr>
      </w:pPr>
      <w:bookmarkStart w:id="5" w:name="_Toc27492"/>
      <w:r>
        <w:rPr>
          <w:rFonts w:hint="eastAsia" w:ascii="Times New Roman" w:hAnsi="Times New Roman" w:cs="Times New Roman"/>
          <w:b/>
          <w:bCs/>
          <w:sz w:val="24"/>
          <w:szCs w:val="24"/>
          <w:lang w:val="en-US" w:eastAsia="zh-CN"/>
        </w:rPr>
        <w:t xml:space="preserve">2.3 </w:t>
      </w:r>
      <w:r>
        <w:rPr>
          <w:rFonts w:hint="default" w:ascii="Times New Roman" w:hAnsi="Times New Roman" w:cs="Times New Roman"/>
          <w:b/>
          <w:bCs/>
          <w:sz w:val="24"/>
          <w:szCs w:val="24"/>
        </w:rPr>
        <w:t xml:space="preserve">The Battle of Hercules and </w:t>
      </w:r>
      <w:r>
        <w:rPr>
          <w:rFonts w:hint="eastAsia" w:ascii="Times New Roman" w:hAnsi="Times New Roman" w:cs="Times New Roman"/>
          <w:b/>
          <w:bCs/>
          <w:sz w:val="24"/>
          <w:szCs w:val="24"/>
          <w:lang w:eastAsia="zh-CN"/>
        </w:rPr>
        <w:t>Hydra</w:t>
      </w:r>
      <w:bookmarkEnd w:id="5"/>
    </w:p>
    <w:p w14:paraId="44527F88">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It is also a convention in storytelling that the villain is often the backdrop to the appearance of a great hero, and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was naturally no exception. What really made it famous in the history of Greek mythology were the twelve impossible tasks of the famous Hercules, as one of them was the beheading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(Apollodorus, 1921).</w:t>
      </w:r>
    </w:p>
    <w:p w14:paraId="29624195">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60288" behindDoc="0" locked="0" layoutInCell="1" allowOverlap="1">
            <wp:simplePos x="0" y="0"/>
            <wp:positionH relativeFrom="column">
              <wp:posOffset>-118110</wp:posOffset>
            </wp:positionH>
            <wp:positionV relativeFrom="paragraph">
              <wp:posOffset>707390</wp:posOffset>
            </wp:positionV>
            <wp:extent cx="3037205" cy="3244215"/>
            <wp:effectExtent l="0" t="0" r="10795" b="13335"/>
            <wp:wrapSquare wrapText="bothSides"/>
            <wp:docPr id="2" name="图片 2" descr="ad7d1b82f6c5e4c0b5d0003775571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ad7d1b82f6c5e4c0b5d00037755711b"/>
                    <pic:cNvPicPr>
                      <a:picLocks noChangeAspect="1"/>
                    </pic:cNvPicPr>
                  </pic:nvPicPr>
                  <pic:blipFill>
                    <a:blip r:embed="rId7"/>
                    <a:stretch>
                      <a:fillRect/>
                    </a:stretch>
                  </pic:blipFill>
                  <pic:spPr>
                    <a:xfrm>
                      <a:off x="0" y="0"/>
                      <a:ext cx="3037205" cy="3244215"/>
                    </a:xfrm>
                    <a:prstGeom prst="rect">
                      <a:avLst/>
                    </a:prstGeom>
                  </pic:spPr>
                </pic:pic>
              </a:graphicData>
            </a:graphic>
          </wp:anchor>
        </w:drawing>
      </w:r>
      <w:r>
        <w:rPr>
          <w:rFonts w:hint="default" w:ascii="Times New Roman" w:hAnsi="Times New Roman" w:cs="Times New Roman"/>
          <w:sz w:val="24"/>
          <w:szCs w:val="24"/>
        </w:rPr>
        <w:t xml:space="preserve">Hercules travelled with his friend Iolaus to hunt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As rumour has it, when his knife cut off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's head, two new heads quickly grew from the original wound. Hercules had to keep hacking away, and the new heads sprang up far faster than Hercules' knife. In the constant fighting, Heracles was exhausted. He realised that if he continued to fight hard with just his physical strength, he would die of exhaustion sooner or later. Hercules looked around and saw only bushes of different heights growing together, and suddenly had a plan. He called out to Iolaus to light the surrounding bushes on fire and make them into torches. When Hercules cut off one of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's heads again, Iolaus quickly scorched the wound with the torch to prevent it from regrowing (Garland, 1992). This approach also quickly paid off, as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's head gradually diminished until only the immortal golden head in the centre remained. As long as this head remained,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would not fall. Iolaus used the flames to attract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's attention, while Hercules took the opportunity to cut off the golden head. After cutting off the golden snake's head, Hercules ran wildly with it in his arms until he came to a huge boulder. He quickly buried the snake's head in a pile of grass and trees and pressed the boulder against it so that the head could never return to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(Apollodorus, 1921).</w:t>
      </w:r>
    </w:p>
    <w:p w14:paraId="0E5FDA91">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With this,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's sinful life came to an end.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's death made Hercules famous in ancient Greek mythology.</w:t>
      </w:r>
    </w:p>
    <w:p w14:paraId="57E7B2AD">
      <w:pPr>
        <w:numPr>
          <w:ilvl w:val="0"/>
          <w:numId w:val="3"/>
        </w:numPr>
        <w:bidi w:val="0"/>
        <w:spacing w:line="360" w:lineRule="auto"/>
        <w:ind w:left="0" w:leftChars="0" w:firstLine="964" w:firstLineChars="400"/>
        <w:jc w:val="center"/>
        <w:outlineLvl w:val="0"/>
        <w:rPr>
          <w:b/>
          <w:bCs/>
          <w:sz w:val="24"/>
          <w:szCs w:val="24"/>
        </w:rPr>
      </w:pPr>
      <w:bookmarkStart w:id="6" w:name="_Toc25549"/>
      <w:r>
        <w:rPr>
          <w:rFonts w:hint="default" w:ascii="Times New Roman" w:hAnsi="Times New Roman" w:cs="Times New Roman"/>
          <w:b/>
          <w:bCs/>
          <w:sz w:val="24"/>
          <w:szCs w:val="24"/>
        </w:rPr>
        <w:t>C</w:t>
      </w:r>
      <w:r>
        <w:rPr>
          <w:rFonts w:hint="eastAsia" w:ascii="Times New Roman" w:hAnsi="Times New Roman" w:cs="Times New Roman"/>
          <w:b/>
          <w:bCs/>
          <w:sz w:val="24"/>
          <w:szCs w:val="24"/>
          <w:lang w:val="en-US" w:eastAsia="zh-CN"/>
        </w:rPr>
        <w:t>ulture</w:t>
      </w:r>
      <w:r>
        <w:rPr>
          <w:rFonts w:hint="default" w:ascii="Times New Roman" w:hAnsi="Times New Roman" w:cs="Times New Roman"/>
          <w:b/>
          <w:bCs/>
          <w:sz w:val="24"/>
          <w:szCs w:val="24"/>
        </w:rPr>
        <w:t xml:space="preserve"> </w:t>
      </w:r>
      <w:r>
        <w:rPr>
          <w:rFonts w:hint="eastAsia" w:ascii="Times New Roman" w:hAnsi="Times New Roman" w:cs="Times New Roman"/>
          <w:b/>
          <w:bCs/>
          <w:sz w:val="24"/>
          <w:szCs w:val="24"/>
          <w:lang w:val="en-US" w:eastAsia="zh-CN"/>
        </w:rPr>
        <w:t>and</w:t>
      </w:r>
      <w:r>
        <w:rPr>
          <w:rFonts w:hint="default" w:ascii="Times New Roman" w:hAnsi="Times New Roman" w:cs="Times New Roman"/>
          <w:b/>
          <w:bCs/>
          <w:sz w:val="24"/>
          <w:szCs w:val="24"/>
        </w:rPr>
        <w:t xml:space="preserve"> S</w:t>
      </w:r>
      <w:r>
        <w:rPr>
          <w:rFonts w:hint="eastAsia" w:ascii="Times New Roman" w:hAnsi="Times New Roman" w:cs="Times New Roman"/>
          <w:b/>
          <w:bCs/>
          <w:sz w:val="24"/>
          <w:szCs w:val="24"/>
          <w:lang w:val="en-US" w:eastAsia="zh-CN"/>
        </w:rPr>
        <w:t>ymbolism</w:t>
      </w:r>
      <w:r>
        <w:rPr>
          <w:rFonts w:hint="default" w:ascii="Times New Roman" w:hAnsi="Times New Roman" w:cs="Times New Roman"/>
          <w:b/>
          <w:bCs/>
          <w:sz w:val="24"/>
          <w:szCs w:val="24"/>
        </w:rPr>
        <w:t xml:space="preserve"> </w:t>
      </w:r>
      <w:r>
        <w:rPr>
          <w:rFonts w:hint="eastAsia" w:ascii="Times New Roman" w:hAnsi="Times New Roman" w:cs="Times New Roman"/>
          <w:b/>
          <w:bCs/>
          <w:sz w:val="24"/>
          <w:szCs w:val="24"/>
          <w:lang w:val="en-US" w:eastAsia="zh-CN"/>
        </w:rPr>
        <w:t>of</w:t>
      </w:r>
      <w:r>
        <w:rPr>
          <w:rFonts w:hint="default" w:ascii="Times New Roman" w:hAnsi="Times New Roman" w:cs="Times New Roman"/>
          <w:b/>
          <w:bCs/>
          <w:sz w:val="24"/>
          <w:szCs w:val="24"/>
        </w:rPr>
        <w:t xml:space="preserve"> </w:t>
      </w:r>
      <w:r>
        <w:rPr>
          <w:rFonts w:hint="eastAsia" w:ascii="Times New Roman" w:hAnsi="Times New Roman" w:cs="Times New Roman"/>
          <w:b/>
          <w:bCs/>
          <w:sz w:val="24"/>
          <w:szCs w:val="24"/>
          <w:lang w:eastAsia="zh-CN"/>
        </w:rPr>
        <w:t>Hydra</w:t>
      </w:r>
      <w:bookmarkEnd w:id="6"/>
    </w:p>
    <w:p w14:paraId="411B6593">
      <w:pPr>
        <w:bidi w:val="0"/>
        <w:spacing w:line="360" w:lineRule="auto"/>
        <w:outlineLvl w:val="1"/>
        <w:rPr>
          <w:rFonts w:hint="default" w:ascii="Times New Roman" w:hAnsi="Times New Roman" w:cs="Times New Roman"/>
          <w:sz w:val="24"/>
          <w:szCs w:val="24"/>
        </w:rPr>
      </w:pPr>
      <w:bookmarkStart w:id="7" w:name="_Toc24961"/>
      <w:r>
        <w:rPr>
          <w:rFonts w:hint="default" w:ascii="Times New Roman" w:hAnsi="Times New Roman" w:cs="Times New Roman"/>
          <w:b/>
          <w:bCs/>
          <w:sz w:val="24"/>
          <w:szCs w:val="24"/>
        </w:rPr>
        <w:t>3.1 Interpretation and Changes in Various Versions</w:t>
      </w:r>
      <w:bookmarkEnd w:id="7"/>
    </w:p>
    <w:p w14:paraId="658BC6FD">
      <w:pPr>
        <w:bidi w:val="0"/>
        <w:spacing w:line="360" w:lineRule="auto"/>
        <w:ind w:firstLine="480" w:firstLineChars="200"/>
        <w:rPr>
          <w:rFonts w:hint="default" w:ascii="Times New Roman" w:hAnsi="Times New Roman" w:cs="Times New Roman"/>
          <w:sz w:val="24"/>
          <w:szCs w:val="24"/>
        </w:rPr>
      </w:pPr>
      <w:bookmarkStart w:id="8" w:name="_Toc24202"/>
      <w:r>
        <w:rPr>
          <w:rFonts w:hint="default" w:ascii="Times New Roman" w:hAnsi="Times New Roman" w:cs="Times New Roman"/>
          <w:sz w:val="24"/>
          <w:szCs w:val="24"/>
        </w:rPr>
        <w:t>Hydra, as a symbol with profound meaning and a long history, began its journey as a terrifying monster in ancient Greek mythology. Over time, it gradually evolved to represent an evil force, eventually becoming a frequently used negative image in contemporary literature and art. Whether through its horrific multi-headed form, its ability to regenerate after death, or its deadly poison, Hydra is undeniably a character symbolizing terror. More than just a creation of imagination, Hydra represents the state of chaos in the mythological world, like a warning bell sounded by fate (Garland, 1992; Burkert, 1985).</w:t>
      </w:r>
    </w:p>
    <w:p w14:paraId="7690F678">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As time progressed, the image of Hydra became more complex, gaining deeper meanings across different cultures and historical periods. During the Roman era, Hydra became a symbol favored by military leaders, symbolizing an enemy that, although seemingly defeated, could rise again—like a persistent ghost haunting the battlefield (Hornblower et al., 2012). In the Middle Ages, the terror surrounding Hydra deepened, and it transformed into a symbol for endless evil and disaster, embodying the concept of an ‘ultimate opponent’ and fostering a deep fear among people (Stafford, 2013). This transformation made Hydra a timeless cultural symbol, influencing the works of later generations of artists, like an invisible hand that inspired creativity (Garland, 1992).</w:t>
      </w:r>
    </w:p>
    <w:p w14:paraId="23659D49">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the modern era, Hydra saw unprecedented creativity and versatility in films, stories, and video games, where it emerged as a formidable foe, raising adrenaline levels among audiences. In these contemporary depictions, Hydra is no longer a one-dimensional villain but a creature full of multiple characteristics, showcasing the bizarre nature of modern monsters. It has transitioned from being purely evil to becoming a symbol of resistance against chaos and fear, representing a spiritual force that pushes humanity forward and helps solve the problems of life (Burkert, 1985; Stafford, 2013).</w:t>
      </w:r>
    </w:p>
    <w:p w14:paraId="25B62DEE">
      <w:pPr>
        <w:bidi w:val="0"/>
        <w:spacing w:line="360" w:lineRule="auto"/>
        <w:outlineLvl w:val="1"/>
        <w:rPr>
          <w:rFonts w:hint="default" w:ascii="Times New Roman" w:hAnsi="Times New Roman" w:cs="Times New Roman"/>
          <w:b/>
          <w:bCs/>
          <w:sz w:val="24"/>
          <w:szCs w:val="24"/>
        </w:rPr>
      </w:pPr>
      <w:r>
        <w:rPr>
          <w:rFonts w:hint="default" w:ascii="Times New Roman" w:hAnsi="Times New Roman" w:cs="Times New Roman"/>
          <w:b/>
          <w:bCs/>
          <w:sz w:val="24"/>
          <w:szCs w:val="24"/>
        </w:rPr>
        <w:t>3.2 Evolution of Hydra as a Cultural Symbol</w:t>
      </w:r>
      <w:bookmarkEnd w:id="8"/>
    </w:p>
    <w:p w14:paraId="0AECDA74">
      <w:pPr>
        <w:bidi w:val="0"/>
        <w:spacing w:line="360" w:lineRule="auto"/>
        <w:ind w:firstLine="480" w:firstLineChars="200"/>
        <w:rPr>
          <w:rFonts w:hint="default" w:ascii="Times New Roman" w:hAnsi="Times New Roman" w:cs="Times New Roman"/>
          <w:sz w:val="24"/>
          <w:szCs w:val="24"/>
        </w:rPr>
      </w:pPr>
      <w:bookmarkStart w:id="9" w:name="_Toc17453"/>
      <w:r>
        <w:rPr>
          <w:rFonts w:hint="default" w:ascii="Times New Roman" w:hAnsi="Times New Roman" w:cs="Times New Roman"/>
          <w:sz w:val="24"/>
          <w:szCs w:val="24"/>
        </w:rPr>
        <w:t>Hydra is like a mysterious and shining star in the Milky Way. It has left many unique and penetrating cultural connotations in the process of human culture. It has multi-level and profound symbolic meanings, waiting for future generations to continue to explore and interpret it like a treasure (Burkert, 1985).</w:t>
      </w:r>
    </w:p>
    <w:p w14:paraId="0113CB6D">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If we look deep into our hearts, Hydra's head and regeneration ability are like opening a door to the "shadow" field of psychology, concretizing abstract concepts. There is a "shadow" in each of our hearts. It is the second personality in people's hearts, the part we suppress and resist. In each of our hearts, this shadow is our inner fear and desire, or Hydra's head after head. We think we have mastered it, but it is still out of control. When we try to suppress it by force, we may get more. More heads pop up like bamboo shoots after rain. This represents the persistence and spread of the problem, just like uncontrollable weeds (Jung, 1953). When we look at the heads of Hydra, it is like our own contradictions and conflicts reflected in a mirror. The dark areas that we consciously want to ignore are exposed in Hydra. It tells us a harsh reality that our deepest darkness will always coexist like a shadow. We cannot completely get rid of it and must face it bravely (Burkert, 1985).</w:t>
      </w:r>
    </w:p>
    <w:p w14:paraId="05ED14CF">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When we cut from the individual to the social and political field, we will find that the image of Hydra has become an extremely dangerous dissecting device, accurately unveiling a series of social diseases. She is like a mirror, reflecting how wealth inequality as an abyss blocks the opposition between different social classes; corruption is like a parasite that gradually eats up the essence of society; violence is like a dark cloud that covers daily social life. These social problems are like Hydra's head. Although we self-righteously cut off some of them, there will always be other, new variants, emerging one after another. The resilience of social problems is vividly reflected in the image of Hydra (Stafford, 2013). This also makes Hydra a symbol, a very important symbol in the opposition and social movements, and a powerful totem. In other words, the public's accusation of greed, cruelty, and inequality is also a spiritual driving force for people to fight for equal rights and a good life, driving many citizens to fight to change the status quo (Burkert, 1985).</w:t>
      </w:r>
    </w:p>
    <w:p w14:paraId="75814DA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When we temporarily withdraw from the busyness and enter the world of philosophy, the character of Hydra opens a door to the philosophy of life and death for our thoughts. Each head is the face of the god of death, showing the end of life, the extinction of all things, and bringing irresistible coldness and disappointment; while the mysterious regeneration ability is the ode to life, showing permanence, the cycle of life, and giving people hope and comfort. The continuous struggle between life and death between the two is like a mysterious war that constantly recurs in the flow of time, allowing us to think about the two philosophical topics of the brevity and eternity of life (Jung, 1953). The story presented by Hydra has gone beyond the scope of mythology. It is like a prism, reflecting on people's multiple themes of life, death, rebirth and eternity. While we are fascinated by the charm of mythology, we also do not forget to explore the value of our own existence and the mysteries of the universe (Stafford, 2013).</w:t>
      </w:r>
    </w:p>
    <w:p w14:paraId="78653E1A">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It is not just a monster from mythology but also a symbolic representation of the ‘shadow’ in psychology, the representation of persistent problems in society, and a philosophical interpretation of life and death (Stafford, 2013). As time progresses, Hydra’s image continues to evolve, becoming a timeless symbol that connects people across different eras and cultures, telling the spiritual story of human civilization (Burkert, 1985; Jung, 1953).</w:t>
      </w:r>
    </w:p>
    <w:p w14:paraId="63A2ABC1">
      <w:pPr>
        <w:numPr>
          <w:ilvl w:val="0"/>
          <w:numId w:val="3"/>
        </w:numPr>
        <w:bidi w:val="0"/>
        <w:spacing w:line="360" w:lineRule="auto"/>
        <w:ind w:left="0" w:leftChars="0" w:firstLine="964" w:firstLineChars="400"/>
        <w:jc w:val="center"/>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Deep Sea Scourge - Hades Touch </w:t>
      </w:r>
      <w:r>
        <w:rPr>
          <w:rFonts w:hint="eastAsia" w:ascii="Times New Roman" w:hAnsi="Times New Roman" w:cs="Times New Roman"/>
          <w:b/>
          <w:bCs/>
          <w:sz w:val="24"/>
          <w:szCs w:val="24"/>
          <w:lang w:eastAsia="zh-CN"/>
        </w:rPr>
        <w:t>Hydra</w:t>
      </w:r>
      <w:bookmarkEnd w:id="9"/>
    </w:p>
    <w:p w14:paraId="27C40720">
      <w:pPr>
        <w:bidi w:val="0"/>
        <w:spacing w:line="360" w:lineRule="auto"/>
        <w:outlineLvl w:val="1"/>
        <w:rPr>
          <w:rFonts w:hint="default" w:ascii="Times New Roman" w:hAnsi="Times New Roman" w:cs="Times New Roman"/>
          <w:sz w:val="24"/>
          <w:szCs w:val="24"/>
        </w:rPr>
      </w:pPr>
      <w:bookmarkStart w:id="10" w:name="_Toc32635"/>
      <w:r>
        <w:rPr>
          <w:rFonts w:hint="eastAsia" w:ascii="Times New Roman" w:hAnsi="Times New Roman" w:cs="Times New Roman"/>
          <w:b/>
          <w:bCs/>
          <w:sz w:val="24"/>
          <w:szCs w:val="24"/>
          <w:lang w:val="en-US" w:eastAsia="zh-CN"/>
        </w:rPr>
        <w:t xml:space="preserve">4.1 </w:t>
      </w:r>
      <w:r>
        <w:rPr>
          <w:rFonts w:hint="default" w:ascii="Times New Roman" w:hAnsi="Times New Roman" w:cs="Times New Roman"/>
          <w:b/>
          <w:bCs/>
          <w:sz w:val="24"/>
          <w:szCs w:val="24"/>
        </w:rPr>
        <w:t>Design Concept and Direction</w:t>
      </w:r>
      <w:bookmarkEnd w:id="10"/>
      <w:r>
        <w:rPr>
          <w:rFonts w:hint="default" w:ascii="Times New Roman" w:hAnsi="Times New Roman" w:cs="Times New Roman"/>
          <w:sz w:val="24"/>
          <w:szCs w:val="24"/>
        </w:rPr>
        <w:t xml:space="preserve"> </w:t>
      </w:r>
    </w:p>
    <w:p w14:paraId="62809C09">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the boundless depths of the deep sea, where the light of human civilisation is hard to reach, countless unknown miracles of life are nurtured.</w:t>
      </w:r>
    </w:p>
    <w:p w14:paraId="3C8F8605">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‘Deep Sea Scourge -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is the symbol of the ultimate creatures born under these extreme conditions.</w:t>
      </w:r>
    </w:p>
    <w:p w14:paraId="79EDF8FD">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core concept of this design is to combine the extreme adaptability of nature with the mythological qualities of an out-of-control regenerative monster to create a plausible, yet surreal, overlord of the deep. It is not just a creature, but a human gaze into the unknown fears and runaway evolution of the deep sea.</w:t>
      </w:r>
    </w:p>
    <w:p w14:paraId="39FAD1BF">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In terms of inspiration, it combines the intelligence and agility of the octopus, the high-voltage electrical energy of the electric eel, the spectral toxins of the jellyfish, and the immortal polymorphic imagery of the Xandra mythos. Through such a comprehensive conception, the Plutonic Touch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is both rooted in real life biology and transcends the laws of nature, becoming a deep-sea catastrophic body with intense visual impact and psychological shock.</w:t>
      </w:r>
    </w:p>
    <w:p w14:paraId="524132AA">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design direction adheres to two principles: firstly, it conforms to the logic of nature, so that even though it is bizarre,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can still convince the audience that ‘this could really exist in the deep sea’; secondly, it strengthens the symbolic meaning, so that it can become a vivid portrayal of the unknown, out of control, and despair.</w:t>
      </w:r>
    </w:p>
    <w:p w14:paraId="6567DFAF">
      <w:pPr>
        <w:bidi w:val="0"/>
        <w:spacing w:line="360" w:lineRule="auto"/>
        <w:outlineLvl w:val="1"/>
        <w:rPr>
          <w:rFonts w:hint="default" w:ascii="Times New Roman" w:hAnsi="Times New Roman" w:cs="Times New Roman"/>
          <w:sz w:val="24"/>
          <w:szCs w:val="24"/>
        </w:rPr>
      </w:pPr>
      <w:bookmarkStart w:id="11" w:name="_Toc16798"/>
      <w:r>
        <w:rPr>
          <w:rFonts w:hint="eastAsia" w:ascii="Times New Roman" w:hAnsi="Times New Roman" w:cs="Times New Roman"/>
          <w:b/>
          <w:bCs/>
          <w:sz w:val="24"/>
          <w:szCs w:val="24"/>
          <w:lang w:val="en-US" w:eastAsia="zh-CN"/>
        </w:rPr>
        <w:t xml:space="preserve">4.2 </w:t>
      </w:r>
      <w:r>
        <w:rPr>
          <w:rFonts w:hint="default" w:ascii="Times New Roman" w:hAnsi="Times New Roman" w:cs="Times New Roman"/>
          <w:b/>
          <w:bCs/>
          <w:sz w:val="24"/>
          <w:szCs w:val="24"/>
        </w:rPr>
        <w:t>Appearance, Capabilities and Ecological Design</w:t>
      </w:r>
      <w:bookmarkEnd w:id="11"/>
      <w:r>
        <w:rPr>
          <w:rFonts w:hint="default" w:ascii="Times New Roman" w:hAnsi="Times New Roman" w:cs="Times New Roman"/>
          <w:sz w:val="24"/>
          <w:szCs w:val="24"/>
        </w:rPr>
        <w:t xml:space="preserve"> </w:t>
      </w:r>
    </w:p>
    <w:p w14:paraId="38433BDD">
      <w:pPr>
        <w:bidi w:val="0"/>
        <w:spacing w:line="360" w:lineRule="auto"/>
        <w:ind w:firstLine="480" w:firstLineChars="200"/>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439285" cy="3326765"/>
            <wp:effectExtent l="0" t="0" r="18415" b="6985"/>
            <wp:docPr id="4" name="图片 4" descr="83253f36879e78e88dc98419c0c34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83253f36879e78e88dc98419c0c341c"/>
                    <pic:cNvPicPr>
                      <a:picLocks noChangeAspect="1"/>
                    </pic:cNvPicPr>
                  </pic:nvPicPr>
                  <pic:blipFill>
                    <a:blip r:embed="rId8"/>
                    <a:stretch>
                      <a:fillRect/>
                    </a:stretch>
                  </pic:blipFill>
                  <pic:spPr>
                    <a:xfrm>
                      <a:off x="0" y="0"/>
                      <a:ext cx="4439285" cy="3326765"/>
                    </a:xfrm>
                    <a:prstGeom prst="rect">
                      <a:avLst/>
                    </a:prstGeom>
                  </pic:spPr>
                </pic:pic>
              </a:graphicData>
            </a:graphic>
          </wp:inline>
        </w:drawing>
      </w:r>
    </w:p>
    <w:p w14:paraId="2464340E">
      <w:pPr>
        <w:bidi w:val="0"/>
        <w:spacing w:line="360" w:lineRule="auto"/>
        <w:ind w:firstLine="480" w:firstLineChars="200"/>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 overall appearance of the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is huge and twisted, with the main body being a soft octopus-like creature covered with translucent jellyfish gelatinous skin. The body shimmered eerily in the dim environment of the deep sea, as if it were a floating shadow of eerie light.</w:t>
      </w:r>
    </w:p>
    <w:p w14:paraId="283B2148">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most striking thing was its nine huge tentacles, each of which had organs like snake heads bifurcating from the end. When these snake heads opened, they revealed crimson mouthparts, and their interiors were densely covered with fine venom-spewing glands, capable of releasing a highly poisonous mist in a split second, paralysing or corrupting its prey. The surface of the tentacles is then embedded with electric eel-like power generating cells, capable of instantly erupting into high voltage electric shocks during battle, creating an electromagnetic field that turns the surrounding area into a cage of extinction.</w:t>
      </w:r>
    </w:p>
    <w:p w14:paraId="305B35DA">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Often solitary in deep-sea trenches or near hydrothermal vents, the medusa uses its translucent body to hide itself, lurking silently for months or even years. When hunting, it lures its prey closer by mimicking the visual characteristics of a shimmering creature, and once the target enters the attack area, the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strike is instantly unleashed, with venom, electric shocks, and tearing synchronised, from which no creature is immune.</w:t>
      </w:r>
    </w:p>
    <w:p w14:paraId="2D9B458E">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Hades Touch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is extremely slow growing, but has a long life span and can survive for hundreds of years. Due to its ability to survive and regenerate its severed limbs, it can recover quickly or split to form new individuals even after being severely injured.</w:t>
      </w:r>
    </w:p>
    <w:p w14:paraId="0F24E61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61312" behindDoc="0" locked="0" layoutInCell="1" allowOverlap="1">
            <wp:simplePos x="0" y="0"/>
            <wp:positionH relativeFrom="column">
              <wp:posOffset>22225</wp:posOffset>
            </wp:positionH>
            <wp:positionV relativeFrom="paragraph">
              <wp:posOffset>52705</wp:posOffset>
            </wp:positionV>
            <wp:extent cx="2811780" cy="3980180"/>
            <wp:effectExtent l="0" t="0" r="7620" b="1270"/>
            <wp:wrapSquare wrapText="bothSides"/>
            <wp:docPr id="5" name="图片 5" descr="2f34355cc389b2b21d53584d5616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2f34355cc389b2b21d53584d5616116"/>
                    <pic:cNvPicPr>
                      <a:picLocks noChangeAspect="1"/>
                    </pic:cNvPicPr>
                  </pic:nvPicPr>
                  <pic:blipFill>
                    <a:blip r:embed="rId9"/>
                    <a:stretch>
                      <a:fillRect/>
                    </a:stretch>
                  </pic:blipFill>
                  <pic:spPr>
                    <a:xfrm>
                      <a:off x="0" y="0"/>
                      <a:ext cx="2811780" cy="3980180"/>
                    </a:xfrm>
                    <a:prstGeom prst="rect">
                      <a:avLst/>
                    </a:prstGeom>
                  </pic:spPr>
                </pic:pic>
              </a:graphicData>
            </a:graphic>
          </wp:anchor>
        </w:drawing>
      </w:r>
      <w:r>
        <w:rPr>
          <w:rFonts w:hint="default" w:ascii="Times New Roman" w:hAnsi="Times New Roman" w:cs="Times New Roman"/>
          <w:sz w:val="24"/>
          <w:szCs w:val="24"/>
        </w:rPr>
        <w:t>When H</w:t>
      </w:r>
      <w:r>
        <w:rPr>
          <w:rFonts w:hint="default" w:ascii="Times New Roman" w:hAnsi="Times New Roman" w:cs="Times New Roman"/>
          <w:sz w:val="24"/>
          <w:szCs w:val="24"/>
          <w:lang w:val="en-US" w:eastAsia="zh-CN"/>
        </w:rPr>
        <w:t>ydra</w:t>
      </w:r>
      <w:r>
        <w:rPr>
          <w:rFonts w:hint="default" w:ascii="Times New Roman" w:hAnsi="Times New Roman" w:cs="Times New Roman"/>
          <w:sz w:val="24"/>
          <w:szCs w:val="24"/>
        </w:rPr>
        <w:t xml:space="preserve"> is incarnated as a character, she has no clear features, just a big mouth like a black hole, and the female features have not disappeared completely, but there is almost no muscle, sickly body shape and appearance, which is what I want to express in the previous article, that HYDRA is the representative of the people's inner fears and desires, and this kind of blurring feeling of being human and not being human also interprets my design concept that is The concept of ‘shadow’ in psychology is expressed through the humanised image of Hydra.</w:t>
      </w:r>
    </w:p>
    <w:p w14:paraId="306C2B52">
      <w:pPr>
        <w:bidi w:val="0"/>
        <w:spacing w:line="360" w:lineRule="auto"/>
        <w:outlineLvl w:val="1"/>
        <w:rPr>
          <w:rFonts w:hint="default" w:ascii="Times New Roman" w:hAnsi="Times New Roman" w:cs="Times New Roman"/>
          <w:b/>
          <w:bCs/>
          <w:sz w:val="24"/>
          <w:szCs w:val="24"/>
        </w:rPr>
      </w:pPr>
      <w:bookmarkStart w:id="12" w:name="_Toc13566"/>
      <w:r>
        <w:rPr>
          <w:rFonts w:hint="eastAsia" w:ascii="Times New Roman" w:hAnsi="Times New Roman" w:cs="Times New Roman"/>
          <w:b/>
          <w:bCs/>
          <w:sz w:val="24"/>
          <w:szCs w:val="24"/>
          <w:lang w:val="en-US" w:eastAsia="zh-CN"/>
        </w:rPr>
        <w:t xml:space="preserve">4.3 </w:t>
      </w:r>
      <w:r>
        <w:rPr>
          <w:rFonts w:hint="default" w:ascii="Times New Roman" w:hAnsi="Times New Roman" w:cs="Times New Roman"/>
          <w:b/>
          <w:bCs/>
          <w:sz w:val="24"/>
          <w:szCs w:val="24"/>
        </w:rPr>
        <w:t>Film Application Scenarios</w:t>
      </w:r>
      <w:bookmarkEnd w:id="12"/>
      <w:r>
        <w:rPr>
          <w:rFonts w:hint="default" w:ascii="Times New Roman" w:hAnsi="Times New Roman" w:cs="Times New Roman"/>
          <w:b/>
          <w:bCs/>
          <w:sz w:val="24"/>
          <w:szCs w:val="24"/>
        </w:rPr>
        <w:t xml:space="preserve"> </w:t>
      </w:r>
    </w:p>
    <w:p w14:paraId="1DAFB704">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In the film narrative, the debut of the Undertouch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should be paved with the ultimate sense of obscurity and oppression, avoiding the full reveal of its true appearance at the beginning.</w:t>
      </w:r>
    </w:p>
    <w:p w14:paraId="2860267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At the beginning of the film, the audience spies the giant tentacles slowly swimming in the trench through the blurred images of the deep-sea probes, or catches faint underwater anomalies during the voyage of the deep-sea explorers. As the plot progresses, one by one the explorers go missing, or the submarine equipment malfunctions inexplicably, and fear gradually festers in the unknown.</w:t>
      </w:r>
    </w:p>
    <w:p w14:paraId="2FBDA01F">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In the climax, the Undertouch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appears in full force. In the darkness of the deep sea, only the ship's searchlight swept through the faint shadow of the giant, followed by the current breaking through the water, the poisonous fog, the snake's head frantically piercing the prey. The protagonist's team fights to survive, using sonic weapons to briefly disrupt its senses, and ultimately escapes at great cost.</w:t>
      </w:r>
    </w:p>
    <w:p w14:paraId="531A0B18">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At the end, in the midst of the rubble, a broken but still wriggling snake head attaches itself to the outside of the escape pod, quietly spawning a new horror, suggesting that the disaster is far from over.</w:t>
      </w:r>
    </w:p>
    <w:p w14:paraId="3D3909FF">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For the visual presentation, the colour palette is dominated by deep blues and blacks and purples, emphasising claustrophobia and fear. The soundtrack uses low-frequency vibrations and chaotic reverberations to simulate the loneliness of the deep sea, creating a sense of despair and powerlessness in human beings.</w:t>
      </w:r>
    </w:p>
    <w:p w14:paraId="24365959">
      <w:pPr>
        <w:numPr>
          <w:ilvl w:val="0"/>
          <w:numId w:val="0"/>
        </w:numPr>
        <w:bidi w:val="0"/>
        <w:spacing w:line="360" w:lineRule="auto"/>
        <w:ind w:left="0" w:leftChars="0" w:firstLine="0" w:firstLineChars="0"/>
        <w:jc w:val="center"/>
        <w:outlineLvl w:val="0"/>
        <w:rPr>
          <w:rFonts w:hint="default" w:ascii="Times New Roman" w:hAnsi="Times New Roman" w:cs="Times New Roman"/>
          <w:b/>
          <w:bCs/>
          <w:sz w:val="24"/>
          <w:szCs w:val="24"/>
        </w:rPr>
      </w:pPr>
      <w:bookmarkStart w:id="13" w:name="_Toc11186"/>
    </w:p>
    <w:p w14:paraId="3D1333A4">
      <w:pPr>
        <w:numPr>
          <w:ilvl w:val="0"/>
          <w:numId w:val="3"/>
        </w:numPr>
        <w:bidi w:val="0"/>
        <w:spacing w:line="360" w:lineRule="auto"/>
        <w:ind w:left="0" w:leftChars="0" w:firstLine="964" w:firstLineChars="400"/>
        <w:jc w:val="center"/>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Summary</w:t>
      </w:r>
      <w:bookmarkEnd w:id="13"/>
    </w:p>
    <w:p w14:paraId="1D5E3749">
      <w:pPr>
        <w:keepNext w:val="0"/>
        <w:keepLines w:val="0"/>
        <w:widowControl/>
        <w:suppressLineNumbers w:val="0"/>
        <w:spacing w:line="360" w:lineRule="auto"/>
        <w:ind w:firstLine="480" w:firstLineChars="200"/>
        <w:jc w:val="both"/>
        <w:rPr>
          <w:rFonts w:hint="eastAsia" w:ascii="Times New Roman" w:hAnsi="Times New Roman" w:cs="Times New Roman"/>
          <w:sz w:val="24"/>
          <w:szCs w:val="24"/>
          <w:lang w:eastAsia="zh-CN"/>
        </w:rPr>
      </w:pPr>
      <w:r>
        <w:rPr>
          <w:rFonts w:hint="eastAsia" w:ascii="Times New Roman" w:hAnsi="Times New Roman" w:cs="Times New Roman"/>
          <w:sz w:val="24"/>
          <w:szCs w:val="24"/>
          <w:lang w:eastAsia="zh-CN"/>
        </w:rPr>
        <w:t>The appearance of Hydra is no longer limited to its own single mythological image, but has become a symbol of human culture with deeper and more layered meanings. From the beginning, it was a huge monster with multiple heads. As it spread and was constantly created in different ways and perspectives, its image may be changed, but the psychological fear or clamor, rebirth or rebellion of individuals expressed by Hydra, or the questioning of social issues as a challenger, all make us alert: the real horror is the power hidden in the chaos, not those monsters that only exist on the surface. They may not be completely eradicated, but they always endanger everything.</w:t>
      </w:r>
    </w:p>
    <w:p w14:paraId="4EFB1086">
      <w:pPr>
        <w:keepNext w:val="0"/>
        <w:keepLines w:val="0"/>
        <w:widowControl/>
        <w:suppressLineNumbers w:val="0"/>
        <w:spacing w:line="360" w:lineRule="auto"/>
        <w:ind w:firstLine="480" w:firstLineChars="200"/>
        <w:jc w:val="both"/>
        <w:rPr>
          <w:rFonts w:hint="eastAsia" w:ascii="Times New Roman" w:hAnsi="Times New Roman" w:cs="Times New Roman"/>
          <w:sz w:val="24"/>
          <w:szCs w:val="24"/>
          <w:lang w:eastAsia="zh-CN"/>
        </w:rPr>
      </w:pPr>
      <w:r>
        <w:rPr>
          <w:rFonts w:hint="eastAsia" w:ascii="Times New Roman" w:hAnsi="Times New Roman" w:cs="Times New Roman"/>
          <w:sz w:val="24"/>
          <w:szCs w:val="24"/>
          <w:lang w:eastAsia="zh-CN"/>
        </w:rPr>
        <w:t>The purpose of recreating Hydra is not to create a brand new giant monster, but to try to communicate with its long-standing symbol. Only by restoring its own value and meaning can we inject life into this symbol that spans thousands of years, so that its symbol that crosses the times can still inspire the contemporary public to think about essential issues such as themselves, society and life.</w:t>
      </w:r>
    </w:p>
    <w:p w14:paraId="5F69F427">
      <w:pPr>
        <w:keepNext w:val="0"/>
        <w:keepLines w:val="0"/>
        <w:widowControl/>
        <w:suppressLineNumbers w:val="0"/>
        <w:spacing w:line="360" w:lineRule="auto"/>
        <w:ind w:firstLine="480" w:firstLineChars="200"/>
        <w:jc w:val="both"/>
        <w:rPr>
          <w:sz w:val="24"/>
          <w:szCs w:val="24"/>
        </w:rPr>
      </w:pPr>
      <w:r>
        <w:rPr>
          <w:rFonts w:hint="eastAsia" w:ascii="Times New Roman" w:hAnsi="Times New Roman" w:cs="Times New Roman"/>
          <w:sz w:val="24"/>
          <w:szCs w:val="24"/>
          <w:lang w:eastAsia="zh-CN"/>
        </w:rPr>
        <w:t>Hydra will not disappear forever, it will develop and change with the entire human civilization. Like the rebirth of each head, the legend of Hydra shows the mythical world of our human future in other forms.</w:t>
      </w:r>
    </w:p>
    <w:p w14:paraId="7F65C8E1">
      <w:pPr>
        <w:pStyle w:val="6"/>
        <w:keepNext w:val="0"/>
        <w:keepLines w:val="0"/>
        <w:widowControl/>
        <w:suppressLineNumbers w:val="0"/>
        <w:spacing w:before="0" w:beforeAutospacing="1" w:after="0" w:afterAutospacing="1" w:line="360" w:lineRule="auto"/>
        <w:ind w:left="0" w:right="0"/>
        <w:jc w:val="both"/>
        <w:rPr>
          <w:rFonts w:hint="eastAsia" w:ascii="宋体" w:hAnsi="宋体" w:eastAsia="宋体" w:cs="宋体"/>
          <w:sz w:val="24"/>
          <w:szCs w:val="24"/>
          <w:lang w:val="en-US" w:eastAsia="zh-CN"/>
        </w:rPr>
      </w:pPr>
    </w:p>
    <w:p w14:paraId="3525DC92">
      <w:pPr>
        <w:pStyle w:val="6"/>
        <w:keepNext w:val="0"/>
        <w:keepLines w:val="0"/>
        <w:widowControl/>
        <w:suppressLineNumbers w:val="0"/>
        <w:spacing w:before="0" w:beforeAutospacing="1" w:after="0" w:afterAutospacing="1"/>
        <w:ind w:left="0" w:right="0"/>
        <w:rPr>
          <w:rFonts w:hint="eastAsia" w:ascii="宋体" w:hAnsi="宋体" w:eastAsia="宋体" w:cs="宋体"/>
          <w:sz w:val="36"/>
          <w:szCs w:val="36"/>
          <w:lang w:val="en-US" w:eastAsia="zh-CN"/>
        </w:rPr>
      </w:pPr>
    </w:p>
    <w:p w14:paraId="5DC25D61">
      <w:pPr>
        <w:pStyle w:val="6"/>
        <w:keepNext w:val="0"/>
        <w:keepLines w:val="0"/>
        <w:widowControl/>
        <w:suppressLineNumbers w:val="0"/>
        <w:spacing w:before="0" w:beforeAutospacing="1" w:after="0" w:afterAutospacing="1"/>
        <w:ind w:left="0" w:right="0"/>
        <w:rPr>
          <w:rFonts w:hint="eastAsia" w:ascii="宋体" w:hAnsi="宋体" w:eastAsia="宋体" w:cs="宋体"/>
          <w:sz w:val="36"/>
          <w:szCs w:val="36"/>
          <w:lang w:val="en-US" w:eastAsia="zh-CN"/>
        </w:rPr>
      </w:pPr>
    </w:p>
    <w:p w14:paraId="7D0FBED9">
      <w:pPr>
        <w:pStyle w:val="6"/>
        <w:keepNext w:val="0"/>
        <w:keepLines w:val="0"/>
        <w:widowControl/>
        <w:suppressLineNumbers w:val="0"/>
        <w:spacing w:before="0" w:beforeAutospacing="1" w:after="0" w:afterAutospacing="1"/>
        <w:ind w:left="0" w:right="0"/>
        <w:jc w:val="both"/>
        <w:rPr>
          <w:rFonts w:hint="default" w:ascii="Times New Roman" w:hAnsi="Times New Roman" w:eastAsia="宋体" w:cs="Times New Roman"/>
          <w:b/>
          <w:bCs/>
          <w:sz w:val="24"/>
          <w:szCs w:val="24"/>
          <w:lang w:val="en-US" w:eastAsia="zh-CN"/>
        </w:rPr>
      </w:pPr>
    </w:p>
    <w:p w14:paraId="4B702449">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bookmarkStart w:id="14" w:name="_Toc6798"/>
    </w:p>
    <w:p w14:paraId="58BFD423">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268F9448">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0B477A2D">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071D1559">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12D2B3E7">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47CBBA0D">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34A53F11">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2E9451CF">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38EB690F">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0FB98B4C">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0E01F100">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p>
    <w:p w14:paraId="6F26DE09">
      <w:pPr>
        <w:pStyle w:val="6"/>
        <w:keepNext w:val="0"/>
        <w:keepLines w:val="0"/>
        <w:widowControl/>
        <w:suppressLineNumbers w:val="0"/>
        <w:spacing w:before="0" w:beforeAutospacing="1" w:after="0" w:afterAutospacing="1" w:line="360" w:lineRule="auto"/>
        <w:ind w:left="0" w:leftChars="0" w:right="0" w:rightChars="0"/>
        <w:jc w:val="center"/>
        <w:outlineLvl w:val="0"/>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Reference</w:t>
      </w:r>
      <w:bookmarkEnd w:id="14"/>
    </w:p>
    <w:p w14:paraId="0F747EDF">
      <w:pPr>
        <w:pStyle w:val="3"/>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Apollodorus, 1921. </w:t>
      </w:r>
      <w:r>
        <w:rPr>
          <w:rStyle w:val="10"/>
          <w:rFonts w:hint="default" w:ascii="Times New Roman" w:hAnsi="Times New Roman" w:cs="Times New Roman"/>
          <w:sz w:val="24"/>
          <w:szCs w:val="24"/>
        </w:rPr>
        <w:t>The Library</w:t>
      </w:r>
      <w:r>
        <w:rPr>
          <w:rFonts w:hint="default" w:ascii="Times New Roman" w:hAnsi="Times New Roman" w:cs="Times New Roman"/>
          <w:sz w:val="24"/>
          <w:szCs w:val="24"/>
        </w:rPr>
        <w:t>. Translated by J.G. Frazer. Cambridge, MA: Harvard University Press.</w:t>
      </w:r>
    </w:p>
    <w:p w14:paraId="3A84B90F">
      <w:pPr>
        <w:pStyle w:val="3"/>
        <w:bidi w:val="0"/>
        <w:spacing w:line="360" w:lineRule="auto"/>
        <w:rPr>
          <w:rFonts w:hint="default" w:ascii="Times New Roman" w:hAnsi="Times New Roman" w:cs="Times New Roman"/>
          <w:sz w:val="24"/>
          <w:szCs w:val="24"/>
        </w:rPr>
      </w:pPr>
    </w:p>
    <w:p w14:paraId="1FAE29D8">
      <w:pPr>
        <w:pStyle w:val="3"/>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Burkert, W., 1985. </w:t>
      </w:r>
      <w:r>
        <w:rPr>
          <w:rStyle w:val="10"/>
          <w:rFonts w:hint="default" w:ascii="Times New Roman" w:hAnsi="Times New Roman" w:cs="Times New Roman"/>
          <w:sz w:val="24"/>
          <w:szCs w:val="24"/>
        </w:rPr>
        <w:t>Greek Religion</w:t>
      </w:r>
      <w:r>
        <w:rPr>
          <w:rFonts w:hint="default" w:ascii="Times New Roman" w:hAnsi="Times New Roman" w:cs="Times New Roman"/>
          <w:sz w:val="24"/>
          <w:szCs w:val="24"/>
        </w:rPr>
        <w:t>. Cambridge, MA: Harvard University Press.</w:t>
      </w:r>
    </w:p>
    <w:p w14:paraId="0B5AF938">
      <w:pPr>
        <w:pStyle w:val="6"/>
        <w:keepNext w:val="0"/>
        <w:keepLines w:val="0"/>
        <w:widowControl/>
        <w:suppressLineNumbers w:val="0"/>
        <w:spacing w:before="0" w:beforeAutospacing="1" w:after="0" w:afterAutospacing="1" w:line="360" w:lineRule="auto"/>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Garland, R., 1992. </w:t>
      </w:r>
      <w:r>
        <w:rPr>
          <w:rFonts w:hint="eastAsia" w:ascii="Times New Roman" w:hAnsi="Times New Roman" w:cs="Times New Roman"/>
          <w:sz w:val="24"/>
          <w:szCs w:val="24"/>
          <w:lang w:eastAsia="zh-CN"/>
        </w:rPr>
        <w:t>Hydra</w:t>
      </w:r>
      <w:r>
        <w:rPr>
          <w:rFonts w:hint="default" w:ascii="Times New Roman" w:hAnsi="Times New Roman" w:cs="Times New Roman"/>
          <w:sz w:val="24"/>
          <w:szCs w:val="24"/>
        </w:rPr>
        <w:t xml:space="preserve"> and Herakles: Regeneration and Symbolism. </w:t>
      </w:r>
      <w:r>
        <w:rPr>
          <w:rStyle w:val="10"/>
          <w:rFonts w:hint="default" w:ascii="Times New Roman" w:hAnsi="Times New Roman" w:cs="Times New Roman"/>
          <w:sz w:val="24"/>
          <w:szCs w:val="24"/>
        </w:rPr>
        <w:t>Classical Quarterly</w:t>
      </w:r>
      <w:r>
        <w:rPr>
          <w:rFonts w:hint="default" w:ascii="Times New Roman" w:hAnsi="Times New Roman" w:cs="Times New Roman"/>
          <w:sz w:val="24"/>
          <w:szCs w:val="24"/>
        </w:rPr>
        <w:t>, 42(2), pp.347–360.</w:t>
      </w:r>
    </w:p>
    <w:p w14:paraId="1A86E373">
      <w:pPr>
        <w:pStyle w:val="3"/>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Hesiod, 1914. </w:t>
      </w:r>
      <w:r>
        <w:rPr>
          <w:rStyle w:val="10"/>
          <w:rFonts w:hint="default" w:ascii="Times New Roman" w:hAnsi="Times New Roman" w:cs="Times New Roman"/>
          <w:sz w:val="24"/>
          <w:szCs w:val="24"/>
        </w:rPr>
        <w:t>Theogony</w:t>
      </w:r>
      <w:r>
        <w:rPr>
          <w:rFonts w:hint="default" w:ascii="Times New Roman" w:hAnsi="Times New Roman" w:cs="Times New Roman"/>
          <w:sz w:val="24"/>
          <w:szCs w:val="24"/>
        </w:rPr>
        <w:t>. Translated by H.G. Evelyn-White. Cambridge, MA: Harvard University Press.</w:t>
      </w:r>
    </w:p>
    <w:p w14:paraId="10629E4F">
      <w:pPr>
        <w:pStyle w:val="3"/>
        <w:bidi w:val="0"/>
        <w:spacing w:line="360" w:lineRule="auto"/>
        <w:rPr>
          <w:rFonts w:hint="default" w:ascii="Times New Roman" w:hAnsi="Times New Roman" w:cs="Times New Roman"/>
          <w:sz w:val="24"/>
          <w:szCs w:val="24"/>
        </w:rPr>
      </w:pPr>
    </w:p>
    <w:p w14:paraId="3842B719">
      <w:pPr>
        <w:pStyle w:val="3"/>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Hornblower, S., Spawforth, A. and Eidinow, E., 2012. </w:t>
      </w:r>
      <w:r>
        <w:rPr>
          <w:rStyle w:val="10"/>
          <w:rFonts w:hint="default" w:ascii="Times New Roman" w:hAnsi="Times New Roman" w:cs="Times New Roman"/>
          <w:sz w:val="24"/>
          <w:szCs w:val="24"/>
        </w:rPr>
        <w:t>The Oxford Classical Dictionary</w:t>
      </w:r>
      <w:r>
        <w:rPr>
          <w:rFonts w:hint="default" w:ascii="Times New Roman" w:hAnsi="Times New Roman" w:cs="Times New Roman"/>
          <w:sz w:val="24"/>
          <w:szCs w:val="24"/>
        </w:rPr>
        <w:t>. 4th ed. Oxford: Oxford University Press.</w:t>
      </w:r>
    </w:p>
    <w:p w14:paraId="17DB2D2B">
      <w:pPr>
        <w:pStyle w:val="3"/>
        <w:bidi w:val="0"/>
        <w:spacing w:line="360" w:lineRule="auto"/>
        <w:rPr>
          <w:rFonts w:hint="default" w:ascii="Times New Roman" w:hAnsi="Times New Roman" w:eastAsia="宋体" w:cs="Times New Roman"/>
          <w:sz w:val="24"/>
          <w:szCs w:val="24"/>
        </w:rPr>
      </w:pPr>
    </w:p>
    <w:p w14:paraId="53780FEB">
      <w:pPr>
        <w:pStyle w:val="3"/>
        <w:bidi w:val="0"/>
        <w:spacing w:line="360" w:lineRule="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Jung, C.G., 1953. </w:t>
      </w:r>
      <w:r>
        <w:rPr>
          <w:rStyle w:val="10"/>
          <w:rFonts w:hint="default" w:ascii="Times New Roman" w:hAnsi="Times New Roman" w:eastAsia="宋体" w:cs="Times New Roman"/>
          <w:sz w:val="24"/>
          <w:szCs w:val="24"/>
        </w:rPr>
        <w:t>Psychological Aspects of the Shadow</w:t>
      </w:r>
      <w:r>
        <w:rPr>
          <w:rFonts w:hint="default" w:ascii="Times New Roman" w:hAnsi="Times New Roman" w:eastAsia="宋体" w:cs="Times New Roman"/>
          <w:sz w:val="24"/>
          <w:szCs w:val="24"/>
        </w:rPr>
        <w:t xml:space="preserve">. In: </w:t>
      </w:r>
      <w:r>
        <w:rPr>
          <w:rStyle w:val="10"/>
          <w:rFonts w:hint="default" w:ascii="Times New Roman" w:hAnsi="Times New Roman" w:eastAsia="宋体" w:cs="Times New Roman"/>
          <w:sz w:val="24"/>
          <w:szCs w:val="24"/>
        </w:rPr>
        <w:t>Collected Works of C.G. Jung</w:t>
      </w:r>
      <w:r>
        <w:rPr>
          <w:rFonts w:hint="default" w:ascii="Times New Roman" w:hAnsi="Times New Roman" w:eastAsia="宋体" w:cs="Times New Roman"/>
          <w:sz w:val="24"/>
          <w:szCs w:val="24"/>
        </w:rPr>
        <w:t>. Vol. 9, Part 1. Princeton: Princeton University Press.</w:t>
      </w:r>
    </w:p>
    <w:p w14:paraId="5B9DF539">
      <w:pPr>
        <w:pStyle w:val="3"/>
        <w:bidi w:val="0"/>
        <w:spacing w:line="360" w:lineRule="auto"/>
        <w:rPr>
          <w:rFonts w:hint="default" w:ascii="Times New Roman" w:hAnsi="Times New Roman" w:cs="Times New Roman"/>
          <w:sz w:val="24"/>
          <w:szCs w:val="24"/>
        </w:rPr>
      </w:pPr>
    </w:p>
    <w:p w14:paraId="5B00C743">
      <w:pPr>
        <w:pStyle w:val="3"/>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Stafford, E., 2013. </w:t>
      </w:r>
      <w:r>
        <w:rPr>
          <w:rStyle w:val="10"/>
          <w:rFonts w:hint="default" w:ascii="Times New Roman" w:hAnsi="Times New Roman" w:cs="Times New Roman"/>
          <w:sz w:val="24"/>
          <w:szCs w:val="24"/>
        </w:rPr>
        <w:t>Herakles</w:t>
      </w:r>
      <w:r>
        <w:rPr>
          <w:rFonts w:hint="default" w:ascii="Times New Roman" w:hAnsi="Times New Roman" w:cs="Times New Roman"/>
          <w:sz w:val="24"/>
          <w:szCs w:val="24"/>
        </w:rPr>
        <w:t>. London: Routledge.</w:t>
      </w:r>
    </w:p>
    <w:p w14:paraId="79CD6540">
      <w:pPr>
        <w:pStyle w:val="3"/>
        <w:bidi w:val="0"/>
        <w:spacing w:line="360" w:lineRule="auto"/>
        <w:rPr>
          <w:rFonts w:hint="default" w:ascii="Times New Roman" w:hAnsi="Times New Roman" w:cs="Times New Roman"/>
          <w:sz w:val="24"/>
          <w:szCs w:val="24"/>
        </w:rPr>
      </w:pPr>
    </w:p>
    <w:p w14:paraId="0F95B010">
      <w:pPr>
        <w:pStyle w:val="3"/>
        <w:bidi w:val="0"/>
        <w:spacing w:line="360" w:lineRule="auto"/>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Theoi Project.(n.d.). Hydra. Retrieved April 10, 2025, from https://www.theoi.com/Text/Aproolodorus2.html</w:t>
      </w:r>
    </w:p>
    <w:p w14:paraId="51D78932">
      <w:pPr>
        <w:keepNext w:val="0"/>
        <w:keepLines w:val="0"/>
        <w:widowControl/>
        <w:suppressLineNumbers w:val="0"/>
        <w:jc w:val="left"/>
      </w:pPr>
    </w:p>
    <w:p w14:paraId="0E7FB386">
      <w:pPr>
        <w:keepNext w:val="0"/>
        <w:keepLines w:val="0"/>
        <w:widowControl/>
        <w:suppressLineNumbers w:val="0"/>
        <w:jc w:val="left"/>
      </w:pPr>
    </w:p>
    <w:p w14:paraId="106E1B3D"/>
    <w:sectPr>
      <w:footerReference r:id="rId4" w:type="default"/>
      <w:pgSz w:w="11906" w:h="16838"/>
      <w:pgMar w:top="1440" w:right="1440" w:bottom="1440" w:left="144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4762028">
    <w:pPr>
      <w:pStyle w:val="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0F378E9">
    <w:pPr>
      <w:pStyle w:val="2"/>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B40F14C">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14:paraId="7B40F14C">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17C1264"/>
    <w:multiLevelType w:val="singleLevel"/>
    <w:tmpl w:val="C17C1264"/>
    <w:lvl w:ilvl="0" w:tentative="0">
      <w:start w:val="3"/>
      <w:numFmt w:val="decimal"/>
      <w:suff w:val="space"/>
      <w:lvlText w:val="%1."/>
      <w:lvlJc w:val="left"/>
    </w:lvl>
  </w:abstractNum>
  <w:abstractNum w:abstractNumId="1">
    <w:nsid w:val="D5ED9138"/>
    <w:multiLevelType w:val="singleLevel"/>
    <w:tmpl w:val="D5ED9138"/>
    <w:lvl w:ilvl="0" w:tentative="0">
      <w:start w:val="1"/>
      <w:numFmt w:val="decimal"/>
      <w:suff w:val="space"/>
      <w:lvlText w:val="%1."/>
      <w:lvlJc w:val="left"/>
    </w:lvl>
  </w:abstractNum>
  <w:abstractNum w:abstractNumId="2">
    <w:nsid w:val="E4198379"/>
    <w:multiLevelType w:val="singleLevel"/>
    <w:tmpl w:val="E4198379"/>
    <w:lvl w:ilvl="0" w:tentative="0">
      <w:start w:val="2"/>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9"/>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A03962"/>
    <w:rsid w:val="031C69F7"/>
    <w:rsid w:val="0DFE11D3"/>
    <w:rsid w:val="15DC0355"/>
    <w:rsid w:val="1FA03962"/>
    <w:rsid w:val="2F6C35A1"/>
    <w:rsid w:val="37780279"/>
    <w:rsid w:val="5940457B"/>
    <w:rsid w:val="76DF3275"/>
    <w:rsid w:val="79BC6A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1316</Words>
  <Characters>6615</Characters>
  <Lines>0</Lines>
  <Paragraphs>0</Paragraphs>
  <TotalTime>19</TotalTime>
  <ScaleCrop>false</ScaleCrop>
  <LinksUpToDate>false</LinksUpToDate>
  <CharactersWithSpaces>7922</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2025-04-26T13:06:00Z</dcterms:created>
  <dc:creator>故</dc:creator>
  <cp:lastModifiedBy>故</cp:lastModifiedBy>
  <dcterms:modified xsi:type="dcterms:W3CDTF">2025-05-01T14:08:18Z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90317C2CE6104F4B8BF2AB31AEEE4EF3_11</vt:lpwstr>
  </property>
  <property fmtid="{D5CDD505-2E9C-101B-9397-08002B2CF9AE}" pid="4" name="KSOTemplateDocerSaveRecord">
    <vt:lpwstr>eyJoZGlkIjoiODE0ODA5M2FiNjY0MzFjMTZjZGIwNTYzNWZkZjU3YTQiLCJ1c2VySWQiOiI1MDIxMTE3NzcifQ==</vt:lpwstr>
  </property>
</Properties>
</file>